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609F992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BC6E42">
        <w:rPr>
          <w:sz w:val="28"/>
        </w:rPr>
        <w:t>1</w:t>
      </w:r>
      <w:r>
        <w:rPr>
          <w:sz w:val="28"/>
        </w:rPr>
        <w:t>9</w:t>
      </w:r>
      <w:r w:rsidR="00E51700" w:rsidRPr="00B57027">
        <w:rPr>
          <w:sz w:val="28"/>
        </w:rPr>
        <w:t xml:space="preserve"> Budget consideration is </w:t>
      </w:r>
      <w:r>
        <w:rPr>
          <w:b/>
          <w:sz w:val="28"/>
        </w:rPr>
        <w:t>3</w:t>
      </w:r>
      <w:r w:rsidR="006E40CC">
        <w:rPr>
          <w:b/>
          <w:sz w:val="28"/>
        </w:rPr>
        <w:t>1</w:t>
      </w:r>
      <w:r>
        <w:rPr>
          <w:b/>
          <w:sz w:val="28"/>
        </w:rPr>
        <w:t xml:space="preserve"> January 2018</w:t>
      </w:r>
      <w:r w:rsidR="00B57027" w:rsidRPr="00B57027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56FAFB48" w14:textId="2EC91610" w:rsidR="005A15AF" w:rsidRDefault="0015379B" w:rsidP="009A206F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Communications and Outreach and Engagement Material Support for At-Large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50BB57" w14:textId="03FA3B75" w:rsidR="005A15AF" w:rsidRDefault="0015379B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ALAC/At-Large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1B576CEB" w:rsidR="00946200" w:rsidRDefault="0015379B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Alan Greenberg, ALAC Chair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31C7A0F1" w:rsidR="00946200" w:rsidRDefault="0015379B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135F" w14:textId="422B0C5E" w:rsidR="009A058F" w:rsidRDefault="0015379B" w:rsidP="00EB3FA1">
            <w:pPr>
              <w:rPr>
                <w:rFonts w:ascii="Arial" w:hAnsi="Arial"/>
              </w:rPr>
            </w:pPr>
            <w:bookmarkStart w:id="0" w:name="_GoBack"/>
            <w:r>
              <w:rPr>
                <w:rFonts w:ascii="Arial" w:hAnsi="Arial"/>
              </w:rPr>
              <w:t xml:space="preserve">This request is for communications and language services support for the ALAC and the five RALOs to allow for more effective outreach and engagement. </w:t>
            </w:r>
          </w:p>
          <w:p w14:paraId="1A8A3744" w14:textId="7A6FAA7C" w:rsidR="0015379B" w:rsidRDefault="00363D90" w:rsidP="00EB3F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</w:t>
            </w:r>
            <w:r w:rsidR="00F412F1">
              <w:rPr>
                <w:rFonts w:ascii="Arial" w:hAnsi="Arial"/>
              </w:rPr>
              <w:t>xamples of s</w:t>
            </w:r>
            <w:r w:rsidR="0015379B">
              <w:rPr>
                <w:rFonts w:ascii="Arial" w:hAnsi="Arial"/>
              </w:rPr>
              <w:t xml:space="preserve">uch support would include: </w:t>
            </w:r>
          </w:p>
          <w:p w14:paraId="3606A412" w14:textId="70EAF90C" w:rsidR="0015379B" w:rsidRDefault="0015379B" w:rsidP="0015379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</w:rPr>
            </w:pPr>
            <w:r w:rsidRPr="0015379B">
              <w:rPr>
                <w:rFonts w:ascii="Arial" w:hAnsi="Arial"/>
              </w:rPr>
              <w:t>Production</w:t>
            </w:r>
            <w:r>
              <w:rPr>
                <w:rFonts w:ascii="Arial" w:hAnsi="Arial"/>
              </w:rPr>
              <w:t xml:space="preserve">, translation and printing </w:t>
            </w:r>
            <w:r w:rsidRPr="0015379B">
              <w:rPr>
                <w:rFonts w:ascii="Arial" w:hAnsi="Arial"/>
              </w:rPr>
              <w:t>of ALAC and RALO brochures and mailcards</w:t>
            </w:r>
            <w:r w:rsidR="009158E7">
              <w:rPr>
                <w:rFonts w:ascii="Arial" w:hAnsi="Arial"/>
              </w:rPr>
              <w:t xml:space="preserve"> – LACRALO, EURALO and At-Large will likely need development of brochures. NARALO is requesting a translation of its mailcard into Spanish. </w:t>
            </w:r>
          </w:p>
          <w:p w14:paraId="20F5601C" w14:textId="6FA91429" w:rsidR="0015379B" w:rsidRDefault="009158E7" w:rsidP="0015379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15379B">
              <w:rPr>
                <w:rFonts w:ascii="Arial" w:hAnsi="Arial"/>
              </w:rPr>
              <w:t>roduction of 2 to 3 infographics on end users issues</w:t>
            </w:r>
          </w:p>
          <w:p w14:paraId="33E1EB38" w14:textId="5BB57D3C" w:rsidR="0015379B" w:rsidRDefault="009158E7" w:rsidP="009158E7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15379B">
              <w:rPr>
                <w:rFonts w:ascii="Arial" w:hAnsi="Arial"/>
              </w:rPr>
              <w:t xml:space="preserve">roduction of an AFRALO short awareness </w:t>
            </w:r>
            <w:r w:rsidR="0015379B" w:rsidRPr="0015379B">
              <w:rPr>
                <w:rFonts w:ascii="Arial" w:hAnsi="Arial"/>
              </w:rPr>
              <w:t>video about ICANN, At-Large, ICANN’s mission and policy issues targeting the African Internet users.</w:t>
            </w:r>
            <w:r>
              <w:t xml:space="preserve"> </w:t>
            </w:r>
            <w:r w:rsidRPr="009158E7">
              <w:rPr>
                <w:rFonts w:ascii="Arial" w:hAnsi="Arial"/>
              </w:rPr>
              <w:t>The pro</w:t>
            </w:r>
            <w:r>
              <w:rPr>
                <w:rFonts w:ascii="Arial" w:hAnsi="Arial"/>
              </w:rPr>
              <w:t>duced animated video will have v</w:t>
            </w:r>
            <w:r w:rsidRPr="009158E7">
              <w:rPr>
                <w:rFonts w:ascii="Arial" w:hAnsi="Arial"/>
              </w:rPr>
              <w:t>oice over in seven African native languages, Arabic, Swahili, Amharic, Yoruba, Oromo, Hausa and Zulu, those languages are the most spoken languages in the continent.</w:t>
            </w:r>
          </w:p>
          <w:p w14:paraId="5937B137" w14:textId="02552FFB" w:rsidR="0015379B" w:rsidRDefault="009158E7" w:rsidP="0015379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15379B">
              <w:rPr>
                <w:rFonts w:ascii="Arial" w:hAnsi="Arial"/>
              </w:rPr>
              <w:t>rocurement of secondary pop up banners for several RALOs</w:t>
            </w:r>
            <w:r>
              <w:rPr>
                <w:rFonts w:ascii="Arial" w:hAnsi="Arial"/>
              </w:rPr>
              <w:t xml:space="preserve"> – APRALO, LACRALO and </w:t>
            </w:r>
            <w:r w:rsidR="00181F82">
              <w:rPr>
                <w:rFonts w:ascii="Arial" w:hAnsi="Arial"/>
              </w:rPr>
              <w:t>NARALO</w:t>
            </w:r>
            <w:r>
              <w:rPr>
                <w:rFonts w:ascii="Arial" w:hAnsi="Arial"/>
              </w:rPr>
              <w:t xml:space="preserve"> need pop up </w:t>
            </w:r>
            <w:r w:rsidR="00181F82">
              <w:rPr>
                <w:rFonts w:ascii="Arial" w:hAnsi="Arial"/>
              </w:rPr>
              <w:t>banners</w:t>
            </w:r>
            <w:r>
              <w:rPr>
                <w:rFonts w:ascii="Arial" w:hAnsi="Arial"/>
              </w:rPr>
              <w:t xml:space="preserve"> for use at regional events. While all RALOs have one pop up banner, they are shipped by ICANN from Meeting to Meeting. </w:t>
            </w:r>
          </w:p>
          <w:p w14:paraId="68FEBE61" w14:textId="6D75A550" w:rsidR="0015379B" w:rsidRDefault="009158E7" w:rsidP="0015379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Procu</w:t>
            </w:r>
            <w:r w:rsidR="008F65A6">
              <w:rPr>
                <w:rFonts w:ascii="Arial" w:hAnsi="Arial"/>
              </w:rPr>
              <w:t>rement of l</w:t>
            </w:r>
            <w:r w:rsidR="0015379B">
              <w:rPr>
                <w:rFonts w:ascii="Arial" w:hAnsi="Arial"/>
              </w:rPr>
              <w:t xml:space="preserve">apel buttons for At-Large and the RALOs to be given to all leaders and used for </w:t>
            </w:r>
            <w:r w:rsidR="008F65A6">
              <w:rPr>
                <w:rFonts w:ascii="Arial" w:hAnsi="Arial"/>
              </w:rPr>
              <w:t>WG members – these would include both logo buttons as well as ‘Ask me about At-Large’</w:t>
            </w:r>
            <w:r>
              <w:rPr>
                <w:rFonts w:ascii="Arial" w:hAnsi="Arial"/>
              </w:rPr>
              <w:t xml:space="preserve"> – the production of good quality lapel pins will increase the brand recognition of At-Large. Approximately </w:t>
            </w:r>
            <w:r w:rsidR="00181F82">
              <w:rPr>
                <w:rFonts w:ascii="Arial" w:hAnsi="Arial"/>
              </w:rPr>
              <w:t>500 will be requested.</w:t>
            </w:r>
          </w:p>
          <w:p w14:paraId="46956A32" w14:textId="0C077901" w:rsidR="00F412F1" w:rsidRDefault="00F412F1" w:rsidP="0015379B">
            <w:pPr>
              <w:pStyle w:val="ListParagraph"/>
              <w:numPr>
                <w:ilvl w:val="0"/>
                <w:numId w:val="2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Development and distribution of literature aimed at attracting and supporting individual members within RALOs (a major At-Large </w:t>
            </w:r>
            <w:r w:rsidR="00363D90">
              <w:rPr>
                <w:rFonts w:ascii="Arial" w:hAnsi="Arial"/>
              </w:rPr>
              <w:t>focus</w:t>
            </w:r>
            <w:r>
              <w:rPr>
                <w:rFonts w:ascii="Arial" w:hAnsi="Arial"/>
              </w:rPr>
              <w:t>).</w:t>
            </w:r>
          </w:p>
          <w:p w14:paraId="51A200A5" w14:textId="77777777" w:rsidR="008F65A6" w:rsidRDefault="008F65A6" w:rsidP="008F65A6">
            <w:pPr>
              <w:pStyle w:val="ListParagraph"/>
              <w:ind w:left="780"/>
              <w:rPr>
                <w:rFonts w:ascii="Arial" w:hAnsi="Arial"/>
              </w:rPr>
            </w:pPr>
          </w:p>
          <w:p w14:paraId="63102EA6" w14:textId="56CCCE1A" w:rsidR="0015379B" w:rsidRDefault="008F65A6" w:rsidP="008F65A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set of activities would result in increased awareness of the ALAC and At-Large, raised ‘brand’ recognition of the ALAC and the RALOs, and facilitate outreach activities. </w:t>
            </w:r>
          </w:p>
          <w:p w14:paraId="07A62429" w14:textId="77777777" w:rsidR="00727880" w:rsidRDefault="00727880" w:rsidP="008F65A6">
            <w:pPr>
              <w:rPr>
                <w:rFonts w:ascii="Arial" w:hAnsi="Arial"/>
              </w:rPr>
            </w:pPr>
          </w:p>
          <w:p w14:paraId="4C751171" w14:textId="77777777" w:rsidR="009158E7" w:rsidRPr="00F412F1" w:rsidRDefault="009158E7" w:rsidP="008F65A6">
            <w:pPr>
              <w:rPr>
                <w:rFonts w:ascii="Arial" w:hAnsi="Arial"/>
                <w:b/>
              </w:rPr>
            </w:pPr>
            <w:r w:rsidRPr="00F412F1">
              <w:rPr>
                <w:rFonts w:ascii="Arial" w:hAnsi="Arial"/>
                <w:b/>
              </w:rPr>
              <w:t xml:space="preserve">This request is made to ensure that At-Large has communication materials and support in the event that the funds that have been given to the ICANN Communications Department for such purposes are removed in the FY19 budget. </w:t>
            </w:r>
          </w:p>
          <w:p w14:paraId="088656B5" w14:textId="77777777" w:rsidR="009158E7" w:rsidRDefault="009158E7" w:rsidP="008F65A6">
            <w:pPr>
              <w:rPr>
                <w:rFonts w:ascii="Arial" w:hAnsi="Arial"/>
              </w:rPr>
            </w:pPr>
          </w:p>
          <w:p w14:paraId="0BC5DCCA" w14:textId="697825E2" w:rsidR="00727880" w:rsidRPr="008F65A6" w:rsidRDefault="00727880" w:rsidP="008F65A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Given the scope of work requested, this request</w:t>
            </w:r>
            <w:r w:rsidR="009158E7">
              <w:rPr>
                <w:rFonts w:ascii="Arial" w:hAnsi="Arial"/>
              </w:rPr>
              <w:t xml:space="preserve"> is </w:t>
            </w:r>
            <w:r>
              <w:rPr>
                <w:rFonts w:ascii="Arial" w:hAnsi="Arial"/>
              </w:rPr>
              <w:t xml:space="preserve">likely in the amount of between $10,000-$15,000. </w:t>
            </w:r>
          </w:p>
          <w:bookmarkEnd w:id="0"/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lastRenderedPageBreak/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1A988A4F" w:rsidR="005428F3" w:rsidRDefault="0015379B" w:rsidP="009A05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activity includes outreach, education/training as well as engagement. Language services, graphic artists and printing services would also be involved. </w:t>
            </w: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r w:rsidRPr="006003A1">
              <w:rPr>
                <w:smallCaps w:val="0"/>
                <w:noProof w:val="0"/>
                <w:sz w:val="18"/>
              </w:rPr>
              <w:t>one time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0A0BAE04" w:rsidR="003F32A0" w:rsidRDefault="008F65A6" w:rsidP="001B79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request is for FY19. The production of materials would take into account specific ICANN and At-Large meetings. </w:t>
            </w: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D14B" w14:textId="77777777" w:rsidR="008F65A6" w:rsidRPr="008F65A6" w:rsidRDefault="008F65A6" w:rsidP="008F65A6">
            <w:pPr>
              <w:rPr>
                <w:rFonts w:ascii="Arial" w:hAnsi="Arial"/>
                <w:lang w:eastAsia="zh-TW"/>
              </w:rPr>
            </w:pPr>
            <w:r w:rsidRPr="008F65A6">
              <w:rPr>
                <w:rFonts w:ascii="Arial" w:hAnsi="Arial"/>
                <w:lang w:eastAsia="zh-TW"/>
              </w:rPr>
              <w:t>4.3 Enhance the visibility, credibility and trust in the multistakeholder model in general and for ICANN in particular.</w:t>
            </w:r>
          </w:p>
          <w:p w14:paraId="01B53564" w14:textId="18762659" w:rsidR="008F65A6" w:rsidRPr="008F65A6" w:rsidRDefault="008F65A6" w:rsidP="008F65A6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• </w:t>
            </w:r>
            <w:r w:rsidRPr="008F65A6">
              <w:rPr>
                <w:rFonts w:ascii="Arial" w:hAnsi="Arial"/>
                <w:lang w:eastAsia="zh-TW"/>
              </w:rPr>
              <w:t xml:space="preserve">Raise awareness about ICANN At-Large, and networking with potential At-Large members from the Asia- Pacific to encourage them to become members of the ICANN At-Large community </w:t>
            </w:r>
          </w:p>
          <w:p w14:paraId="35342321" w14:textId="2681F8C7" w:rsidR="00F576B8" w:rsidRPr="00B06A16" w:rsidRDefault="008F65A6" w:rsidP="008F65A6">
            <w:pPr>
              <w:rPr>
                <w:b/>
              </w:rPr>
            </w:pPr>
            <w:r>
              <w:rPr>
                <w:rFonts w:ascii="Arial" w:hAnsi="Arial"/>
                <w:lang w:eastAsia="zh-TW"/>
              </w:rPr>
              <w:t xml:space="preserve">• </w:t>
            </w:r>
            <w:r w:rsidRPr="008F65A6">
              <w:rPr>
                <w:rFonts w:ascii="Arial" w:hAnsi="Arial"/>
                <w:lang w:eastAsia="zh-TW"/>
              </w:rPr>
              <w:t>Help to engage with existin</w:t>
            </w:r>
            <w:r>
              <w:rPr>
                <w:rFonts w:ascii="Arial" w:hAnsi="Arial"/>
                <w:lang w:eastAsia="zh-TW"/>
              </w:rPr>
              <w:t xml:space="preserve">g organizations and networks within the five RALOs </w:t>
            </w:r>
            <w:r w:rsidRPr="008F65A6">
              <w:rPr>
                <w:rFonts w:ascii="Arial" w:hAnsi="Arial"/>
                <w:lang w:eastAsia="zh-TW"/>
              </w:rPr>
              <w:t xml:space="preserve">in order to </w:t>
            </w:r>
            <w:r>
              <w:rPr>
                <w:rFonts w:ascii="Arial" w:hAnsi="Arial"/>
                <w:lang w:eastAsia="zh-TW"/>
              </w:rPr>
              <w:t xml:space="preserve">encourage them to become active within At-Large. </w:t>
            </w: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3F920854" w:rsidR="00F576B8" w:rsidRPr="008F65A6" w:rsidRDefault="008F65A6" w:rsidP="00F50A85">
            <w:pPr>
              <w:rPr>
                <w:rFonts w:ascii="Arial" w:hAnsi="Arial" w:cs="Arial"/>
              </w:rPr>
            </w:pPr>
            <w:r w:rsidRPr="008F65A6">
              <w:rPr>
                <w:rFonts w:ascii="Arial" w:hAnsi="Arial" w:cs="Arial"/>
              </w:rPr>
              <w:t xml:space="preserve">Existing ALSes and individual members and the wider community of end users. </w:t>
            </w: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7C78C106" w:rsidR="00F576B8" w:rsidRPr="008F65A6" w:rsidRDefault="008F65A6" w:rsidP="009933BD">
            <w:pPr>
              <w:pStyle w:val="FormHeading1"/>
              <w:rPr>
                <w:b w:val="0"/>
                <w:smallCaps w:val="0"/>
                <w:noProof w:val="0"/>
                <w:sz w:val="20"/>
              </w:rPr>
            </w:pPr>
            <w:r w:rsidRPr="008F65A6">
              <w:rPr>
                <w:b w:val="0"/>
                <w:smallCaps w:val="0"/>
                <w:noProof w:val="0"/>
                <w:sz w:val="20"/>
              </w:rPr>
              <w:t xml:space="preserve">Outreach and engagement materials for use by the ALAC and At-Large to increase understanding of the ALAC and At-Large by the ICANN community and end users. </w:t>
            </w: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E7E9" w14:textId="15B9E1F3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  <w:r w:rsidRPr="00EB420C">
              <w:rPr>
                <w:rFonts w:ascii="Arial" w:hAnsi="Arial"/>
                <w:lang w:eastAsia="zh-TW"/>
              </w:rPr>
              <w:t>Identifiable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 xml:space="preserve"> increased involvement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 xml:space="preserve">from stakeholders in At-Large and other stakeholder groups </w:t>
            </w:r>
          </w:p>
          <w:p w14:paraId="3B81AB35" w14:textId="7833EE22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w</w:t>
            </w:r>
            <w:r w:rsidRPr="00EB420C">
              <w:rPr>
                <w:rFonts w:ascii="Arial" w:hAnsi="Arial"/>
                <w:lang w:eastAsia="zh-TW"/>
              </w:rPr>
              <w:t>ithin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 xml:space="preserve"> ICANN as a result</w:t>
            </w:r>
            <w:r>
              <w:rPr>
                <w:rFonts w:ascii="Arial" w:hAnsi="Arial"/>
                <w:lang w:eastAsia="zh-TW"/>
              </w:rPr>
              <w:t xml:space="preserve">  </w:t>
            </w:r>
            <w:r w:rsidRPr="00EB420C">
              <w:rPr>
                <w:rFonts w:ascii="Arial" w:hAnsi="Arial"/>
                <w:lang w:eastAsia="zh-TW"/>
              </w:rPr>
              <w:t>of contact made at</w:t>
            </w:r>
            <w:r>
              <w:rPr>
                <w:rFonts w:ascii="Arial" w:hAnsi="Arial"/>
                <w:lang w:eastAsia="zh-TW"/>
              </w:rPr>
              <w:t xml:space="preserve">  global and</w:t>
            </w:r>
            <w:r w:rsidRPr="00EB420C">
              <w:rPr>
                <w:rFonts w:ascii="Arial" w:hAnsi="Arial"/>
                <w:lang w:eastAsia="zh-TW"/>
              </w:rPr>
              <w:t xml:space="preserve"> regional events</w:t>
            </w:r>
          </w:p>
          <w:p w14:paraId="7891F6D4" w14:textId="171DDECD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</w:p>
          <w:p w14:paraId="3A731906" w14:textId="61F66A93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  <w:r w:rsidRPr="00EB420C">
              <w:rPr>
                <w:rFonts w:ascii="Arial" w:hAnsi="Arial"/>
                <w:lang w:eastAsia="zh-TW"/>
              </w:rPr>
              <w:t>Distribution of brochures and other collateral will result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>in increased interest noted b</w:t>
            </w:r>
            <w:r>
              <w:rPr>
                <w:rFonts w:ascii="Arial" w:hAnsi="Arial"/>
                <w:lang w:eastAsia="zh-TW"/>
              </w:rPr>
              <w:t xml:space="preserve">y </w:t>
            </w:r>
          </w:p>
          <w:p w14:paraId="6FD50831" w14:textId="3F0F2807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r</w:t>
            </w:r>
            <w:r w:rsidRPr="00EB420C">
              <w:rPr>
                <w:rFonts w:ascii="Arial" w:hAnsi="Arial"/>
                <w:lang w:eastAsia="zh-TW"/>
              </w:rPr>
              <w:t xml:space="preserve">egistered 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 xml:space="preserve">applications as individual </w:t>
            </w:r>
            <w:r>
              <w:rPr>
                <w:rFonts w:ascii="Arial" w:hAnsi="Arial"/>
                <w:lang w:eastAsia="zh-TW"/>
              </w:rPr>
              <w:t>or ALS</w:t>
            </w:r>
            <w:r w:rsidRPr="00EB420C">
              <w:rPr>
                <w:rFonts w:ascii="Arial" w:hAnsi="Arial"/>
                <w:lang w:eastAsia="zh-TW"/>
              </w:rPr>
              <w:t xml:space="preserve"> members</w:t>
            </w:r>
          </w:p>
          <w:p w14:paraId="5AA8276D" w14:textId="6FF928CD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</w:p>
          <w:p w14:paraId="3BF5E3C5" w14:textId="128E99CE" w:rsidR="00EB420C" w:rsidRPr="00EB420C" w:rsidRDefault="00EB420C" w:rsidP="00EB420C">
            <w:pPr>
              <w:rPr>
                <w:rFonts w:ascii="Arial" w:hAnsi="Arial"/>
                <w:lang w:eastAsia="zh-TW"/>
              </w:rPr>
            </w:pPr>
            <w:r w:rsidRPr="00EB420C">
              <w:rPr>
                <w:rFonts w:ascii="Arial" w:hAnsi="Arial"/>
                <w:lang w:eastAsia="zh-TW"/>
              </w:rPr>
              <w:t>Enhanced recogni</w:t>
            </w:r>
            <w:r>
              <w:rPr>
                <w:rFonts w:ascii="Arial" w:hAnsi="Arial"/>
                <w:lang w:eastAsia="zh-TW"/>
              </w:rPr>
              <w:t xml:space="preserve">tion of the ALAC, the RALOs and At-Large </w:t>
            </w:r>
            <w:r w:rsidRPr="00EB420C">
              <w:rPr>
                <w:rFonts w:ascii="Arial" w:hAnsi="Arial"/>
                <w:lang w:eastAsia="zh-TW"/>
              </w:rPr>
              <w:t>at  regional events can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 xml:space="preserve">be demonstrated by a </w:t>
            </w:r>
          </w:p>
          <w:p w14:paraId="11D88D88" w14:textId="7BB210B0" w:rsidR="009A058F" w:rsidRDefault="00EB420C" w:rsidP="00EB420C">
            <w:p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logbook</w:t>
            </w:r>
            <w:r w:rsidRPr="00EB420C">
              <w:rPr>
                <w:rFonts w:ascii="Arial" w:hAnsi="Arial"/>
                <w:lang w:eastAsia="zh-TW"/>
              </w:rPr>
              <w:t xml:space="preserve"> of participants who</w:t>
            </w:r>
            <w:r>
              <w:rPr>
                <w:rFonts w:ascii="Arial" w:hAnsi="Arial"/>
                <w:lang w:eastAsia="zh-TW"/>
              </w:rPr>
              <w:t xml:space="preserve"> </w:t>
            </w:r>
            <w:r w:rsidRPr="00EB420C">
              <w:rPr>
                <w:rFonts w:ascii="Arial" w:hAnsi="Arial"/>
                <w:lang w:eastAsia="zh-TW"/>
              </w:rPr>
              <w:t xml:space="preserve"> interact with us at </w:t>
            </w:r>
            <w:r>
              <w:rPr>
                <w:rFonts w:ascii="Arial" w:hAnsi="Arial"/>
                <w:lang w:eastAsia="zh-TW"/>
              </w:rPr>
              <w:t xml:space="preserve">the At-Large Booth at ICANN meetings and other regional and global meetings. </w:t>
            </w:r>
          </w:p>
          <w:p w14:paraId="38EBA642" w14:textId="77777777" w:rsidR="00EB420C" w:rsidRDefault="00EB420C" w:rsidP="00EB420C">
            <w:pPr>
              <w:rPr>
                <w:rFonts w:ascii="Arial" w:hAnsi="Arial"/>
                <w:lang w:eastAsia="zh-TW"/>
              </w:rPr>
            </w:pP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accommodate  this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lastRenderedPageBreak/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6E6D6E9A" w:rsidR="003223B8" w:rsidRPr="00F576B8" w:rsidRDefault="008F65A6" w:rsidP="003223B8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Communication staff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738EF8C" w:rsidR="003223B8" w:rsidRPr="00F576B8" w:rsidRDefault="008F65A6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FY19</w:t>
                  </w: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4CB9C63B" w:rsidR="003223B8" w:rsidRPr="00F576B8" w:rsidRDefault="008F65A6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 xml:space="preserve">Part of regular activities 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2DB4644E" w:rsidR="003223B8" w:rsidRDefault="008F65A6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At-Large/Policy staff</w:t>
                  </w: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49F58A57" w:rsidR="003223B8" w:rsidRDefault="008F65A6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FY19</w:t>
                  </w:r>
                </w:p>
              </w:tc>
              <w:tc>
                <w:tcPr>
                  <w:tcW w:w="2009" w:type="dxa"/>
                </w:tcPr>
                <w:p w14:paraId="04952203" w14:textId="6BC91A46" w:rsidR="003223B8" w:rsidRDefault="008F65A6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Part of regular activities</w:t>
                  </w: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38219662" w:rsidR="003223B8" w:rsidRDefault="008F65A6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 xml:space="preserve">To facilitate requests and design work as well as procurement of banners and lapel pins. </w:t>
                  </w: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1B65BBC9" w:rsidR="003223B8" w:rsidRDefault="00EB420C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Graphic artists</w:t>
                  </w: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28E1CC23" w:rsidR="003223B8" w:rsidRDefault="00EB420C" w:rsidP="001B79F2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FY19</w:t>
                  </w: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77777777" w:rsidR="008F4418" w:rsidRDefault="008F4418" w:rsidP="00946200">
            <w:pPr>
              <w:pStyle w:val="TableText"/>
              <w:rPr>
                <w:noProof w:val="0"/>
              </w:rPr>
            </w:pP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3B5F281C" w:rsidR="008F4418" w:rsidRDefault="008F65A6" w:rsidP="008F65A6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 xml:space="preserve">Translation of brochures and mailcards as well as infographics. 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3DC63" w14:textId="77777777" w:rsidR="002E47E2" w:rsidRDefault="002E47E2">
      <w:r>
        <w:separator/>
      </w:r>
    </w:p>
  </w:endnote>
  <w:endnote w:type="continuationSeparator" w:id="0">
    <w:p w14:paraId="08ED6A6E" w14:textId="77777777" w:rsidR="002E47E2" w:rsidRDefault="002E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473EE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DTFA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363D90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363D90">
      <w:rPr>
        <w:rStyle w:val="PageNumber"/>
        <w:rFonts w:ascii="Arial" w:hAnsi="Arial"/>
        <w:noProof/>
      </w:rPr>
      <w:t>3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E821A" w14:textId="77777777" w:rsidR="002E47E2" w:rsidRDefault="002E47E2">
      <w:r>
        <w:separator/>
      </w:r>
    </w:p>
  </w:footnote>
  <w:footnote w:type="continuationSeparator" w:id="0">
    <w:p w14:paraId="685AE660" w14:textId="77777777" w:rsidR="002E47E2" w:rsidRDefault="002E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1FEE6F99" w:rsidR="009933BD" w:rsidRDefault="00111C1A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</w:t>
          </w:r>
          <w:r w:rsidR="00BC6E42">
            <w:rPr>
              <w:rFonts w:ascii="Arial" w:hAnsi="Arial"/>
              <w:b/>
              <w:color w:val="FFFFFF"/>
              <w:sz w:val="32"/>
            </w:rPr>
            <w:t>1</w:t>
          </w:r>
          <w:r w:rsidR="00765F29">
            <w:rPr>
              <w:rFonts w:ascii="Arial" w:hAnsi="Arial"/>
              <w:b/>
              <w:color w:val="FFFFFF"/>
              <w:sz w:val="32"/>
            </w:rPr>
            <w:t>9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141DB4"/>
    <w:multiLevelType w:val="hybridMultilevel"/>
    <w:tmpl w:val="7E18D7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2"/>
  </w:num>
  <w:num w:numId="5">
    <w:abstractNumId w:val="3"/>
  </w:num>
  <w:num w:numId="6">
    <w:abstractNumId w:val="19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8"/>
  </w:num>
  <w:num w:numId="12">
    <w:abstractNumId w:val="22"/>
  </w:num>
  <w:num w:numId="13">
    <w:abstractNumId w:val="1"/>
  </w:num>
  <w:num w:numId="14">
    <w:abstractNumId w:val="7"/>
  </w:num>
  <w:num w:numId="15">
    <w:abstractNumId w:val="16"/>
  </w:num>
  <w:num w:numId="16">
    <w:abstractNumId w:val="24"/>
  </w:num>
  <w:num w:numId="17">
    <w:abstractNumId w:val="4"/>
  </w:num>
  <w:num w:numId="18">
    <w:abstractNumId w:val="14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1"/>
  </w:num>
  <w:num w:numId="25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379B"/>
    <w:rsid w:val="00156975"/>
    <w:rsid w:val="00181F82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E47E2"/>
    <w:rsid w:val="002F444A"/>
    <w:rsid w:val="003223B8"/>
    <w:rsid w:val="00327418"/>
    <w:rsid w:val="00363D90"/>
    <w:rsid w:val="00390FCB"/>
    <w:rsid w:val="003A7367"/>
    <w:rsid w:val="003D2FC2"/>
    <w:rsid w:val="003F231E"/>
    <w:rsid w:val="003F32A0"/>
    <w:rsid w:val="00420E54"/>
    <w:rsid w:val="0042288D"/>
    <w:rsid w:val="005145C9"/>
    <w:rsid w:val="00514B5C"/>
    <w:rsid w:val="005300CD"/>
    <w:rsid w:val="00542865"/>
    <w:rsid w:val="005428F3"/>
    <w:rsid w:val="005A15AF"/>
    <w:rsid w:val="005D76FA"/>
    <w:rsid w:val="006003A1"/>
    <w:rsid w:val="0064760B"/>
    <w:rsid w:val="006E40CC"/>
    <w:rsid w:val="006E71B7"/>
    <w:rsid w:val="006F34E0"/>
    <w:rsid w:val="00727880"/>
    <w:rsid w:val="00747390"/>
    <w:rsid w:val="00765F29"/>
    <w:rsid w:val="00777F50"/>
    <w:rsid w:val="00794D7A"/>
    <w:rsid w:val="007C1649"/>
    <w:rsid w:val="007C1D31"/>
    <w:rsid w:val="007C438B"/>
    <w:rsid w:val="00812455"/>
    <w:rsid w:val="00836C9F"/>
    <w:rsid w:val="008743DF"/>
    <w:rsid w:val="008B5196"/>
    <w:rsid w:val="008C27DD"/>
    <w:rsid w:val="008F2EF4"/>
    <w:rsid w:val="008F4418"/>
    <w:rsid w:val="008F65A6"/>
    <w:rsid w:val="009032EF"/>
    <w:rsid w:val="009158E7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C25AF0"/>
    <w:rsid w:val="00C56DB3"/>
    <w:rsid w:val="00CB7AEF"/>
    <w:rsid w:val="00CC4C7E"/>
    <w:rsid w:val="00CD143C"/>
    <w:rsid w:val="00CD3520"/>
    <w:rsid w:val="00CE25F6"/>
    <w:rsid w:val="00D037DD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B420C"/>
    <w:rsid w:val="00EE1F95"/>
    <w:rsid w:val="00EF13F9"/>
    <w:rsid w:val="00EF3511"/>
    <w:rsid w:val="00F02B69"/>
    <w:rsid w:val="00F34D86"/>
    <w:rsid w:val="00F412F1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9F9308"/>
  <w15:docId w15:val="{BC5664DE-A596-4C92-9CFD-103D3573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2018-01-31T17:42:00Z</dcterms:created>
  <dcterms:modified xsi:type="dcterms:W3CDTF">2018-01-31T17:42:00Z</dcterms:modified>
</cp:coreProperties>
</file>