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Proposed Framework of Interpretation and Considerations concerning ICANN’s Human Rights Bylaw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rPr>
      </w:pPr>
      <w:r w:rsidDel="00000000" w:rsidR="00000000" w:rsidRPr="00000000">
        <w:rPr>
          <w:b w:val="1"/>
          <w:rtl w:val="0"/>
        </w:rPr>
        <w:t xml:space="preserve">Prelude: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t xml:space="preserve">With ICANN’s most recent bylaw change a Human Rights Core Value</w:t>
      </w:r>
      <w:r w:rsidDel="00000000" w:rsidR="00000000" w:rsidRPr="00000000">
        <w:rPr>
          <w:vertAlign w:val="superscript"/>
        </w:rPr>
        <w:footnoteReference w:customMarkFollows="0" w:id="0"/>
      </w:r>
      <w:r w:rsidDel="00000000" w:rsidR="00000000" w:rsidRPr="00000000">
        <w:rPr>
          <w:rtl w:val="0"/>
        </w:rPr>
        <w:t xml:space="preserve"> was added to ICANN’s bylaws. In order for this bylaw to come into effect, a Framework of Interpretation should be ‘approved for submission to the Board by the CCWG-Accountability as a consensus recommendation in Work Stream 2’, as outlined in section 27.2 of ICANN’s bylaws</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highlight w:val="white"/>
        </w:rPr>
      </w:pPr>
      <w:r w:rsidDel="00000000" w:rsidR="00000000" w:rsidRPr="00000000">
        <w:rPr>
          <w:rtl w:val="0"/>
        </w:rPr>
        <w:t xml:space="preserve">The first part of this document is the proposed Framework of Interpretation for the ICANN Bylaw on Human Rights. The second part of this document </w:t>
      </w:r>
      <w:r w:rsidDel="00000000" w:rsidR="00000000" w:rsidRPr="00000000">
        <w:rPr>
          <w:highlight w:val="white"/>
          <w:rtl w:val="0"/>
        </w:rPr>
        <w:t xml:space="preserve">addresses the “considerations” listed in paragraph 24 of</w:t>
      </w:r>
      <w:hyperlink r:id="rId6">
        <w:r w:rsidDel="00000000" w:rsidR="00000000" w:rsidRPr="00000000">
          <w:rPr>
            <w:highlight w:val="white"/>
            <w:rtl w:val="0"/>
          </w:rPr>
          <w:t xml:space="preserve"> </w:t>
        </w:r>
      </w:hyperlink>
      <w:r w:rsidDel="00000000" w:rsidR="00000000" w:rsidRPr="00000000">
        <w:rPr>
          <w:highlight w:val="white"/>
          <w:rtl w:val="0"/>
        </w:rPr>
        <w:t xml:space="preserve">Annex 12 of the CCWG Accountability Final Report.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highlight w:val="white"/>
          <w:rtl w:val="0"/>
        </w:rPr>
        <w:t xml:space="preserve">This document was </w:t>
      </w:r>
      <w:r w:rsidDel="00000000" w:rsidR="00000000" w:rsidRPr="00000000">
        <w:rPr>
          <w:rtl w:val="0"/>
        </w:rPr>
        <w:t xml:space="preserve">produced by the Cross Community Working Group on Enhancing ICANN’s Accountability Sub Group on Human Rights (CCWG SG HR) for discussion in the Cross Community Working Group on Enhancing ICANN’s accountability (CCWG) plenary. This is a full consensus document produced by the CCWG SG HR.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 </w:t>
        <w:tab/>
        <w:t xml:space="preserve"> </w:t>
        <w:tab/>
      </w:r>
    </w:p>
    <w:tbl>
      <w:tblPr>
        <w:tblStyle w:val="Table1"/>
        <w:tblW w:w="9483.30708661417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503.307086614173"/>
        <w:tblGridChange w:id="0">
          <w:tblGrid>
            <w:gridCol w:w="1980"/>
            <w:gridCol w:w="7503.307086614173"/>
          </w:tblGrid>
        </w:tblGridChange>
      </w:tblGrid>
      <w:tr>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hd w:fill="d9d9d9" w:val="clear"/>
              </w:rPr>
            </w:pPr>
            <w:r w:rsidDel="00000000" w:rsidR="00000000" w:rsidRPr="00000000">
              <w:rPr>
                <w:b w:val="1"/>
                <w:shd w:fill="d9d9d9" w:val="clear"/>
                <w:rtl w:val="0"/>
              </w:rPr>
              <w:tab/>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hd w:fill="d9d9d9" w:val="clear"/>
              </w:rPr>
            </w:pPr>
            <w:r w:rsidDel="00000000" w:rsidR="00000000" w:rsidRPr="00000000">
              <w:rPr>
                <w:b w:val="1"/>
                <w:shd w:fill="d9d9d9" w:val="clear"/>
                <w:rtl w:val="0"/>
              </w:rPr>
              <w:t xml:space="preserve">ICANN Bylaw Language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shd w:fill="d9d9d9" w:val="clear"/>
                <w:rtl w:val="0"/>
              </w:rPr>
              <w:tab/>
              <w:tab/>
            </w:r>
            <w:r w:rsidDel="00000000" w:rsidR="00000000" w:rsidRPr="00000000">
              <w:rPr>
                <w:rtl w:val="0"/>
              </w:rPr>
            </w:r>
          </w:p>
        </w:tc>
        <w:tc>
          <w:tcPr>
            <w:tcBorders>
              <w:bottom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hd w:fill="d9d9d9" w:val="clear"/>
              </w:rPr>
            </w:pPr>
            <w:r w:rsidDel="00000000" w:rsidR="00000000" w:rsidRPr="00000000">
              <w:rPr>
                <w:b w:val="1"/>
                <w:shd w:fill="d9d9d9" w:val="clear"/>
                <w:rtl w:val="0"/>
              </w:rPr>
              <w:tab/>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hd w:fill="d9d9d9" w:val="clear"/>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hd w:fill="d9d9d9" w:val="clear"/>
              </w:rPr>
            </w:pPr>
            <w:r w:rsidDel="00000000" w:rsidR="00000000" w:rsidRPr="00000000">
              <w:rPr>
                <w:b w:val="1"/>
                <w:shd w:fill="d9d9d9" w:val="clear"/>
                <w:rtl w:val="0"/>
              </w:rPr>
              <w:t xml:space="preserve">Framework of Interpretation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shd w:fill="d9d9d9" w:val="clear"/>
                <w:rtl w:val="0"/>
              </w:rPr>
              <w:tab/>
              <w:tab/>
            </w:r>
            <w:r w:rsidDel="00000000" w:rsidR="00000000" w:rsidRPr="00000000">
              <w:rPr>
                <w:rtl w:val="0"/>
              </w:rPr>
            </w:r>
          </w:p>
        </w:tc>
      </w:tr>
      <w:tr>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highlight w:val="white"/>
                <w:rtl w:val="0"/>
              </w:rPr>
              <w:t xml:space="preserve">‘within the scope of its Mission’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ICANN’s Mission is set forth in Section 1.1 of the ICANN Bylaws (see Annex 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The Mission establishes the boundaries of ICANN’s Core Value to respect human rights. Due to the broad scope of human rights, attention to this limitation is necessary to ensure that ICANN will not step outside of its defined scope and mission. In this regard, any interpretation of the application of the Human Rights Core Value - provided in the Framework of Interpretation - must be checked against ICANN’s Mission to ensure compliance with the general limitations provided in this part of the Bylaw.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 w:lineRule="auto"/>
              <w:contextualSpacing w:val="0"/>
              <w:rPr>
                <w:highlight w:val="white"/>
              </w:rPr>
            </w:pPr>
            <w:r w:rsidDel="00000000" w:rsidR="00000000" w:rsidRPr="00000000">
              <w:rPr>
                <w:rtl w:val="0"/>
              </w:rPr>
            </w:r>
          </w:p>
        </w:tc>
      </w:tr>
      <w:tr>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highlight w:val="white"/>
                <w:rtl w:val="0"/>
              </w:rPr>
              <w:t xml:space="preserve">‘within the scope of other Core Values’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It is important to stress that the Human Rights Bylaw is a Core Value and not a Commitment.  </w:t>
            </w:r>
            <w:r w:rsidDel="00000000" w:rsidR="00000000" w:rsidRPr="00000000">
              <w:rPr>
                <w:rFonts w:ascii="Times New Roman" w:cs="Times New Roman" w:eastAsia="Times New Roman" w:hAnsi="Times New Roman"/>
                <w:i w:val="1"/>
                <w:sz w:val="24"/>
                <w:szCs w:val="24"/>
                <w:highlight w:val="white"/>
                <w:rtl w:val="0"/>
              </w:rPr>
              <w:t xml:space="preserve">“The Commitments reflect ICANN’s fundamental compact with the global Internet community and are intended to apply consistently and comprehensively to ICANN’s activities.”</w:t>
            </w:r>
            <w:r w:rsidDel="00000000" w:rsidR="00000000" w:rsidRPr="00000000">
              <w:rPr>
                <w:highlight w:val="white"/>
                <w:rtl w:val="0"/>
              </w:rPr>
              <w:t xml:space="preserve"> (Bylaws, Section 1.2(c))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In contrast, Core Values are not necessarily intended to apply consistently and comprehensively to ICANN’s activities.  Rather, the Core Values are subject to the following interpretive rules in the Bylaws: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ind w:left="720" w:firstLine="0"/>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balanced with another, potentially competing Core Value, the result of the balancing must serve a policy developed through the bottom-up multistakeholder process or otherwise best serve ICANN’s Mission.”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ind w:left="720" w:firstLine="0"/>
              <w:contextualSpacing w:val="0"/>
              <w:rPr>
                <w:sz w:val="20"/>
                <w:szCs w:val="20"/>
                <w:highlight w:val="white"/>
              </w:rPr>
            </w:pPr>
            <w:r w:rsidDel="00000000" w:rsidR="00000000" w:rsidRPr="00000000">
              <w:rPr>
                <w:sz w:val="20"/>
                <w:szCs w:val="20"/>
                <w:highlight w:val="white"/>
                <w:rtl w:val="0"/>
              </w:rPr>
              <w:t xml:space="preserve">Bylaws, Section 1.2(c).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sz w:val="20"/>
                <w:szCs w:val="20"/>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The Human Rights bylaw needs to be balanced against other Core Values in the case where not all Core Values can be fully adhered to simultaneously. Furthermore, this interpretive rule recognises that there must be flexibility in applying the Core Values, based on “many factors” that occur in “any given situation.”  This is also made clear in the Core Values section of the Bylaws, which states that the Core Values are intended to “guide” ICANN in its “decisions and actions.”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The Bylaws also prominently stress that the Core Values have to be “respected” (</w:t>
            </w:r>
            <w:r w:rsidDel="00000000" w:rsidR="00000000" w:rsidRPr="00000000">
              <w:rPr>
                <w:highlight w:val="white"/>
                <w:rtl w:val="0"/>
              </w:rPr>
              <w:t xml:space="preserve">“</w:t>
            </w:r>
            <w:r w:rsidDel="00000000" w:rsidR="00000000" w:rsidRPr="00000000">
              <w:rPr>
                <w:color w:val="333333"/>
                <w:sz w:val="24"/>
                <w:szCs w:val="24"/>
                <w:highlight w:val="white"/>
                <w:rtl w:val="0"/>
              </w:rPr>
              <w:t xml:space="preserve">ICANN will act in a manner that complies wi</w:t>
            </w:r>
            <w:r w:rsidDel="00000000" w:rsidR="00000000" w:rsidRPr="00000000">
              <w:rPr>
                <w:highlight w:val="white"/>
                <w:rtl w:val="0"/>
              </w:rPr>
              <w:t xml:space="preserve">th and reflects ICANN's Commitments and respects ICANN's Core </w:t>
            </w:r>
            <w:r w:rsidDel="00000000" w:rsidR="00000000" w:rsidRPr="00000000">
              <w:rPr>
                <w:highlight w:val="white"/>
                <w:rtl w:val="0"/>
              </w:rPr>
              <w:t xml:space="preserve">Values</w:t>
            </w:r>
            <w:r w:rsidDel="00000000" w:rsidR="00000000" w:rsidRPr="00000000">
              <w:rPr>
                <w:highlight w:val="white"/>
                <w:rtl w:val="0"/>
              </w:rPr>
              <w:t xml:space="preserve">” as stipulated in Bylaws, Section 1.2).</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Finally, there is no standing hierarchy in the treatment of the different Core Values; they are guiding elements that need, as appropriate, to be taken into account. </w:t>
            </w:r>
            <w:r w:rsidDel="00000000" w:rsidR="00000000" w:rsidRPr="00000000">
              <w:rPr>
                <w:highlight w:val="white"/>
                <w:rtl w:val="0"/>
              </w:rPr>
              <w:t xml:space="preserve"> The balance must be determined on a case by case basis, on the basis of proportionality, without automatically favoring any particular Core Value. The result of a balancing-test must not cause ICANN to violate any Commitment, as Commitments are </w:t>
            </w:r>
            <w:r w:rsidDel="00000000" w:rsidR="00000000" w:rsidRPr="00000000">
              <w:rPr>
                <w:highlight w:val="white"/>
                <w:rtl w:val="0"/>
              </w:rPr>
              <w:t xml:space="preserve">binding</w:t>
            </w:r>
            <w:r w:rsidDel="00000000" w:rsidR="00000000" w:rsidRPr="00000000">
              <w:rPr>
                <w:highlight w:val="white"/>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The other Core Values are set forth in Annex two of this document.</w:t>
            </w:r>
            <w:r w:rsidDel="00000000" w:rsidR="00000000" w:rsidRPr="00000000">
              <w:rPr>
                <w:rtl w:val="0"/>
              </w:rPr>
            </w:r>
          </w:p>
        </w:tc>
      </w:tr>
      <w:tr>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highlight w:val="white"/>
                <w:rtl w:val="0"/>
              </w:rPr>
              <w:t xml:space="preserve">‘respecting’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ICANN will respect human rights, as required by applicable law (see below on applicable law). In order to do so,  ICANN should avoid violating human rights, and take human rights into account in developing its policies as well as in its decision-making processes. </w:t>
            </w:r>
            <w:r w:rsidDel="00000000" w:rsidR="00000000" w:rsidRPr="00000000">
              <w:rPr>
                <w:rtl w:val="0"/>
              </w:rPr>
            </w:r>
          </w:p>
        </w:tc>
      </w:tr>
      <w:tr>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highlight w:val="white"/>
                <w:rtl w:val="0"/>
              </w:rPr>
              <w:t xml:space="preserve">‘internationally recognized human rights’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There are a range of i</w:t>
            </w:r>
            <w:r w:rsidDel="00000000" w:rsidR="00000000" w:rsidRPr="00000000">
              <w:rPr>
                <w:highlight w:val="white"/>
                <w:rtl w:val="0"/>
              </w:rPr>
              <w:t xml:space="preserve">nternational human-rights declarations and covenants that could be relevant to ICANN’s Human Rights Core Value.</w:t>
            </w:r>
            <w:r w:rsidDel="00000000" w:rsidR="00000000" w:rsidRPr="00000000">
              <w:rPr>
                <w:highlight w:val="white"/>
                <w:vertAlign w:val="superscript"/>
              </w:rPr>
              <w:footnoteReference w:customMarkFollows="0" w:id="2"/>
            </w:r>
            <w:r w:rsidDel="00000000" w:rsidR="00000000" w:rsidRPr="00000000">
              <w:rPr>
                <w:highlight w:val="white"/>
                <w:rtl w:val="0"/>
              </w:rPr>
              <w:t xml:space="preserve"> </w:t>
            </w:r>
            <w:r w:rsidDel="00000000" w:rsidR="00000000" w:rsidRPr="00000000">
              <w:rPr>
                <w:highlight w:val="white"/>
                <w:rtl w:val="0"/>
              </w:rPr>
              <w:t xml:space="preserve">However, none of these instruments has a direct application to ICANN, because they only create obligations for States. By committing to one or more of these international instruments, nation states are expected to embed human rights in their national legislation.</w:t>
            </w:r>
            <w:r w:rsidDel="00000000" w:rsidR="00000000" w:rsidRPr="00000000">
              <w:rPr>
                <w:highlight w:val="white"/>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The reference to</w:t>
            </w:r>
            <w:r w:rsidDel="00000000" w:rsidR="00000000" w:rsidRPr="00000000">
              <w:rPr>
                <w:highlight w:val="white"/>
                <w:rtl w:val="0"/>
              </w:rPr>
              <w:t xml:space="preserve"> “internationally recognized human rights</w:t>
            </w:r>
            <w:r w:rsidDel="00000000" w:rsidR="00000000" w:rsidRPr="00000000">
              <w:rPr>
                <w:highlight w:val="white"/>
                <w:rtl w:val="0"/>
              </w:rPr>
              <w:t xml:space="preserve">” in the bylaw should not be read in isolation; rather it must be considered together  with, and limited by, the reference “</w:t>
            </w:r>
            <w:r w:rsidDel="00000000" w:rsidR="00000000" w:rsidRPr="00000000">
              <w:rPr>
                <w:highlight w:val="white"/>
                <w:rtl w:val="0"/>
              </w:rPr>
              <w:t xml:space="preserve">as required by applicable law.” </w:t>
            </w:r>
            <w:r w:rsidDel="00000000" w:rsidR="00000000" w:rsidRPr="00000000">
              <w:rPr>
                <w:highlight w:val="white"/>
                <w:rtl w:val="0"/>
              </w:rPr>
              <w:t xml:space="preserve"> As a consequence, under the Human Rights Core Value, international human rights instruments are not directly applicable to ICANN beyond what is provided for in applicable law.  Rather, only those human rights that are “required by applicable law” will be relevant to ICANN.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Furthermore, depending on the jurisdiction in which ICANN operates, the law applicable to its operations may vary and thus the human rights applicable to ICANN’s operations will vary as well.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 w:lineRule="auto"/>
              <w:contextualSpacing w:val="0"/>
              <w:rPr>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 w:lineRule="auto"/>
              <w:contextualSpacing w:val="0"/>
              <w:rPr>
                <w:highlight w:val="white"/>
              </w:rPr>
            </w:pPr>
            <w:r w:rsidDel="00000000" w:rsidR="00000000" w:rsidRPr="00000000">
              <w:rPr>
                <w:highlight w:val="white"/>
                <w:rtl w:val="0"/>
              </w:rPr>
              <w:t xml:space="preserve">Nevertheless, ICANN understands that internationally recognised human rights, including those expressed in the Universal Declaration of Human Rights, can guide its decisions and actions.</w:t>
            </w:r>
            <w:r w:rsidDel="00000000" w:rsidR="00000000" w:rsidRPr="00000000">
              <w:rPr>
                <w:rtl w:val="0"/>
              </w:rPr>
            </w:r>
          </w:p>
        </w:tc>
      </w:tr>
      <w:tr>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highlight w:val="white"/>
                <w:rtl w:val="0"/>
              </w:rPr>
              <w:t xml:space="preserve">‘as required by applicable law’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“Applicable law” refers to the body of law that binds ICANN at any given time, in any given circumstance and in any relevant jurisdiction. It consists of statutes, rules, regulations, etcetera, as well as judicial opinions, where appropriate. It is a dynamic concept inasmuch as laws, regulations, etcetera, change over time.</w:t>
            </w:r>
            <w:r w:rsidDel="00000000" w:rsidR="00000000" w:rsidRPr="00000000">
              <w:rPr>
                <w:highlight w:val="white"/>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Applicable law can have disparate impacts on ICANN around the globe: for example, if ICANN employs personnel in different jurisdictions then it must observe the appropriate labour laws in those various locales.  Applicable law is thus a large body of law that eludes our ability to catalogue, but it is ascertainable in the context of a specific question or issue.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This limitation requires an analysis to determine whether any human right that is proposed as a guide or limitation to ICANN activities or policy is “required by applicable law”.  If it is, then abiding by the Core Value should include avoiding a violation of that Human Right.  If the human right is not required by applicable law, then it does not raise issues under the Core Value.  However, ICANN may still give this human right consideration, even though it is under no guidance to do so pursuant to the Core Values.</w:t>
            </w:r>
            <w:r w:rsidDel="00000000" w:rsidR="00000000" w:rsidRPr="00000000">
              <w:rPr>
                <w:rtl w:val="0"/>
              </w:rPr>
            </w:r>
          </w:p>
        </w:tc>
      </w:tr>
      <w:tr>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highlight w:val="white"/>
                <w:rtl w:val="0"/>
              </w:rPr>
              <w:t xml:space="preserve">‘This Core Value does not create, and shall not be interpreted to create, any obligation on ICANN outside its Mission or beyond obligations found in applicable law’’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This sentence restates the basic concept that the Human Rights Core Value cannot create or be used to create any obligations that go beyond the limits of ICANN’s Mission or applicable law.</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rtl w:val="0"/>
              </w:rPr>
            </w:r>
          </w:p>
        </w:tc>
      </w:tr>
      <w:tr>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highlight w:val="white"/>
                <w:rtl w:val="0"/>
              </w:rPr>
              <w:t xml:space="preserve">‘This Core Value does not obligate ICANN to enforce its human rights obligations or the human rights obligations of other parties, against other parties’</w:t>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1.20000000000005" w:lineRule="auto"/>
              <w:contextualSpacing w:val="0"/>
              <w:rPr>
                <w:highlight w:val="white"/>
              </w:rPr>
            </w:pPr>
            <w:r w:rsidDel="00000000" w:rsidR="00000000" w:rsidRPr="00000000">
              <w:rPr>
                <w:highlight w:val="white"/>
                <w:rtl w:val="0"/>
              </w:rPr>
              <w:t xml:space="preserve">This part of the bylaw draws the clear line between “respect” for human rights as a Core Value and any attempt to extend the Bylaw into requiring ICANN to enforce the human rights obligations of ICANN or any other party against other parties.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0000000000005"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0000000000005" w:lineRule="auto"/>
        <w:contextualSpacing w:val="0"/>
        <w:rPr>
          <w:b w:val="1"/>
        </w:rPr>
      </w:pPr>
      <w:r w:rsidDel="00000000" w:rsidR="00000000" w:rsidRPr="00000000">
        <w:rPr>
          <w:rtl w:val="0"/>
        </w:rPr>
      </w:r>
    </w:p>
    <w:tbl>
      <w:tblPr>
        <w:tblStyle w:val="Table2"/>
        <w:tblW w:w="9375.0" w:type="dxa"/>
        <w:jc w:val="left"/>
        <w:tblInd w:w="226.7716535433071" w:type="pct"/>
        <w:tblLayout w:type="fixed"/>
        <w:tblLook w:val="0600"/>
      </w:tblPr>
      <w:tblGrid>
        <w:gridCol w:w="2055"/>
        <w:gridCol w:w="7320"/>
        <w:tblGridChange w:id="0">
          <w:tblGrid>
            <w:gridCol w:w="2055"/>
            <w:gridCol w:w="7320"/>
          </w:tblGrid>
        </w:tblGridChange>
      </w:tblGrid>
      <w:tr>
        <w:tc>
          <w:tcPr>
            <w:tcBorders>
              <w:top w:color="000000" w:space="0" w:sz="8" w:val="single"/>
              <w:left w:color="000000" w:space="0" w:sz="8" w:val="single"/>
              <w:bottom w:color="000000" w:space="0" w:sz="8" w:val="single"/>
              <w:right w:color="000000" w:space="0" w:sz="8" w:val="single"/>
            </w:tcBorders>
            <w:shd w:fill="d9d9d9" w:val="clear"/>
            <w:tcMar>
              <w:top w:w="226.7716535433071" w:type="dxa"/>
              <w:left w:w="226.7716535433071" w:type="dxa"/>
              <w:bottom w:w="226.7716535433071" w:type="dxa"/>
              <w:right w:w="226.7716535433071" w:type="dxa"/>
            </w:tcMar>
            <w:vAlign w:val="top"/>
          </w:tcPr>
          <w:p w:rsidR="00000000" w:rsidDel="00000000" w:rsidP="00000000" w:rsidRDefault="00000000" w:rsidRPr="00000000">
            <w:pPr>
              <w:spacing w:line="331.2" w:lineRule="auto"/>
              <w:ind w:left="-100" w:firstLine="0"/>
              <w:contextualSpacing w:val="0"/>
              <w:rPr>
                <w:b w:val="1"/>
              </w:rPr>
            </w:pPr>
            <w:r w:rsidDel="00000000" w:rsidR="00000000" w:rsidRPr="00000000">
              <w:rPr>
                <w:b w:val="1"/>
                <w:shd w:fill="d9d9d9" w:val="clear"/>
                <w:rtl w:val="0"/>
              </w:rPr>
              <w:t xml:space="preserve">Considerations Language (from Annex 12 CCWG report, paragraph 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226.7716535433071" w:type="dxa"/>
              <w:left w:w="226.7716535433071" w:type="dxa"/>
              <w:bottom w:w="226.7716535433071" w:type="dxa"/>
              <w:right w:w="226.7716535433071" w:type="dxa"/>
            </w:tcMar>
            <w:vAlign w:val="top"/>
          </w:tcPr>
          <w:p w:rsidR="00000000" w:rsidDel="00000000" w:rsidP="00000000" w:rsidRDefault="00000000" w:rsidRPr="00000000">
            <w:pPr>
              <w:spacing w:line="331.2" w:lineRule="auto"/>
              <w:ind w:left="-100" w:firstLine="0"/>
              <w:contextualSpacing w:val="0"/>
              <w:rPr>
                <w:b w:val="1"/>
                <w:shd w:fill="d9d9d9" w:val="clear"/>
              </w:rPr>
            </w:pPr>
            <w:r w:rsidDel="00000000" w:rsidR="00000000" w:rsidRPr="00000000">
              <w:rPr>
                <w:b w:val="1"/>
                <w:shd w:fill="d9d9d9" w:val="clear"/>
                <w:rtl w:val="0"/>
              </w:rPr>
              <w:tab/>
              <w:tab/>
              <w:tab/>
            </w:r>
          </w:p>
          <w:p w:rsidR="00000000" w:rsidDel="00000000" w:rsidP="00000000" w:rsidRDefault="00000000" w:rsidRPr="00000000">
            <w:pPr>
              <w:spacing w:line="331.2" w:lineRule="auto"/>
              <w:ind w:left="-100" w:firstLine="0"/>
              <w:contextualSpacing w:val="0"/>
              <w:rPr>
                <w:b w:val="1"/>
                <w:shd w:fill="d9d9d9" w:val="clear"/>
              </w:rPr>
            </w:pPr>
            <w:r w:rsidDel="00000000" w:rsidR="00000000" w:rsidRPr="00000000">
              <w:rPr>
                <w:rtl w:val="0"/>
              </w:rPr>
            </w:r>
          </w:p>
          <w:p w:rsidR="00000000" w:rsidDel="00000000" w:rsidP="00000000" w:rsidRDefault="00000000" w:rsidRPr="00000000">
            <w:pPr>
              <w:spacing w:line="331.2" w:lineRule="auto"/>
              <w:ind w:left="-100" w:firstLine="0"/>
              <w:contextualSpacing w:val="0"/>
              <w:rPr>
                <w:b w:val="1"/>
                <w:shd w:fill="d9d9d9" w:val="clear"/>
              </w:rPr>
            </w:pPr>
            <w:r w:rsidDel="00000000" w:rsidR="00000000" w:rsidRPr="00000000">
              <w:rPr>
                <w:b w:val="1"/>
                <w:shd w:fill="d9d9d9" w:val="clear"/>
                <w:rtl w:val="0"/>
              </w:rPr>
              <w:t xml:space="preserve"> </w:t>
            </w:r>
          </w:p>
          <w:p w:rsidR="00000000" w:rsidDel="00000000" w:rsidP="00000000" w:rsidRDefault="00000000" w:rsidRPr="00000000">
            <w:pPr>
              <w:spacing w:line="331.2" w:lineRule="auto"/>
              <w:ind w:left="-100" w:firstLine="0"/>
              <w:contextualSpacing w:val="0"/>
              <w:rPr>
                <w:b w:val="1"/>
              </w:rPr>
            </w:pPr>
            <w:r w:rsidDel="00000000" w:rsidR="00000000" w:rsidRPr="00000000">
              <w:rPr>
                <w:b w:val="1"/>
                <w:shd w:fill="d9d9d9" w:val="clear"/>
                <w:rtl w:val="0"/>
              </w:rPr>
              <w:tab/>
              <w:tab/>
              <w:t xml:space="preserve">Considerations by the Human Rights Subgroup </w:t>
            </w:r>
            <w:r w:rsidDel="00000000" w:rsidR="00000000" w:rsidRPr="00000000">
              <w:rPr>
                <w:rtl w:val="0"/>
              </w:rPr>
            </w:r>
          </w:p>
        </w:tc>
      </w:tr>
      <w:tr>
        <w:tc>
          <w:tcPr>
            <w:tcBorders>
              <w:top w:color="000000" w:space="0" w:sz="8" w:val="single"/>
              <w:left w:color="000001" w:space="0" w:sz="6" w:val="single"/>
              <w:bottom w:color="000001" w:space="0" w:sz="6" w:val="single"/>
              <w:right w:color="000001" w:space="0" w:sz="6" w:val="single"/>
            </w:tcBorders>
            <w:shd w:fill="ffffff" w:val="clear"/>
            <w:tcMar>
              <w:top w:w="226.7716535433071" w:type="dxa"/>
              <w:left w:w="226.7716535433071" w:type="dxa"/>
              <w:bottom w:w="226.7716535433071" w:type="dxa"/>
              <w:right w:w="226.7716535433071" w:type="dxa"/>
            </w:tcMar>
            <w:vAlign w:val="top"/>
          </w:tcPr>
          <w:p w:rsidR="00000000" w:rsidDel="00000000" w:rsidP="00000000" w:rsidRDefault="00000000" w:rsidRPr="00000000">
            <w:pPr>
              <w:spacing w:line="331.2" w:lineRule="auto"/>
              <w:ind w:left="-100" w:firstLine="0"/>
              <w:contextualSpacing w:val="0"/>
              <w:rPr>
                <w:highlight w:val="white"/>
              </w:rPr>
            </w:pPr>
            <w:r w:rsidDel="00000000" w:rsidR="00000000" w:rsidRPr="00000000">
              <w:rPr>
                <w:rtl w:val="0"/>
              </w:rPr>
            </w:r>
          </w:p>
        </w:tc>
        <w:tc>
          <w:tcPr>
            <w:tcBorders>
              <w:top w:color="000000" w:space="0" w:sz="8" w:val="single"/>
              <w:left w:color="000001" w:space="0" w:sz="6" w:val="single"/>
              <w:bottom w:color="000001" w:space="0" w:sz="6" w:val="single"/>
              <w:right w:color="000001" w:space="0" w:sz="6" w:val="single"/>
            </w:tcBorders>
            <w:shd w:fill="ffffff" w:val="clear"/>
            <w:tcMar>
              <w:top w:w="226.7716535433071" w:type="dxa"/>
              <w:left w:w="226.7716535433071" w:type="dxa"/>
              <w:bottom w:w="226.7716535433071" w:type="dxa"/>
              <w:right w:w="226.7716535433071" w:type="dxa"/>
            </w:tcMar>
            <w:vAlign w:val="top"/>
          </w:tcPr>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The following part of the document addresses the “considerations” listed in paragraph 24 of Annex 12 of the CCWG Accountability Final Report.</w:t>
            </w:r>
          </w:p>
        </w:tc>
      </w:tr>
      <w:tr>
        <w:tc>
          <w:tcPr>
            <w:tcBorders>
              <w:top w:color="000001" w:space="0" w:sz="6" w:val="single"/>
              <w:left w:color="000001" w:space="0" w:sz="6" w:val="single"/>
              <w:bottom w:color="000001" w:space="0" w:sz="6" w:val="single"/>
              <w:right w:color="000001" w:space="0" w:sz="6" w:val="single"/>
            </w:tcBorders>
            <w:shd w:fill="ffffff" w:val="clear"/>
            <w:tcMar>
              <w:top w:w="226.7716535433071" w:type="dxa"/>
              <w:left w:w="226.7716535433071" w:type="dxa"/>
              <w:bottom w:w="226.7716535433071" w:type="dxa"/>
              <w:right w:w="226.7716535433071" w:type="dxa"/>
            </w:tcMar>
            <w:vAlign w:val="top"/>
          </w:tcPr>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Consider which specific Human Rights conventions or other instruments, if any, should be</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used by ICANN in interpreting and implementing the Human Rights Bylaw.</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226.7716535433071" w:type="dxa"/>
              <w:left w:w="226.7716535433071" w:type="dxa"/>
              <w:bottom w:w="226.7716535433071" w:type="dxa"/>
              <w:right w:w="226.7716535433071" w:type="dxa"/>
            </w:tcMar>
            <w:vAlign w:val="top"/>
          </w:tcPr>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ICANN, as a non-state private entity, is not a party to any Human Rights declaration, convention or instrument. </w:t>
            </w:r>
            <w:r w:rsidDel="00000000" w:rsidR="00000000" w:rsidRPr="00000000">
              <w:rPr>
                <w:highlight w:val="white"/>
                <w:rtl w:val="0"/>
              </w:rPr>
              <w:t xml:space="preserve">However, ICANN the community and the organization could refer to any of the widely adopted Human Rights declarations, conventions and other instruments</w:t>
            </w:r>
            <w:r w:rsidDel="00000000" w:rsidR="00000000" w:rsidRPr="00000000">
              <w:rPr>
                <w:highlight w:val="white"/>
                <w:vertAlign w:val="superscript"/>
              </w:rPr>
              <w:footnoteReference w:customMarkFollows="0" w:id="3"/>
            </w:r>
            <w:r w:rsidDel="00000000" w:rsidR="00000000" w:rsidRPr="00000000">
              <w:rPr>
                <w:highlight w:val="white"/>
                <w:rtl w:val="0"/>
              </w:rPr>
              <w:t xml:space="preserve"> while taking human rights into account in its policies and operations.  It should be noted that the bylaw was not written with one specific Human Rights declaration, convention or other instrument in mind.</w:t>
            </w:r>
            <w:r w:rsidDel="00000000" w:rsidR="00000000" w:rsidRPr="00000000">
              <w:rPr>
                <w:rtl w:val="0"/>
              </w:rPr>
            </w:r>
          </w:p>
          <w:p w:rsidR="00000000" w:rsidDel="00000000" w:rsidP="00000000" w:rsidRDefault="00000000" w:rsidRPr="00000000">
            <w:pPr>
              <w:spacing w:line="331.2" w:lineRule="auto"/>
              <w:ind w:left="-100" w:firstLine="0"/>
              <w:contextualSpacing w:val="0"/>
              <w:rPr>
                <w:highlight w:val="white"/>
              </w:rPr>
            </w:pPr>
            <w:r w:rsidDel="00000000" w:rsidR="00000000" w:rsidRPr="00000000">
              <w:rPr>
                <w:rtl w:val="0"/>
              </w:rPr>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With regards to the</w:t>
            </w:r>
            <w:hyperlink r:id="rId7">
              <w:r w:rsidDel="00000000" w:rsidR="00000000" w:rsidRPr="00000000">
                <w:rPr>
                  <w:highlight w:val="white"/>
                  <w:rtl w:val="0"/>
                </w:rPr>
                <w:t xml:space="preserve"> </w:t>
              </w:r>
            </w:hyperlink>
            <w:hyperlink r:id="rId8">
              <w:r w:rsidDel="00000000" w:rsidR="00000000" w:rsidRPr="00000000">
                <w:rPr>
                  <w:color w:val="1155cc"/>
                  <w:highlight w:val="white"/>
                  <w:u w:val="single"/>
                  <w:rtl w:val="0"/>
                </w:rPr>
                <w:t xml:space="preserve">UN Guiding Principles for Business and Human Rights</w:t>
              </w:r>
            </w:hyperlink>
            <w:r w:rsidDel="00000000" w:rsidR="00000000" w:rsidRPr="00000000">
              <w:rPr>
                <w:highlight w:val="white"/>
                <w:vertAlign w:val="superscript"/>
              </w:rPr>
              <w:footnoteReference w:customMarkFollows="0" w:id="4"/>
            </w:r>
            <w:r w:rsidDel="00000000" w:rsidR="00000000" w:rsidRPr="00000000">
              <w:rPr>
                <w:highlight w:val="white"/>
                <w:rtl w:val="0"/>
              </w:rPr>
              <w:t xml:space="preserve">, no consensus was reached as to their suitability for interpreting the Core Value. However with regard to the implementation of the Core Value certain aspects of the</w:t>
            </w:r>
            <w:hyperlink r:id="rId9">
              <w:r w:rsidDel="00000000" w:rsidR="00000000" w:rsidRPr="00000000">
                <w:rPr>
                  <w:highlight w:val="white"/>
                  <w:rtl w:val="0"/>
                </w:rPr>
                <w:t xml:space="preserve"> </w:t>
              </w:r>
            </w:hyperlink>
            <w:hyperlink r:id="rId10">
              <w:r w:rsidDel="00000000" w:rsidR="00000000" w:rsidRPr="00000000">
                <w:rPr>
                  <w:color w:val="1155cc"/>
                  <w:highlight w:val="white"/>
                  <w:u w:val="single"/>
                  <w:rtl w:val="0"/>
                </w:rPr>
                <w:t xml:space="preserve">UN Guiding Principles for Business and Human Rights</w:t>
              </w:r>
            </w:hyperlink>
            <w:r w:rsidDel="00000000" w:rsidR="00000000" w:rsidRPr="00000000">
              <w:rPr>
                <w:highlight w:val="white"/>
                <w:rtl w:val="0"/>
              </w:rPr>
              <w:t xml:space="preserve"> could be considered as a useful guide in the process of applying the Human Rights Core Value. There are certain Guiding Principles that may not be suitable for ICANN and others that might be applicable, depending on the circumstances. However, it is beyond the scope of this document to provide a detailed analysis of the Guiding Principles and their application, or not, in particular situations. </w:t>
            </w:r>
            <w:r w:rsidDel="00000000" w:rsidR="00000000" w:rsidRPr="00000000">
              <w:rPr>
                <w:highlight w:val="white"/>
                <w:rtl w:val="0"/>
              </w:rPr>
              <w:t xml:space="preserve">To the extent that ICANN the Organization is a business, it could consider certain aspects of the Guiding Principles as a useful guide when applying the Human Rights Core Value to its business activities.</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 </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In any case,</w:t>
            </w:r>
            <w:r w:rsidDel="00000000" w:rsidR="00000000" w:rsidRPr="00000000">
              <w:rPr>
                <w:highlight w:val="white"/>
                <w:rtl w:val="0"/>
              </w:rPr>
              <w:t xml:space="preserve"> a conflict between any Guiding Principle and an ICANN Bylaw provision or Article of Incorporation must be resolved in favor of the Bylaw or Article</w:t>
            </w:r>
            <w:r w:rsidDel="00000000" w:rsidR="00000000" w:rsidRPr="00000000">
              <w:rPr>
                <w:highlight w:val="white"/>
                <w:rtl w:val="0"/>
              </w:rPr>
              <w:t xml:space="preserve">.</w:t>
            </w:r>
            <w:r w:rsidDel="00000000" w:rsidR="00000000" w:rsidRPr="00000000">
              <w:rPr>
                <w:i w:val="1"/>
                <w:color w:val="0b5394"/>
                <w:highlight w:val="white"/>
                <w:rtl w:val="0"/>
              </w:rPr>
              <w:t xml:space="preserve"> </w:t>
            </w:r>
            <w:r w:rsidDel="00000000" w:rsidR="00000000" w:rsidRPr="00000000">
              <w:rPr>
                <w:highlight w:val="white"/>
                <w:rtl w:val="0"/>
              </w:rPr>
              <w:t xml:space="preserve">The use of the Guiding Principles as potential guidance has to be carefully considered by each SO and AC as well as ICANN the organization.  </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tcMar>
              <w:top w:w="226.7716535433071" w:type="dxa"/>
              <w:left w:w="226.7716535433071" w:type="dxa"/>
              <w:bottom w:w="226.7716535433071" w:type="dxa"/>
              <w:right w:w="226.7716535433071" w:type="dxa"/>
            </w:tcMar>
            <w:vAlign w:val="top"/>
          </w:tcPr>
          <w:p w:rsidR="00000000" w:rsidDel="00000000" w:rsidP="00000000" w:rsidRDefault="00000000" w:rsidRPr="00000000">
            <w:pPr>
              <w:spacing w:line="331.2" w:lineRule="auto"/>
              <w:ind w:left="-100" w:firstLine="0"/>
              <w:contextualSpacing w:val="0"/>
              <w:rPr>
                <w:sz w:val="21"/>
                <w:szCs w:val="21"/>
                <w:highlight w:val="white"/>
              </w:rPr>
            </w:pPr>
            <w:r w:rsidDel="00000000" w:rsidR="00000000" w:rsidRPr="00000000">
              <w:rPr>
                <w:highlight w:val="white"/>
                <w:rtl w:val="0"/>
              </w:rPr>
              <w:t xml:space="preserve">The policies and frameworks, if any, that ICANN needs to develop or enhance </w:t>
            </w:r>
            <w:r w:rsidDel="00000000" w:rsidR="00000000" w:rsidRPr="00000000">
              <w:rPr>
                <w:sz w:val="21"/>
                <w:szCs w:val="21"/>
                <w:highlight w:val="white"/>
                <w:rtl w:val="0"/>
              </w:rPr>
              <w:t xml:space="preserve">in order to fulfill its commitment [sic]</w:t>
            </w:r>
            <w:r w:rsidDel="00000000" w:rsidR="00000000" w:rsidRPr="00000000">
              <w:rPr>
                <w:color w:val="ff0000"/>
                <w:sz w:val="21"/>
                <w:szCs w:val="21"/>
                <w:highlight w:val="white"/>
                <w:rtl w:val="0"/>
              </w:rPr>
              <w:t xml:space="preserve"> </w:t>
            </w:r>
            <w:r w:rsidDel="00000000" w:rsidR="00000000" w:rsidRPr="00000000">
              <w:rPr>
                <w:sz w:val="21"/>
                <w:szCs w:val="21"/>
                <w:highlight w:val="white"/>
                <w:rtl w:val="0"/>
              </w:rPr>
              <w:t xml:space="preserve">to respect Human Rights</w:t>
            </w:r>
          </w:p>
          <w:p w:rsidR="00000000" w:rsidDel="00000000" w:rsidP="00000000" w:rsidRDefault="00000000" w:rsidRPr="00000000">
            <w:pPr>
              <w:spacing w:line="331.2" w:lineRule="auto"/>
              <w:ind w:left="-100" w:firstLine="0"/>
              <w:contextualSpacing w:val="0"/>
              <w:rPr>
                <w:sz w:val="21"/>
                <w:szCs w:val="21"/>
                <w:highlight w:val="whit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226.7716535433071" w:type="dxa"/>
              <w:left w:w="226.7716535433071" w:type="dxa"/>
              <w:bottom w:w="226.7716535433071" w:type="dxa"/>
              <w:right w:w="226.7716535433071" w:type="dxa"/>
            </w:tcMar>
            <w:vAlign w:val="top"/>
          </w:tcPr>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In order to put the Human Rights Core Value into practice, ICANN the community as well as the organization will need to consider how to reflect this Core Value in their policy and operational processes. Each SO and AC should take the Core Value into consideration in its policy development or advisory role. It is up to each SO and AC, and ICANN the organisation, to develop their own policies and frameworks to fulfill this Core Value. In doing so, the SOs and ACs, as well as ICANN the organization, should also take into account the requirement to balance the Core Values.</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The subgroup notes that the word “commitment” used in this sentence is not quite appropriate in the context of interpreting the Human Rights Core Value. There is a different section of the Bylaws that sets forth ICANN’s “Commitments” (Section 1.2(a)). The Core Values (such as the Human Rights Core Value) are distinguished from the Commitments. The Bylaws state that “In performing its Mission, ICANN will act in a manner that … </w:t>
            </w:r>
            <w:r w:rsidDel="00000000" w:rsidR="00000000" w:rsidRPr="00000000">
              <w:rPr>
                <w:b w:val="1"/>
                <w:highlight w:val="white"/>
                <w:rtl w:val="0"/>
              </w:rPr>
              <w:t xml:space="preserve">respects</w:t>
            </w:r>
            <w:r w:rsidDel="00000000" w:rsidR="00000000" w:rsidRPr="00000000">
              <w:rPr>
                <w:highlight w:val="white"/>
                <w:rtl w:val="0"/>
              </w:rPr>
              <w:t xml:space="preserve"> ICANN's Core Values” (Section 1.2; emphasis added) that “"Core Values" should also </w:t>
            </w:r>
            <w:r w:rsidDel="00000000" w:rsidR="00000000" w:rsidRPr="00000000">
              <w:rPr>
                <w:b w:val="1"/>
                <w:highlight w:val="white"/>
                <w:rtl w:val="0"/>
              </w:rPr>
              <w:t xml:space="preserve">guide</w:t>
            </w:r>
            <w:r w:rsidDel="00000000" w:rsidR="00000000" w:rsidRPr="00000000">
              <w:rPr>
                <w:highlight w:val="white"/>
                <w:rtl w:val="0"/>
              </w:rPr>
              <w:t xml:space="preserve"> the decisions and actions of ICANN” (Section 1.2(b), emphasis added), and notes that “The specific way in which Core Values are </w:t>
            </w:r>
            <w:r w:rsidDel="00000000" w:rsidR="00000000" w:rsidRPr="00000000">
              <w:rPr>
                <w:b w:val="1"/>
                <w:highlight w:val="white"/>
                <w:rtl w:val="0"/>
              </w:rPr>
              <w:t xml:space="preserve">applied</w:t>
            </w:r>
            <w:r w:rsidDel="00000000" w:rsidR="00000000" w:rsidRPr="00000000">
              <w:rPr>
                <w:highlight w:val="white"/>
                <w:rtl w:val="0"/>
              </w:rPr>
              <w:t xml:space="preserve">, individually and collectively, to any given situation may depend on many factors that cannot be fully anticipated or enumerated.” (Section 1.2(c), emphasis added). Section 1.2(c) goes on to note  “perfect fidelity to all Core Values simultaneously” may not always be possible, and that “where one Core Value must be balanced with another ... the result ... must serve a policy developed through the bottom-up multistakeholder process or otherwise best serve ICANN's Mission.”  As such, it would be more accurate to say that ICANN the organization and the community have an “obligation to respect and be guided by the Human Rights Core Value, as balanced with other Core Values where appropriate.”</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A particular Human Right should not be considered in isolation since Human Rights are universal, indivisible, interdependent, and interrelated.</w:t>
            </w:r>
          </w:p>
        </w:tc>
      </w:tr>
      <w:tr>
        <w:tc>
          <w:tcPr>
            <w:tcBorders>
              <w:top w:color="000001" w:space="0" w:sz="6" w:val="single"/>
              <w:left w:color="000001" w:space="0" w:sz="6" w:val="single"/>
              <w:bottom w:color="000001" w:space="0" w:sz="6" w:val="single"/>
              <w:right w:color="000001" w:space="0" w:sz="6" w:val="single"/>
            </w:tcBorders>
            <w:shd w:fill="ffffff" w:val="clear"/>
            <w:tcMar>
              <w:top w:w="226.7716535433071" w:type="dxa"/>
              <w:left w:w="226.7716535433071" w:type="dxa"/>
              <w:bottom w:w="226.7716535433071" w:type="dxa"/>
              <w:right w:w="226.7716535433071" w:type="dxa"/>
            </w:tcMar>
            <w:vAlign w:val="top"/>
          </w:tcPr>
          <w:p w:rsidR="00000000" w:rsidDel="00000000" w:rsidP="00000000" w:rsidRDefault="00000000" w:rsidRPr="00000000">
            <w:pPr>
              <w:spacing w:line="331.2" w:lineRule="auto"/>
              <w:ind w:left="-100" w:firstLine="0"/>
              <w:contextualSpacing w:val="0"/>
              <w:rPr>
                <w:sz w:val="21"/>
                <w:szCs w:val="21"/>
                <w:highlight w:val="white"/>
              </w:rPr>
            </w:pPr>
            <w:r w:rsidDel="00000000" w:rsidR="00000000" w:rsidRPr="00000000">
              <w:rPr>
                <w:sz w:val="21"/>
                <w:szCs w:val="21"/>
                <w:highlight w:val="white"/>
                <w:rtl w:val="0"/>
              </w:rPr>
              <w:t xml:space="preserve">Consistent with ICANN’s</w:t>
            </w:r>
          </w:p>
          <w:p w:rsidR="00000000" w:rsidDel="00000000" w:rsidP="00000000" w:rsidRDefault="00000000" w:rsidRPr="00000000">
            <w:pPr>
              <w:spacing w:line="331.2" w:lineRule="auto"/>
              <w:ind w:left="-100" w:firstLine="0"/>
              <w:contextualSpacing w:val="0"/>
              <w:rPr>
                <w:sz w:val="21"/>
                <w:szCs w:val="21"/>
                <w:highlight w:val="white"/>
              </w:rPr>
            </w:pPr>
            <w:r w:rsidDel="00000000" w:rsidR="00000000" w:rsidRPr="00000000">
              <w:rPr>
                <w:sz w:val="21"/>
                <w:szCs w:val="21"/>
                <w:highlight w:val="white"/>
                <w:rtl w:val="0"/>
              </w:rPr>
              <w:t xml:space="preserve">existing processes and protocols, consider how these new</w:t>
            </w:r>
          </w:p>
          <w:p w:rsidR="00000000" w:rsidDel="00000000" w:rsidP="00000000" w:rsidRDefault="00000000" w:rsidRPr="00000000">
            <w:pPr>
              <w:spacing w:line="331.2" w:lineRule="auto"/>
              <w:ind w:left="-100" w:firstLine="0"/>
              <w:contextualSpacing w:val="0"/>
              <w:rPr>
                <w:sz w:val="21"/>
                <w:szCs w:val="21"/>
                <w:highlight w:val="white"/>
              </w:rPr>
            </w:pPr>
            <w:r w:rsidDel="00000000" w:rsidR="00000000" w:rsidRPr="00000000">
              <w:rPr>
                <w:sz w:val="21"/>
                <w:szCs w:val="21"/>
                <w:highlight w:val="white"/>
                <w:rtl w:val="0"/>
              </w:rPr>
              <w:t xml:space="preserve">frameworks* should be discussed and drafted to ensure broad multistakeholder</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involvement in the process.</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226.7716535433071" w:type="dxa"/>
              <w:left w:w="226.7716535433071" w:type="dxa"/>
              <w:bottom w:w="226.7716535433071" w:type="dxa"/>
              <w:right w:w="226.7716535433071" w:type="dxa"/>
            </w:tcMar>
            <w:vAlign w:val="top"/>
          </w:tcPr>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The development of any new policies or frameworks that may be needed to apply the Human Rights Core Value will be dictated by the type of policy and how ICANN the organization and the community develop those policies.  </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For example, “developing and recommending to the Board substantive policies relating to generic top-level domains” (Bylaws, 11.1) is the responsibility of the GNSO and any new or revised policies or frameworks, including any changes to the GNSO Policy Development Process, should be developed by the GNSO using that organization’s policy and processes. The GNSO’s Policy Development Processes provide for multistakeholder involvement in Working Groups developing these policies, and for public comment on any recommendations.</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Similarly, “developing and recommending to the Board global policies related to country code top-level domains” (Bylaws, Section 10.1(a))  is the responsibility of the country code Names Supporting Organization (ccNSO). Any new or revised policies or frameworks, including any changes to the ccNSO Policy Development Process, should be developed by the ccNSO using that organization’s policy and processes.</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The review and development of recommendations on Internet Protocol (IP) address policy is the responsibility of the Address Supporting Organization. The ASO does not have a similar formal PDP to the ccNSO and the GNSO.  Nonetheless, ASO should also consider how to apply  the Human Rights Core Value.</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When developing corporate or operational policies, and executing its operations, ICANN the organization should take the Human Rights Core Value into account. In order to do so ICANN the organization should propose a framework to the community, which should include multistakeholder involvement in its development, and regular review.</w:t>
            </w:r>
          </w:p>
        </w:tc>
      </w:tr>
      <w:tr>
        <w:tc>
          <w:tcPr>
            <w:tcBorders>
              <w:top w:color="000001" w:space="0" w:sz="6" w:val="single"/>
              <w:left w:color="000001" w:space="0" w:sz="6" w:val="single"/>
              <w:bottom w:color="000001" w:space="0" w:sz="6" w:val="single"/>
              <w:right w:color="000001" w:space="0" w:sz="6" w:val="single"/>
            </w:tcBorders>
            <w:shd w:fill="ffffff" w:val="clear"/>
            <w:tcMar>
              <w:top w:w="226.7716535433071" w:type="dxa"/>
              <w:left w:w="226.7716535433071" w:type="dxa"/>
              <w:bottom w:w="226.7716535433071" w:type="dxa"/>
              <w:right w:w="226.7716535433071" w:type="dxa"/>
            </w:tcMar>
            <w:vAlign w:val="top"/>
          </w:tcPr>
          <w:p w:rsidR="00000000" w:rsidDel="00000000" w:rsidP="00000000" w:rsidRDefault="00000000" w:rsidRPr="00000000">
            <w:pPr>
              <w:spacing w:line="331.2" w:lineRule="auto"/>
              <w:ind w:left="-100" w:firstLine="0"/>
              <w:contextualSpacing w:val="0"/>
              <w:rPr>
                <w:sz w:val="21"/>
                <w:szCs w:val="21"/>
                <w:highlight w:val="white"/>
              </w:rPr>
            </w:pPr>
            <w:r w:rsidDel="00000000" w:rsidR="00000000" w:rsidRPr="00000000">
              <w:rPr>
                <w:sz w:val="21"/>
                <w:szCs w:val="21"/>
                <w:highlight w:val="white"/>
                <w:rtl w:val="0"/>
              </w:rPr>
              <w:t xml:space="preserve">Consider how the interpretation and implementation of this Bylaw will interact with</w:t>
            </w:r>
          </w:p>
          <w:p w:rsidR="00000000" w:rsidDel="00000000" w:rsidP="00000000" w:rsidRDefault="00000000" w:rsidRPr="00000000">
            <w:pPr>
              <w:spacing w:line="331.2" w:lineRule="auto"/>
              <w:ind w:left="-100" w:firstLine="0"/>
              <w:contextualSpacing w:val="0"/>
              <w:rPr>
                <w:sz w:val="21"/>
                <w:szCs w:val="21"/>
                <w:highlight w:val="white"/>
              </w:rPr>
            </w:pPr>
            <w:r w:rsidDel="00000000" w:rsidR="00000000" w:rsidRPr="00000000">
              <w:rPr>
                <w:sz w:val="21"/>
                <w:szCs w:val="21"/>
                <w:highlight w:val="white"/>
                <w:rtl w:val="0"/>
              </w:rPr>
              <w:t xml:space="preserve">existing and future ICANN policies and procedures.</w:t>
            </w:r>
          </w:p>
        </w:tc>
        <w:tc>
          <w:tcPr>
            <w:tcBorders>
              <w:top w:color="000001" w:space="0" w:sz="6" w:val="single"/>
              <w:left w:color="000001" w:space="0" w:sz="6" w:val="single"/>
              <w:bottom w:color="000001" w:space="0" w:sz="6" w:val="single"/>
              <w:right w:color="000001" w:space="0" w:sz="6" w:val="single"/>
            </w:tcBorders>
            <w:shd w:fill="ffffff" w:val="clear"/>
            <w:tcMar>
              <w:top w:w="226.7716535433071" w:type="dxa"/>
              <w:left w:w="226.7716535433071" w:type="dxa"/>
              <w:bottom w:w="226.7716535433071" w:type="dxa"/>
              <w:right w:w="226.7716535433071" w:type="dxa"/>
            </w:tcMar>
            <w:vAlign w:val="top"/>
          </w:tcPr>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The interpretation of the Human Rights Core Value should be driven by the Framework of Interpretation. It is expected that the Core Value will be taken into account when future ICANN policies and procedures are developed, and interpreted in accordance with the Framework of Interpretation.</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Supporting Organizations could consider defining and incorporating Human Rights Impact Assessments (HRIAs) in their respective policy development processes. HRIAs should not consider particular Human Rights in isolation since they are universal, indivisible, interdependent, and interrelated.</w:t>
            </w:r>
            <w:r w:rsidDel="00000000" w:rsidR="00000000" w:rsidRPr="00000000">
              <w:rPr>
                <w:color w:val="ffff00"/>
                <w:highlight w:val="white"/>
                <w:rtl w:val="0"/>
              </w:rPr>
              <w:t xml:space="preserve"> </w:t>
            </w:r>
            <w:r w:rsidDel="00000000" w:rsidR="00000000" w:rsidRPr="00000000">
              <w:rPr>
                <w:highlight w:val="white"/>
                <w:rtl w:val="0"/>
              </w:rPr>
              <w:t xml:space="preserve">Given the interrelated nature of Core Values, the Supporting Organizations could also consider other Core Values, as part of the balancing required by the Bylaws.  </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Advisory Committees could also consider similar measures defining and incorporating HRIAs in their respective processes.</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When examining its operations, ICANN the organization could consider instruments such as HRIAs to assess its impact on Human Rights.  However, this is up to ICANN the organization to develop and implement. The results of such HRIAs should be reflected in ICANN’s annual reporting.</w:t>
            </w:r>
          </w:p>
        </w:tc>
      </w:tr>
      <w:tr>
        <w:tc>
          <w:tcPr>
            <w:tcBorders>
              <w:top w:color="000001" w:space="0" w:sz="6" w:val="single"/>
              <w:left w:color="000001" w:space="0" w:sz="6" w:val="single"/>
              <w:bottom w:color="000001" w:space="0" w:sz="6" w:val="single"/>
              <w:right w:color="000001" w:space="0" w:sz="6" w:val="single"/>
            </w:tcBorders>
            <w:shd w:fill="ffffff" w:val="clear"/>
            <w:tcMar>
              <w:top w:w="226.7716535433071" w:type="dxa"/>
              <w:left w:w="226.7716535433071" w:type="dxa"/>
              <w:bottom w:w="226.7716535433071" w:type="dxa"/>
              <w:right w:w="226.7716535433071" w:type="dxa"/>
            </w:tcMar>
            <w:vAlign w:val="top"/>
          </w:tcPr>
          <w:p w:rsidR="00000000" w:rsidDel="00000000" w:rsidP="00000000" w:rsidRDefault="00000000" w:rsidRPr="00000000">
            <w:pPr>
              <w:spacing w:line="331.2" w:lineRule="auto"/>
              <w:ind w:left="-100" w:firstLine="0"/>
              <w:contextualSpacing w:val="0"/>
              <w:rPr>
                <w:sz w:val="21"/>
                <w:szCs w:val="21"/>
                <w:highlight w:val="white"/>
              </w:rPr>
            </w:pPr>
            <w:r w:rsidDel="00000000" w:rsidR="00000000" w:rsidRPr="00000000">
              <w:rPr>
                <w:sz w:val="21"/>
                <w:szCs w:val="21"/>
                <w:highlight w:val="white"/>
                <w:rtl w:val="0"/>
              </w:rPr>
              <w:t xml:space="preserve">Consider what effect, if any, this Bylaw will have on ICANN’s</w:t>
            </w:r>
          </w:p>
          <w:p w:rsidR="00000000" w:rsidDel="00000000" w:rsidP="00000000" w:rsidRDefault="00000000" w:rsidRPr="00000000">
            <w:pPr>
              <w:spacing w:line="331.2" w:lineRule="auto"/>
              <w:ind w:left="-100" w:firstLine="0"/>
              <w:contextualSpacing w:val="0"/>
              <w:rPr>
                <w:sz w:val="21"/>
                <w:szCs w:val="21"/>
                <w:highlight w:val="white"/>
              </w:rPr>
            </w:pPr>
            <w:r w:rsidDel="00000000" w:rsidR="00000000" w:rsidRPr="00000000">
              <w:rPr>
                <w:sz w:val="21"/>
                <w:szCs w:val="21"/>
                <w:highlight w:val="white"/>
                <w:rtl w:val="0"/>
              </w:rPr>
              <w:t xml:space="preserve">consideration of advice given by the Governmental Advisory Committee</w:t>
            </w:r>
          </w:p>
          <w:p w:rsidR="00000000" w:rsidDel="00000000" w:rsidP="00000000" w:rsidRDefault="00000000" w:rsidRPr="00000000">
            <w:pPr>
              <w:spacing w:line="331.2" w:lineRule="auto"/>
              <w:ind w:left="-100" w:firstLine="0"/>
              <w:contextualSpacing w:val="0"/>
              <w:rPr>
                <w:sz w:val="21"/>
                <w:szCs w:val="21"/>
                <w:highlight w:val="white"/>
              </w:rPr>
            </w:pPr>
            <w:r w:rsidDel="00000000" w:rsidR="00000000" w:rsidRPr="00000000">
              <w:rPr>
                <w:sz w:val="21"/>
                <w:szCs w:val="21"/>
                <w:highlight w:val="white"/>
                <w:rtl w:val="0"/>
              </w:rPr>
              <w:t xml:space="preserve">(GAC)</w:t>
            </w:r>
          </w:p>
        </w:tc>
        <w:tc>
          <w:tcPr>
            <w:tcBorders>
              <w:top w:color="000001" w:space="0" w:sz="6" w:val="single"/>
              <w:left w:color="000001" w:space="0" w:sz="6" w:val="single"/>
              <w:bottom w:color="000001" w:space="0" w:sz="6" w:val="single"/>
              <w:right w:color="000001" w:space="0" w:sz="6" w:val="single"/>
            </w:tcBorders>
            <w:shd w:fill="ffffff" w:val="clear"/>
            <w:tcMar>
              <w:top w:w="226.7716535433071" w:type="dxa"/>
              <w:left w:w="226.7716535433071" w:type="dxa"/>
              <w:bottom w:w="226.7716535433071" w:type="dxa"/>
              <w:right w:w="226.7716535433071" w:type="dxa"/>
            </w:tcMar>
            <w:vAlign w:val="top"/>
          </w:tcPr>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ICANN’s Mission, Commitments and Core Values, including the Human Rights Core Value, should be taken into account by the SOs and ACs, and ICANN the organization when considering policy matters.</w:t>
            </w:r>
          </w:p>
          <w:p w:rsidR="00000000" w:rsidDel="00000000" w:rsidP="00000000" w:rsidRDefault="00000000" w:rsidRPr="00000000">
            <w:pPr>
              <w:spacing w:line="331.2" w:lineRule="auto"/>
              <w:ind w:left="-100" w:firstLine="0"/>
              <w:contextualSpacing w:val="0"/>
              <w:rPr>
                <w:highlight w:val="white"/>
              </w:rPr>
            </w:pPr>
            <w:r w:rsidDel="00000000" w:rsidR="00000000" w:rsidRPr="00000000">
              <w:rPr>
                <w:rtl w:val="0"/>
              </w:rPr>
            </w:r>
          </w:p>
          <w:p w:rsidR="00000000" w:rsidDel="00000000" w:rsidP="00000000" w:rsidRDefault="00000000" w:rsidRPr="00000000">
            <w:pPr>
              <w:spacing w:line="331.2" w:lineRule="auto"/>
              <w:ind w:left="-100" w:firstLine="0"/>
              <w:contextualSpacing w:val="0"/>
              <w:rPr>
                <w:highlight w:val="white"/>
              </w:rPr>
            </w:pPr>
            <w:r w:rsidDel="00000000" w:rsidR="00000000" w:rsidRPr="00000000">
              <w:rPr>
                <w:highlight w:val="white"/>
                <w:rtl w:val="0"/>
              </w:rPr>
              <w:t xml:space="preserve">The Board will need to take into account ICANN’s Mission, Commitments and Core Values, including the Human Rights Core Value, in considering all matters before the Board, which also includes advice given by the GAC.</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0000000000005"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0000000000005"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0000000000005"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0000000000005" w:lineRule="auto"/>
        <w:contextualSpacing w:val="0"/>
        <w:rPr>
          <w:b w:val="1"/>
        </w:rPr>
      </w:pPr>
      <w:r w:rsidDel="00000000" w:rsidR="00000000" w:rsidRPr="00000000">
        <w:rPr>
          <w:b w:val="1"/>
          <w:rtl w:val="0"/>
        </w:rPr>
        <w:t xml:space="preserve">ANNEX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0000000000005" w:lineRule="auto"/>
        <w:contextualSpacing w:val="0"/>
        <w:rPr/>
      </w:pPr>
      <w:r w:rsidDel="00000000" w:rsidR="00000000" w:rsidRPr="00000000">
        <w:rPr>
          <w:rtl w:val="0"/>
        </w:rPr>
        <w:t xml:space="preserve">Section 1.1 of the ICANN Bylaws (ICANN mission)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0000000000005"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0000000000005"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The mission of the Internet Corporation for Assigned Names and Numbers (“ICANN”) is to ensure the stable and secure operation of the Internet’s unique identifier systems as described in this Section 1.1(a) (the “Mission”). Specifically, ICANN:</w:t>
        <w:br w:type="textWrapping"/>
        <w:br w:type="textWrapping"/>
        <w:t xml:space="preserve">(i)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31.20000000000005" w:lineRule="auto"/>
        <w:ind w:left="360"/>
        <w:contextualSpacing w:val="1"/>
        <w:rPr>
          <w:i w:val="1"/>
          <w:sz w:val="24"/>
          <w:szCs w:val="24"/>
        </w:rPr>
      </w:pPr>
      <w:r w:rsidDel="00000000" w:rsidR="00000000" w:rsidRPr="00000000">
        <w:rPr>
          <w:rFonts w:ascii="Times New Roman" w:cs="Times New Roman" w:eastAsia="Times New Roman" w:hAnsi="Times New Roman"/>
          <w:i w:val="1"/>
          <w:sz w:val="24"/>
          <w:szCs w:val="24"/>
          <w:rtl w:val="0"/>
        </w:rPr>
        <w:t xml:space="preserve">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31.20000000000005" w:lineRule="auto"/>
        <w:ind w:left="360"/>
        <w:contextualSpacing w:val="1"/>
        <w:rPr>
          <w:i w:val="1"/>
          <w:sz w:val="24"/>
          <w:szCs w:val="24"/>
        </w:rPr>
      </w:pPr>
      <w:r w:rsidDel="00000000" w:rsidR="00000000" w:rsidRPr="00000000">
        <w:rPr>
          <w:rFonts w:ascii="Times New Roman" w:cs="Times New Roman" w:eastAsia="Times New Roman" w:hAnsi="Times New Roman"/>
          <w:i w:val="1"/>
          <w:sz w:val="24"/>
          <w:szCs w:val="24"/>
          <w:rtl w:val="0"/>
        </w:rPr>
        <w:t xml:space="preserve">That are developed through a bottom-up consensus-based multistakeholder process and designed to ensure the stable and secure operation of the Internet’s unique names systems.</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0000000000005"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issues, policies, procedures, and principles addressed in Annex G-1 and Annex G-2 with respect to gTLD registrars and registries shall be deemed to be within ICANN’s Mission.</w:t>
        <w:br w:type="textWrapping"/>
        <w:br w:type="textWrapping"/>
        <w:t xml:space="preserve">(ii) Facilitates the coordination of the operation and evolution of the DNS root name server system.</w:t>
        <w:br w:type="textWrapping"/>
        <w:br w:type="textWrapping"/>
        <w:t xml:space="preserve">(iii)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br w:type="textWrapping"/>
        <w:br w:type="textWrapping"/>
        <w:t xml:space="preserve">(iv)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0000000000005"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0000000000005"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 ICANN shall not act outside its Mission.</w:t>
        <w:br w:type="textWrapping"/>
        <w:br w:type="textWrapping"/>
        <w:t xml:space="preserve">(c) 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w:t>
        <w:br w:type="textWrapping"/>
        <w:br w:type="textWrapping"/>
        <w:t xml:space="preserve">(d) For the avoidance of doubt and notwithstanding the foregoing:</w:t>
        <w:br w:type="textWrapping"/>
        <w:br w:type="textWrapping"/>
        <w:t xml:space="preserve">(i) the foregoing prohibitions are not intended to limit ICANN’s authority or ability to adopt or implement policies or procedures that take into account the use of domain names as natural-language identifiers;</w:t>
        <w:br w:type="textWrapping"/>
        <w:br w:type="textWrapping"/>
        <w:t xml:space="preserve">(ii) Notwithstanding any provision of the Bylaws to the contrary, the terms and conditions of the documents listed in subsections (A) through (C)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(“Bylaws”) or ICANN’s Articles of Incorporation (“Articles of Incorporation”):</w:t>
        <w:br w:type="textWrapping"/>
        <w:br w:type="textWrapping"/>
        <w:t xml:space="preserve">(A)</w:t>
        <w:br w:type="textWrapping"/>
        <w:t xml:space="preserve">(1) all registry agreements and registrar accreditation agreements between ICANN and registry operators or registrars in force on 1 October 2016 [1], including, in each case, any terms or conditions therein that are not contained in the underlying form of registry agreement and registrar accreditation agreement;</w:t>
        <w:br w:type="textWrapping"/>
        <w:br w:type="textWrapping"/>
        <w:t xml:space="preserve">(2) any registry agreement or registrar accreditation agreement not encompassed by (1) above to the extent its terms do not vary materially from the form of registry agreement or registrar accreditation agreement that existed on 1 October 2016;</w:t>
        <w:br w:type="textWrapping"/>
        <w:t xml:space="preserve">(B)any renewals of agreements described in subsection (A) pursuant to their terms and conditions for renewal; and</w:t>
        <w:br w:type="textWrapping"/>
        <w:br w:type="textWrapping"/>
        <w:t xml:space="preserve">(C)ICANN’s Five-Year Strategic Plan and Five-Year Operating Plan existing on 10 March 2016.</w:t>
        <w:br w:type="textWrapping"/>
        <w:br w:type="textWrapping"/>
        <w:t xml:space="preserve">(iii) Section 1.1(d)(ii) does not limit the ability of a party to any agreement described therein to challenge any provision of such agreement on any other basis, including the other party’s interpretation of the provision, in any proceeding or process involving ICANN.</w:t>
        <w:br w:type="textWrapping"/>
        <w:br w:type="textWrapping"/>
        <w:t xml:space="preserve">(iv) ICANN shall have the ability to negotiate, enter into and enforce agreements, including public interest commitments, with any party in service of its Mission.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b w:val="1"/>
        </w:rPr>
      </w:pPr>
      <w:r w:rsidDel="00000000" w:rsidR="00000000" w:rsidRPr="00000000">
        <w:rPr>
          <w:b w:val="1"/>
          <w:rtl w:val="0"/>
        </w:rPr>
        <w:t xml:space="preserve">ANNEX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t xml:space="preserve">Other Core Values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br w:type="textWrapping"/>
      </w:r>
      <w:r w:rsidDel="00000000" w:rsidR="00000000" w:rsidRPr="00000000">
        <w:rPr>
          <w:rFonts w:ascii="Times New Roman" w:cs="Times New Roman" w:eastAsia="Times New Roman" w:hAnsi="Times New Roman"/>
          <w:i w:val="1"/>
          <w:sz w:val="24"/>
          <w:szCs w:val="24"/>
          <w:highlight w:val="white"/>
          <w:rtl w:val="0"/>
        </w:rPr>
        <w:t xml:space="preserve">(i) To the extent feasible and appropriate, delegating coordination functions to or recognizing the policy role of, other responsible entities that reflect the interests of affected parties and the roles of bodies internal to ICANN and relevant external expert bodies;</w:t>
        <w:br w:type="textWrapping"/>
        <w:br w:type="textWrapping"/>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br w:type="textWrapping"/>
        <w:br w:type="textWrapping"/>
        <w:t xml:space="preserve">(iii) Where feasible and appropriate, depending on market mechanisms to promote and sustain a competitive environment in the DNS market;</w:t>
        <w:br w:type="textWrapping"/>
        <w:br w:type="textWrapping"/>
        <w:t xml:space="preserve">(iv) Introducing and promoting competition in the registration of domain names where practicable and beneficial to the public interest as identified through the bottom-up, multistakeholder policy development process;</w:t>
        <w:br w:type="textWrapping"/>
        <w:br w:type="textWrapping"/>
        <w:t xml:space="preserve">(v) Operating with efficiency and excellence, in a fiscally responsible and accountable manner and, where practicable and not inconsistent with ICANN’s other obligations under these Bylaws, at a speed that is responsive to the needs of the global Internet community;</w:t>
        <w:br w:type="textWrapping"/>
        <w:br w:type="textWrapping"/>
        <w:t xml:space="preserve">(vi) 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br w:type="textWrapping"/>
        <w:br w:type="textWrapping"/>
        <w:t xml:space="preserve">(vii) Striving to achieve a reasonable balance between the interests of different stakeholders, while also avoiding capture;</w:t>
      </w:r>
      <w:r w:rsidDel="00000000" w:rsidR="00000000" w:rsidRPr="00000000">
        <w:rPr>
          <w:rtl w:val="0"/>
        </w:rPr>
      </w:r>
    </w:p>
    <w:sectPr>
      <w:footerReference r:id="rId11" w:type="default"/>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2">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highlight w:val="white"/>
          <w:rtl w:val="0"/>
        </w:rPr>
        <w:t xml:space="preserve">Including, but not limited to:</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31.2" w:lineRule="auto"/>
        <w:ind w:left="720" w:hanging="360"/>
        <w:contextualSpacing w:val="1"/>
        <w:rPr>
          <w:highlight w:val="white"/>
        </w:rPr>
      </w:pPr>
      <w:hyperlink r:id="rId1">
        <w:r w:rsidDel="00000000" w:rsidR="00000000" w:rsidRPr="00000000">
          <w:rPr>
            <w:color w:val="1155cc"/>
            <w:highlight w:val="white"/>
            <w:u w:val="single"/>
            <w:rtl w:val="0"/>
          </w:rPr>
          <w:t xml:space="preserve">Universal Declaration of Human Rights</w:t>
        </w:r>
      </w:hyperlink>
      <w:r w:rsidDel="00000000" w:rsidR="00000000" w:rsidRPr="00000000">
        <w:fldChar w:fldCharType="begin"/>
        <w:instrText xml:space="preserve"> HYPERLINK "http://www.un.org/en/universal-declaration-human-rights/" </w:instrText>
        <w:fldChar w:fldCharType="separate"/>
      </w:r>
      <w:r w:rsidDel="00000000" w:rsidR="00000000" w:rsidRPr="00000000">
        <w:rPr>
          <w:highlight w:val="white"/>
          <w:rtl w:val="0"/>
        </w:rPr>
        <w:tab/>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31.2" w:lineRule="auto"/>
        <w:ind w:left="720" w:hanging="360"/>
        <w:contextualSpacing w:val="1"/>
        <w:rPr>
          <w:highlight w:val="white"/>
        </w:rPr>
      </w:pPr>
      <w:r w:rsidDel="00000000" w:rsidR="00000000" w:rsidRPr="00000000">
        <w:fldChar w:fldCharType="end"/>
      </w:r>
      <w:hyperlink r:id="rId2">
        <w:r w:rsidDel="00000000" w:rsidR="00000000" w:rsidRPr="00000000">
          <w:rPr>
            <w:color w:val="1155cc"/>
            <w:highlight w:val="white"/>
            <w:u w:val="single"/>
            <w:rtl w:val="0"/>
          </w:rPr>
          <w:t xml:space="preserve">International Covenant on Civil and Political Rights</w:t>
        </w:r>
      </w:hyperlink>
      <w:r w:rsidDel="00000000" w:rsidR="00000000" w:rsidRPr="00000000">
        <w:fldChar w:fldCharType="begin"/>
        <w:instrText xml:space="preserve"> HYPERLINK "http://www.ohchr.org/en/professionalinterest/pages/ccpr.aspx" </w:instrText>
        <w:fldChar w:fldCharType="separate"/>
      </w:r>
      <w:r w:rsidDel="00000000" w:rsidR="00000000" w:rsidRPr="00000000">
        <w:rPr>
          <w:highlight w:val="white"/>
          <w:rtl w:val="0"/>
        </w:rPr>
        <w:tab/>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31.2" w:lineRule="auto"/>
        <w:ind w:left="720" w:hanging="360"/>
        <w:contextualSpacing w:val="1"/>
        <w:rPr>
          <w:highlight w:val="white"/>
        </w:rPr>
      </w:pPr>
      <w:r w:rsidDel="00000000" w:rsidR="00000000" w:rsidRPr="00000000">
        <w:fldChar w:fldCharType="end"/>
      </w:r>
      <w:hyperlink r:id="rId3">
        <w:r w:rsidDel="00000000" w:rsidR="00000000" w:rsidRPr="00000000">
          <w:rPr>
            <w:color w:val="1155cc"/>
            <w:highlight w:val="white"/>
            <w:u w:val="single"/>
            <w:rtl w:val="0"/>
          </w:rPr>
          <w:t xml:space="preserve">International Covenant on Economic, Social and Cultural Rights</w:t>
        </w:r>
      </w:hyperlink>
      <w:r w:rsidDel="00000000" w:rsidR="00000000" w:rsidRPr="00000000">
        <w:fldChar w:fldCharType="begin"/>
        <w:instrText xml:space="preserve"> HYPERLINK "http://www.ohchr.org/EN/ProfessionalInterest/Pages/CESCR.aspx" </w:instrText>
        <w:fldChar w:fldCharType="separate"/>
      </w:r>
      <w:r w:rsidDel="00000000" w:rsidR="00000000" w:rsidRPr="00000000">
        <w:rPr>
          <w:highlight w:val="white"/>
          <w:rtl w:val="0"/>
        </w:rPr>
        <w:tab/>
        <w:tab/>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31.2" w:lineRule="auto"/>
        <w:ind w:left="720" w:hanging="360"/>
        <w:contextualSpacing w:val="1"/>
        <w:rPr>
          <w:highlight w:val="white"/>
        </w:rPr>
      </w:pPr>
      <w:r w:rsidDel="00000000" w:rsidR="00000000" w:rsidRPr="00000000">
        <w:fldChar w:fldCharType="end"/>
      </w:r>
      <w:hyperlink r:id="rId4">
        <w:r w:rsidDel="00000000" w:rsidR="00000000" w:rsidRPr="00000000">
          <w:rPr>
            <w:color w:val="1155cc"/>
            <w:highlight w:val="white"/>
            <w:u w:val="single"/>
            <w:rtl w:val="0"/>
          </w:rPr>
          <w:t xml:space="preserve">International Convention on Elimination of All Forms of Racial Discrimination</w:t>
        </w:r>
      </w:hyperlink>
      <w:r w:rsidDel="00000000" w:rsidR="00000000" w:rsidRPr="00000000">
        <w:fldChar w:fldCharType="begin"/>
        <w:instrText xml:space="preserve"> HYPERLINK "http://www.ohchr.org/EN/ProfessionalInterest/Pages/CERD.aspx" </w:instrText>
        <w:fldChar w:fldCharType="separate"/>
      </w: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31.2" w:lineRule="auto"/>
        <w:ind w:left="720" w:hanging="360"/>
        <w:contextualSpacing w:val="1"/>
        <w:rPr>
          <w:highlight w:val="white"/>
        </w:rPr>
      </w:pPr>
      <w:r w:rsidDel="00000000" w:rsidR="00000000" w:rsidRPr="00000000">
        <w:fldChar w:fldCharType="end"/>
      </w:r>
      <w:hyperlink r:id="rId5">
        <w:r w:rsidDel="00000000" w:rsidR="00000000" w:rsidRPr="00000000">
          <w:rPr>
            <w:color w:val="1155cc"/>
            <w:highlight w:val="white"/>
            <w:u w:val="single"/>
            <w:rtl w:val="0"/>
          </w:rPr>
          <w:t xml:space="preserve">Convention on the Elimination of all Forms of Discrimination Against Women</w:t>
        </w:r>
      </w:hyperlink>
      <w:r w:rsidDel="00000000" w:rsidR="00000000" w:rsidRPr="00000000">
        <w:fldChar w:fldCharType="begin"/>
        <w:instrText xml:space="preserve"> HYPERLINK "http://www.un.org/womenwatch/daw/cedaw/" </w:instrText>
        <w:fldChar w:fldCharType="separate"/>
      </w:r>
      <w:r w:rsidDel="00000000" w:rsidR="00000000" w:rsidRPr="00000000">
        <w:rPr>
          <w:highlight w:val="white"/>
          <w:rtl w:val="0"/>
        </w:rPr>
        <w:tab/>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31.2" w:lineRule="auto"/>
        <w:ind w:left="720" w:hanging="360"/>
        <w:contextualSpacing w:val="1"/>
        <w:rPr>
          <w:highlight w:val="white"/>
        </w:rPr>
      </w:pPr>
      <w:r w:rsidDel="00000000" w:rsidR="00000000" w:rsidRPr="00000000">
        <w:fldChar w:fldCharType="end"/>
      </w:r>
      <w:r w:rsidDel="00000000" w:rsidR="00000000" w:rsidRPr="00000000">
        <w:fldChar w:fldCharType="begin"/>
        <w:instrText xml:space="preserve"> HYPERLINK "http://www.un.org/disabilities/convention/conventionfull.shtml" </w:instrText>
        <w:fldChar w:fldCharType="separate"/>
      </w:r>
      <w:r w:rsidDel="00000000" w:rsidR="00000000" w:rsidRPr="00000000">
        <w:rPr>
          <w:color w:val="1155cc"/>
          <w:highlight w:val="white"/>
          <w:u w:val="single"/>
          <w:rtl w:val="0"/>
        </w:rPr>
        <w:t xml:space="preserve">Convention on the Rights of Persons with Disabilities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31.2" w:lineRule="auto"/>
        <w:ind w:left="720" w:hanging="360"/>
        <w:contextualSpacing w:val="1"/>
        <w:rPr>
          <w:highlight w:val="white"/>
        </w:rPr>
      </w:pPr>
      <w:r w:rsidDel="00000000" w:rsidR="00000000" w:rsidRPr="00000000">
        <w:fldChar w:fldCharType="end"/>
      </w:r>
      <w:hyperlink r:id="rId6">
        <w:r w:rsidDel="00000000" w:rsidR="00000000" w:rsidRPr="00000000">
          <w:rPr>
            <w:color w:val="1155cc"/>
            <w:highlight w:val="white"/>
            <w:u w:val="single"/>
            <w:rtl w:val="0"/>
          </w:rPr>
          <w:t xml:space="preserve">UN Declaration on the Rights of Indigenous Peoples</w:t>
        </w:r>
      </w:hyperlink>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31.2" w:lineRule="auto"/>
        <w:ind w:left="720" w:hanging="360"/>
        <w:contextualSpacing w:val="1"/>
        <w:rPr>
          <w:color w:val="1155cc"/>
          <w:highlight w:val="white"/>
        </w:rPr>
      </w:pPr>
      <w:r w:rsidDel="00000000" w:rsidR="00000000" w:rsidRPr="00000000">
        <w:rPr>
          <w:highlight w:val="white"/>
          <w:rtl w:val="0"/>
        </w:rPr>
        <w:t xml:space="preserve">ILO’s</w:t>
      </w:r>
      <w:hyperlink r:id="rId7">
        <w:r w:rsidDel="00000000" w:rsidR="00000000" w:rsidRPr="00000000">
          <w:rPr>
            <w:highlight w:val="white"/>
            <w:rtl w:val="0"/>
          </w:rPr>
          <w:t xml:space="preserve"> </w:t>
        </w:r>
      </w:hyperlink>
      <w:hyperlink r:id="rId8">
        <w:r w:rsidDel="00000000" w:rsidR="00000000" w:rsidRPr="00000000">
          <w:rPr>
            <w:color w:val="1155cc"/>
            <w:highlight w:val="white"/>
            <w:u w:val="single"/>
            <w:rtl w:val="0"/>
          </w:rPr>
          <w:t xml:space="preserve">Declaration on Fundamental Principles and Rights at Work</w:t>
        </w:r>
      </w:hyperlink>
      <w:r w:rsidDel="00000000" w:rsidR="00000000" w:rsidRPr="00000000">
        <w:rPr>
          <w:highlight w:val="white"/>
          <w:rtl w:val="0"/>
        </w:rPr>
        <w:t xml:space="preserve"> (applicable to ICANN’s employees and workers)</w:t>
      </w:r>
      <w:r w:rsidDel="00000000" w:rsidR="00000000" w:rsidRPr="00000000">
        <w:rPr>
          <w:rtl w:val="0"/>
        </w:rPr>
      </w:r>
    </w:p>
  </w:footnote>
  <w:footnote w:id="0">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20"/>
          <w:szCs w:val="20"/>
          <w:highlight w:val="white"/>
          <w:rtl w:val="0"/>
        </w:rPr>
        <w:t xml:space="preserve">(viii) Subject to the limitations set forth in Section 27.2,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r w:rsidDel="00000000" w:rsidR="00000000" w:rsidRPr="00000000">
        <w:rPr>
          <w:rtl w:val="0"/>
        </w:rPr>
      </w:r>
    </w:p>
  </w:footnote>
  <w:footnote w:id="1">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color w:val="333333"/>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20"/>
          <w:szCs w:val="20"/>
          <w:highlight w:val="white"/>
          <w:rtl w:val="0"/>
        </w:rPr>
        <w:t xml:space="preserve">"Section 27.2. HUMAN RIGHTS (a) The Core Value set forth in Section 1.2(b)(viii) shall have no force or effect unless and until a framework of interpretation for human rights (“FOI-HR”) is (i) approved for submission to the Board by the CCWG-Accountability as a consensus recommendation in Work Stream 2, with the CCWG Chartering Organizations having the role described in the CCWG-Accountability Charter, and (ii) approved by the Board, in each case, using the same process and criteria as for Work Stream 1 Recommendations. (b) No person or entity shall be entitled to invoke the reconsideration process provided in Section 4.2, or the independent review process provided 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color w:val="333333"/>
          <w:sz w:val="20"/>
          <w:szCs w:val="20"/>
          <w:highlight w:val="white"/>
          <w:rtl w:val="0"/>
        </w:rPr>
        <w:t xml:space="preserve">Section 4.3, based solely on the inclusion of the Core Value set forth in Section 1.2(b)(viii) (i) until after the FOI-HR contemplated by Section 27.2(a) is in place or (ii) for actions of ICANN or the Board that occurred prior to the effectiveness of the </w:t>
      </w:r>
      <w:r w:rsidDel="00000000" w:rsidR="00000000" w:rsidRPr="00000000">
        <w:rPr>
          <w:color w:val="333333"/>
          <w:sz w:val="20"/>
          <w:szCs w:val="20"/>
          <w:highlight w:val="white"/>
          <w:rtl w:val="0"/>
        </w:rPr>
        <w:t xml:space="preserve">FOI-HR</w:t>
      </w:r>
      <w:r w:rsidDel="00000000" w:rsidR="00000000" w:rsidRPr="00000000">
        <w:rPr>
          <w:color w:val="333333"/>
          <w:sz w:val="20"/>
          <w:szCs w:val="20"/>
          <w:highlight w:val="white"/>
          <w:rtl w:val="0"/>
        </w:rPr>
        <w:t xml:space="preserve">.</w:t>
      </w:r>
      <w:r w:rsidDel="00000000" w:rsidR="00000000" w:rsidRPr="00000000">
        <w:rPr>
          <w:rtl w:val="0"/>
        </w:rPr>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highlight w:val="white"/>
          <w:rtl w:val="0"/>
        </w:rPr>
        <w:t xml:space="preserve">I</w:t>
      </w:r>
      <w:r w:rsidDel="00000000" w:rsidR="00000000" w:rsidRPr="00000000">
        <w:rPr>
          <w:highlight w:val="white"/>
          <w:rtl w:val="0"/>
        </w:rPr>
        <w:t xml:space="preserve">ncluding, but not limited to:</w:t>
      </w:r>
      <w:r w:rsidDel="00000000" w:rsidR="00000000" w:rsidRPr="00000000">
        <w:rPr>
          <w:rtl w:val="0"/>
        </w:rPr>
      </w:r>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9">
        <w:r w:rsidDel="00000000" w:rsidR="00000000" w:rsidRPr="00000000">
          <w:rPr>
            <w:color w:val="1155cc"/>
            <w:highlight w:val="white"/>
            <w:u w:val="single"/>
            <w:rtl w:val="0"/>
          </w:rPr>
          <w:t xml:space="preserve">Universal Declaration of Human Rights</w:t>
        </w:r>
      </w:hyperlink>
      <w:r w:rsidDel="00000000" w:rsidR="00000000" w:rsidRPr="00000000">
        <w:fldChar w:fldCharType="begin"/>
        <w:instrText xml:space="preserve"> HYPERLINK "http://www.un.org/en/universal-declaration-human-rights/" </w:instrText>
        <w:fldChar w:fldCharType="separate"/>
      </w:r>
      <w:r w:rsidDel="00000000" w:rsidR="00000000" w:rsidRPr="00000000">
        <w:rPr>
          <w:highlight w:val="white"/>
          <w:rtl w:val="0"/>
        </w:rPr>
        <w:tab/>
      </w:r>
    </w:p>
    <w:p w:rsidR="00000000" w:rsidDel="00000000" w:rsidP="00000000" w:rsidRDefault="00000000" w:rsidRPr="00000000">
      <w:pPr>
        <w:widowControl w:val="0"/>
        <w:numPr>
          <w:ilvl w:val="0"/>
          <w:numId w:val="2"/>
        </w:numPr>
        <w:spacing w:line="331.2" w:lineRule="auto"/>
        <w:ind w:left="720" w:hanging="360"/>
        <w:contextualSpacing w:val="1"/>
        <w:rPr>
          <w:highlight w:val="white"/>
        </w:rPr>
      </w:pPr>
      <w:r w:rsidDel="00000000" w:rsidR="00000000" w:rsidRPr="00000000">
        <w:fldChar w:fldCharType="end"/>
      </w:r>
      <w:hyperlink r:id="rId10">
        <w:r w:rsidDel="00000000" w:rsidR="00000000" w:rsidRPr="00000000">
          <w:rPr>
            <w:color w:val="1155cc"/>
            <w:highlight w:val="white"/>
            <w:u w:val="single"/>
            <w:rtl w:val="0"/>
          </w:rPr>
          <w:t xml:space="preserve">International Covenant on Civil and Political Rights</w:t>
        </w:r>
      </w:hyperlink>
      <w:r w:rsidDel="00000000" w:rsidR="00000000" w:rsidRPr="00000000">
        <w:fldChar w:fldCharType="begin"/>
        <w:instrText xml:space="preserve"> HYPERLINK "http://www.ohchr.org/en/professionalinterest/pages/ccpr.aspx" </w:instrText>
        <w:fldChar w:fldCharType="separate"/>
      </w:r>
      <w:r w:rsidDel="00000000" w:rsidR="00000000" w:rsidRPr="00000000">
        <w:rPr>
          <w:highlight w:val="white"/>
          <w:rtl w:val="0"/>
        </w:rPr>
        <w:tab/>
      </w:r>
    </w:p>
    <w:p w:rsidR="00000000" w:rsidDel="00000000" w:rsidP="00000000" w:rsidRDefault="00000000" w:rsidRPr="00000000">
      <w:pPr>
        <w:widowControl w:val="0"/>
        <w:numPr>
          <w:ilvl w:val="0"/>
          <w:numId w:val="2"/>
        </w:numPr>
        <w:spacing w:line="331.2" w:lineRule="auto"/>
        <w:ind w:left="720" w:hanging="360"/>
        <w:contextualSpacing w:val="1"/>
        <w:rPr>
          <w:highlight w:val="white"/>
        </w:rPr>
      </w:pPr>
      <w:r w:rsidDel="00000000" w:rsidR="00000000" w:rsidRPr="00000000">
        <w:fldChar w:fldCharType="end"/>
      </w:r>
      <w:hyperlink r:id="rId11">
        <w:r w:rsidDel="00000000" w:rsidR="00000000" w:rsidRPr="00000000">
          <w:rPr>
            <w:color w:val="1155cc"/>
            <w:highlight w:val="white"/>
            <w:u w:val="single"/>
            <w:rtl w:val="0"/>
          </w:rPr>
          <w:t xml:space="preserve">International Covenant on Economic, Social and Cultural Rights</w:t>
        </w:r>
      </w:hyperlink>
      <w:r w:rsidDel="00000000" w:rsidR="00000000" w:rsidRPr="00000000">
        <w:fldChar w:fldCharType="begin"/>
        <w:instrText xml:space="preserve"> HYPERLINK "http://www.ohchr.org/EN/ProfessionalInterest/Pages/CESCR.aspx" </w:instrText>
        <w:fldChar w:fldCharType="separate"/>
      </w:r>
      <w:r w:rsidDel="00000000" w:rsidR="00000000" w:rsidRPr="00000000">
        <w:rPr>
          <w:highlight w:val="white"/>
          <w:rtl w:val="0"/>
        </w:rPr>
        <w:tab/>
        <w:tab/>
      </w:r>
    </w:p>
    <w:p w:rsidR="00000000" w:rsidDel="00000000" w:rsidP="00000000" w:rsidRDefault="00000000" w:rsidRPr="00000000">
      <w:pPr>
        <w:widowControl w:val="0"/>
        <w:numPr>
          <w:ilvl w:val="0"/>
          <w:numId w:val="2"/>
        </w:numPr>
        <w:spacing w:line="331.2" w:lineRule="auto"/>
        <w:ind w:left="720" w:hanging="360"/>
        <w:contextualSpacing w:val="1"/>
        <w:rPr>
          <w:highlight w:val="white"/>
        </w:rPr>
      </w:pPr>
      <w:r w:rsidDel="00000000" w:rsidR="00000000" w:rsidRPr="00000000">
        <w:fldChar w:fldCharType="end"/>
      </w:r>
      <w:hyperlink r:id="rId12">
        <w:r w:rsidDel="00000000" w:rsidR="00000000" w:rsidRPr="00000000">
          <w:rPr>
            <w:color w:val="1155cc"/>
            <w:highlight w:val="white"/>
            <w:u w:val="single"/>
            <w:rtl w:val="0"/>
          </w:rPr>
          <w:t xml:space="preserve">International Convention on Elimination of All Forms of Racial Discrimination</w:t>
        </w:r>
      </w:hyperlink>
      <w:r w:rsidDel="00000000" w:rsidR="00000000" w:rsidRPr="00000000">
        <w:fldChar w:fldCharType="begin"/>
        <w:instrText xml:space="preserve"> HYPERLINK "http://www.ohchr.org/EN/ProfessionalInterest/Pages/CERD.aspx" </w:instrText>
        <w:fldChar w:fldCharType="separate"/>
      </w:r>
      <w:r w:rsidDel="00000000" w:rsidR="00000000" w:rsidRPr="00000000">
        <w:rPr>
          <w:rtl w:val="0"/>
        </w:rPr>
      </w:r>
    </w:p>
    <w:p w:rsidR="00000000" w:rsidDel="00000000" w:rsidP="00000000" w:rsidRDefault="00000000" w:rsidRPr="00000000">
      <w:pPr>
        <w:widowControl w:val="0"/>
        <w:numPr>
          <w:ilvl w:val="0"/>
          <w:numId w:val="2"/>
        </w:numPr>
        <w:spacing w:line="331.2" w:lineRule="auto"/>
        <w:ind w:left="720" w:hanging="360"/>
        <w:contextualSpacing w:val="1"/>
        <w:rPr>
          <w:highlight w:val="white"/>
        </w:rPr>
      </w:pPr>
      <w:r w:rsidDel="00000000" w:rsidR="00000000" w:rsidRPr="00000000">
        <w:fldChar w:fldCharType="end"/>
      </w:r>
      <w:hyperlink r:id="rId13">
        <w:r w:rsidDel="00000000" w:rsidR="00000000" w:rsidRPr="00000000">
          <w:rPr>
            <w:color w:val="1155cc"/>
            <w:highlight w:val="white"/>
            <w:u w:val="single"/>
            <w:rtl w:val="0"/>
          </w:rPr>
          <w:t xml:space="preserve">Convention on the Elimination of all Forms of Discrimination Against Women</w:t>
        </w:r>
      </w:hyperlink>
      <w:r w:rsidDel="00000000" w:rsidR="00000000" w:rsidRPr="00000000">
        <w:fldChar w:fldCharType="begin"/>
        <w:instrText xml:space="preserve"> HYPERLINK "http://www.un.org/womenwatch/daw/cedaw/" </w:instrText>
        <w:fldChar w:fldCharType="separate"/>
      </w:r>
      <w:r w:rsidDel="00000000" w:rsidR="00000000" w:rsidRPr="00000000">
        <w:rPr>
          <w:highlight w:val="white"/>
          <w:rtl w:val="0"/>
        </w:rPr>
        <w:tab/>
      </w:r>
    </w:p>
    <w:p w:rsidR="00000000" w:rsidDel="00000000" w:rsidP="00000000" w:rsidRDefault="00000000" w:rsidRPr="00000000">
      <w:pPr>
        <w:widowControl w:val="0"/>
        <w:numPr>
          <w:ilvl w:val="0"/>
          <w:numId w:val="2"/>
        </w:numPr>
        <w:spacing w:line="331.2" w:lineRule="auto"/>
        <w:ind w:left="720" w:hanging="360"/>
        <w:contextualSpacing w:val="1"/>
        <w:rPr>
          <w:highlight w:val="white"/>
        </w:rPr>
      </w:pPr>
      <w:r w:rsidDel="00000000" w:rsidR="00000000" w:rsidRPr="00000000">
        <w:fldChar w:fldCharType="end"/>
      </w:r>
      <w:r w:rsidDel="00000000" w:rsidR="00000000" w:rsidRPr="00000000">
        <w:fldChar w:fldCharType="begin"/>
        <w:instrText xml:space="preserve"> HYPERLINK "http://www.un.org/disabilities/convention/conventionfull.shtml" </w:instrText>
        <w:fldChar w:fldCharType="separate"/>
      </w:r>
      <w:r w:rsidDel="00000000" w:rsidR="00000000" w:rsidRPr="00000000">
        <w:rPr>
          <w:color w:val="1155cc"/>
          <w:highlight w:val="white"/>
          <w:u w:val="single"/>
          <w:rtl w:val="0"/>
        </w:rPr>
        <w:t xml:space="preserve">Convention on the Rights of Persons with Disabilities</w:t>
      </w:r>
    </w:p>
    <w:p w:rsidR="00000000" w:rsidDel="00000000" w:rsidP="00000000" w:rsidRDefault="00000000" w:rsidRPr="00000000">
      <w:pPr>
        <w:widowControl w:val="0"/>
        <w:numPr>
          <w:ilvl w:val="0"/>
          <w:numId w:val="2"/>
        </w:numPr>
        <w:spacing w:line="331.2" w:lineRule="auto"/>
        <w:ind w:left="720" w:hanging="360"/>
        <w:contextualSpacing w:val="1"/>
        <w:rPr>
          <w:highlight w:val="white"/>
        </w:rPr>
      </w:pPr>
      <w:r w:rsidDel="00000000" w:rsidR="00000000" w:rsidRPr="00000000">
        <w:fldChar w:fldCharType="end"/>
      </w:r>
      <w:hyperlink r:id="rId14">
        <w:r w:rsidDel="00000000" w:rsidR="00000000" w:rsidRPr="00000000">
          <w:rPr>
            <w:color w:val="1155cc"/>
            <w:highlight w:val="white"/>
            <w:u w:val="single"/>
            <w:rtl w:val="0"/>
          </w:rPr>
          <w:t xml:space="preserve">UN Declaration on the Rights of Indigenous Peoples</w:t>
        </w:r>
      </w:hyperlink>
      <w:r w:rsidDel="00000000" w:rsidR="00000000" w:rsidRPr="00000000">
        <w:rPr>
          <w:rtl w:val="0"/>
        </w:rPr>
      </w:r>
    </w:p>
    <w:p w:rsidR="00000000" w:rsidDel="00000000" w:rsidP="00000000" w:rsidRDefault="00000000" w:rsidRPr="00000000">
      <w:pPr>
        <w:widowControl w:val="0"/>
        <w:numPr>
          <w:ilvl w:val="0"/>
          <w:numId w:val="2"/>
        </w:numPr>
        <w:spacing w:line="331.2" w:lineRule="auto"/>
        <w:ind w:left="720" w:hanging="360"/>
        <w:contextualSpacing w:val="1"/>
        <w:rPr>
          <w:color w:val="1155cc"/>
          <w:highlight w:val="white"/>
        </w:rPr>
      </w:pPr>
      <w:r w:rsidDel="00000000" w:rsidR="00000000" w:rsidRPr="00000000">
        <w:rPr>
          <w:highlight w:val="white"/>
          <w:rtl w:val="0"/>
        </w:rPr>
        <w:t xml:space="preserve">ILO’s</w:t>
      </w:r>
      <w:hyperlink r:id="rId15">
        <w:r w:rsidDel="00000000" w:rsidR="00000000" w:rsidRPr="00000000">
          <w:rPr>
            <w:highlight w:val="white"/>
            <w:rtl w:val="0"/>
          </w:rPr>
          <w:t xml:space="preserve"> </w:t>
        </w:r>
      </w:hyperlink>
      <w:hyperlink r:id="rId16">
        <w:r w:rsidDel="00000000" w:rsidR="00000000" w:rsidRPr="00000000">
          <w:rPr>
            <w:color w:val="1155cc"/>
            <w:highlight w:val="white"/>
            <w:u w:val="single"/>
            <w:rtl w:val="0"/>
          </w:rPr>
          <w:t xml:space="preserve">Declaration on Fundamental Principles and Rights at Work</w:t>
        </w:r>
      </w:hyperlink>
      <w:r w:rsidDel="00000000" w:rsidR="00000000" w:rsidRPr="00000000">
        <w:rPr>
          <w:highlight w:val="white"/>
          <w:rtl w:val="0"/>
        </w:rPr>
        <w:t xml:space="preserve"> (applicable to ICANN’s employees and workers)</w:t>
      </w:r>
      <w:r w:rsidDel="00000000" w:rsidR="00000000" w:rsidRPr="00000000">
        <w:rPr>
          <w:rtl w:val="0"/>
        </w:rPr>
      </w:r>
    </w:p>
  </w:footnote>
  <w:footnote w:id="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highlight w:val="white"/>
          <w:rtl w:val="0"/>
        </w:rPr>
        <w:t xml:space="preserve">The "UN Guiding Principles for Business and Human Rights" is a non-binding document developed to provide guidance for business organizations.</w:t>
      </w: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yperlink" Target="https://www.business-humanrights.org/en/un-guiding-principles/text-of-the-un-guiding-principl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s://www.business-humanrights.org/en/un-guiding-principles/text-of-the-un-guiding-principles" TargetMode="External"/><Relationship Id="rId5" Type="http://schemas.openxmlformats.org/officeDocument/2006/relationships/styles" Target="styles.xml"/><Relationship Id="rId6" Type="http://schemas.openxmlformats.org/officeDocument/2006/relationships/hyperlink" Target="https://community.icann.org/download/attachments/58723827/Annex%2012%20-%20FINAL-Revised.pdf?version=1&amp;modificationDate=1456255865000&amp;api=v2" TargetMode="External"/><Relationship Id="rId7" Type="http://schemas.openxmlformats.org/officeDocument/2006/relationships/hyperlink" Target="https://www.business-humanrights.org/en/un-guiding-principles/text-of-the-un-guiding-principles" TargetMode="External"/><Relationship Id="rId8" Type="http://schemas.openxmlformats.org/officeDocument/2006/relationships/hyperlink" Target="https://www.business-humanrights.org/en/un-guiding-principles/text-of-the-un-guiding-principles"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ohchr.org/EN/ProfessionalInterest/Pages/CESCR.aspx" TargetMode="External"/><Relationship Id="rId10" Type="http://schemas.openxmlformats.org/officeDocument/2006/relationships/hyperlink" Target="http://www.ohchr.org/en/professionalinterest/pages/ccpr.aspx" TargetMode="External"/><Relationship Id="rId13" Type="http://schemas.openxmlformats.org/officeDocument/2006/relationships/hyperlink" Target="http://www.un.org/womenwatch/daw/cedaw/" TargetMode="External"/><Relationship Id="rId12" Type="http://schemas.openxmlformats.org/officeDocument/2006/relationships/hyperlink" Target="http://www.ohchr.org/EN/ProfessionalInterest/Pages/CERD.aspx" TargetMode="External"/><Relationship Id="rId1" Type="http://schemas.openxmlformats.org/officeDocument/2006/relationships/hyperlink" Target="http://www.un.org/en/universal-declaration-human-rights/" TargetMode="External"/><Relationship Id="rId2" Type="http://schemas.openxmlformats.org/officeDocument/2006/relationships/hyperlink" Target="http://www.ohchr.org/en/professionalinterest/pages/ccpr.aspx" TargetMode="External"/><Relationship Id="rId3" Type="http://schemas.openxmlformats.org/officeDocument/2006/relationships/hyperlink" Target="http://www.ohchr.org/EN/ProfessionalInterest/Pages/CESCR.aspx" TargetMode="External"/><Relationship Id="rId4" Type="http://schemas.openxmlformats.org/officeDocument/2006/relationships/hyperlink" Target="http://www.ohchr.org/EN/ProfessionalInterest/Pages/CERD.aspx" TargetMode="External"/><Relationship Id="rId9" Type="http://schemas.openxmlformats.org/officeDocument/2006/relationships/hyperlink" Target="http://www.un.org/en/universal-declaration-human-rights/" TargetMode="External"/><Relationship Id="rId15" Type="http://schemas.openxmlformats.org/officeDocument/2006/relationships/hyperlink" Target="http://www.ilo.org/declaration/lang--en/index.htm" TargetMode="External"/><Relationship Id="rId14" Type="http://schemas.openxmlformats.org/officeDocument/2006/relationships/hyperlink" Target="http://www.ohchr.org/EN/Issues/IPeoples/Pages/Declaration.aspx" TargetMode="External"/><Relationship Id="rId16" Type="http://schemas.openxmlformats.org/officeDocument/2006/relationships/hyperlink" Target="http://www.ilo.org/declaration/lang--en/index.htm" TargetMode="External"/><Relationship Id="rId5" Type="http://schemas.openxmlformats.org/officeDocument/2006/relationships/hyperlink" Target="http://www.un.org/womenwatch/daw/cedaw/" TargetMode="External"/><Relationship Id="rId6" Type="http://schemas.openxmlformats.org/officeDocument/2006/relationships/hyperlink" Target="http://www.ohchr.org/EN/Issues/IPeoples/Pages/Declaration.aspx" TargetMode="External"/><Relationship Id="rId7" Type="http://schemas.openxmlformats.org/officeDocument/2006/relationships/hyperlink" Target="http://www.ilo.org/declaration/lang--en/index.htm" TargetMode="External"/><Relationship Id="rId8" Type="http://schemas.openxmlformats.org/officeDocument/2006/relationships/hyperlink" Target="http://www.ilo.org/declaration/lang--en/index.htm" TargetMode="External"/></Relationships>
</file>