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616CF" w14:textId="6304F800" w:rsidR="00094ECC" w:rsidRPr="00B23CF1" w:rsidRDefault="00DB0691" w:rsidP="00094ECC">
      <w:pPr>
        <w:jc w:val="center"/>
        <w:rPr>
          <w:b/>
        </w:rPr>
      </w:pPr>
      <w:r w:rsidRPr="00B23CF1">
        <w:rPr>
          <w:b/>
        </w:rPr>
        <w:t xml:space="preserve">Pearson </w:t>
      </w:r>
      <w:r w:rsidR="00090240" w:rsidRPr="00B23CF1">
        <w:rPr>
          <w:b/>
        </w:rPr>
        <w:t xml:space="preserve">Linear </w:t>
      </w:r>
      <w:r w:rsidRPr="00B23CF1">
        <w:rPr>
          <w:b/>
        </w:rPr>
        <w:t>Correlation Analysis of Parking and Renewal Rates</w:t>
      </w:r>
    </w:p>
    <w:p w14:paraId="6B05F816" w14:textId="77777777" w:rsidR="00094ECC" w:rsidRPr="00B23CF1" w:rsidRDefault="00094ECC" w:rsidP="00094ECC">
      <w:pPr>
        <w:jc w:val="center"/>
      </w:pPr>
      <w:r w:rsidRPr="00B23CF1">
        <w:t>Brian Aitchison</w:t>
      </w:r>
    </w:p>
    <w:p w14:paraId="5F0B4B9E" w14:textId="1F92F995" w:rsidR="00DB0691" w:rsidRPr="00B23CF1" w:rsidRDefault="00330453" w:rsidP="00094ECC">
      <w:pPr>
        <w:jc w:val="center"/>
      </w:pPr>
      <w:r>
        <w:t>August</w:t>
      </w:r>
      <w:r w:rsidR="00094ECC" w:rsidRPr="00B23CF1">
        <w:t xml:space="preserve"> 2017</w:t>
      </w:r>
    </w:p>
    <w:p w14:paraId="4F60CE54" w14:textId="77777777" w:rsidR="00DB0691" w:rsidRPr="00B23CF1" w:rsidRDefault="00DB0691"/>
    <w:p w14:paraId="0FEA95A9" w14:textId="78F28916" w:rsidR="00090240" w:rsidRPr="00B23CF1" w:rsidRDefault="00090240">
      <w:r w:rsidRPr="00B23CF1">
        <w:rPr>
          <w:b/>
        </w:rPr>
        <w:t>Description</w:t>
      </w:r>
    </w:p>
    <w:p w14:paraId="0B820A01" w14:textId="77777777" w:rsidR="00090240" w:rsidRPr="00B23CF1" w:rsidRDefault="00090240"/>
    <w:p w14:paraId="16C68954" w14:textId="524A5347" w:rsidR="00090240" w:rsidRPr="00B23CF1" w:rsidRDefault="00090240">
      <w:r w:rsidRPr="00B23CF1">
        <w:t>Two data sets are correlated if change in one variable is accompanied by change in the other. A Pearson linear correlation analysis demonstrates the strength of the relationship between two variable sets (in this case, parking rates and renewal rates)</w:t>
      </w:r>
      <w:r w:rsidR="007474DC" w:rsidRPr="00B23CF1">
        <w:t xml:space="preserve"> through statistical significance testing</w:t>
      </w:r>
      <w:r w:rsidRPr="00B23CF1">
        <w:t>. In other words, it allows us to determine whether the variation between the two data sets are</w:t>
      </w:r>
      <w:r w:rsidR="00300878" w:rsidRPr="00B23CF1">
        <w:t xml:space="preserve"> or </w:t>
      </w:r>
      <w:r w:rsidRPr="00B23CF1">
        <w:t xml:space="preserve">are not due to random chance. </w:t>
      </w:r>
    </w:p>
    <w:p w14:paraId="357C3463" w14:textId="77777777" w:rsidR="00090240" w:rsidRPr="00B23CF1" w:rsidRDefault="00090240">
      <w:pPr>
        <w:rPr>
          <w:b/>
        </w:rPr>
      </w:pPr>
    </w:p>
    <w:p w14:paraId="4FD855DD" w14:textId="77777777" w:rsidR="00FE2A1F" w:rsidRPr="00B23CF1" w:rsidRDefault="00DB0691">
      <w:pPr>
        <w:rPr>
          <w:b/>
        </w:rPr>
      </w:pPr>
      <w:r w:rsidRPr="00B23CF1">
        <w:rPr>
          <w:b/>
        </w:rPr>
        <w:t>Method</w:t>
      </w:r>
    </w:p>
    <w:p w14:paraId="3962E7F6" w14:textId="77777777" w:rsidR="00DB0691" w:rsidRPr="00B23CF1" w:rsidRDefault="00DB0691"/>
    <w:p w14:paraId="226998B1" w14:textId="22BEE5ED" w:rsidR="00DB0691" w:rsidRPr="00B23CF1" w:rsidRDefault="00DB0691" w:rsidP="00DB0691">
      <w:pPr>
        <w:pStyle w:val="ListParagraph"/>
        <w:numPr>
          <w:ilvl w:val="0"/>
          <w:numId w:val="1"/>
        </w:numPr>
      </w:pPr>
      <w:r w:rsidRPr="00B23CF1">
        <w:t xml:space="preserve">Calculate average 1-2 year renewal rate for new and legacy </w:t>
      </w:r>
      <w:proofErr w:type="spellStart"/>
      <w:r w:rsidRPr="00B23CF1">
        <w:t>gTLDs</w:t>
      </w:r>
      <w:proofErr w:type="spellEnd"/>
      <w:r w:rsidRPr="00B23CF1">
        <w:t xml:space="preserve"> for </w:t>
      </w:r>
      <w:r w:rsidR="009258AC" w:rsidRPr="00B23CF1">
        <w:t>July</w:t>
      </w:r>
      <w:r w:rsidRPr="00B23CF1">
        <w:t xml:space="preserve"> – December 2016</w:t>
      </w:r>
    </w:p>
    <w:p w14:paraId="48138D5A" w14:textId="77777777" w:rsidR="00DB0691" w:rsidRPr="00B23CF1" w:rsidRDefault="00DB0691"/>
    <w:p w14:paraId="31228160" w14:textId="220F3392" w:rsidR="00DB0691" w:rsidRPr="00B23CF1" w:rsidRDefault="00DB0691" w:rsidP="00DB0691">
      <w:pPr>
        <w:pStyle w:val="ListParagraph"/>
        <w:numPr>
          <w:ilvl w:val="0"/>
          <w:numId w:val="1"/>
        </w:numPr>
      </w:pPr>
      <w:r w:rsidRPr="00B23CF1">
        <w:t>Run Pearson Correlation Analysis on averaged renewal rates August – December 2016 and December 2016 parking</w:t>
      </w:r>
      <w:r w:rsidR="00E20EE3" w:rsidRPr="00B23CF1">
        <w:t xml:space="preserve"> rates for new and legacy </w:t>
      </w:r>
      <w:proofErr w:type="spellStart"/>
      <w:r w:rsidR="00E20EE3" w:rsidRPr="00B23CF1">
        <w:t>gTLDs</w:t>
      </w:r>
      <w:proofErr w:type="spellEnd"/>
    </w:p>
    <w:p w14:paraId="13CA04E3" w14:textId="77777777" w:rsidR="00094ECC" w:rsidRPr="00B23CF1" w:rsidRDefault="00094ECC" w:rsidP="00DB0691"/>
    <w:p w14:paraId="482A371B" w14:textId="3C3A3F2E" w:rsidR="00094ECC" w:rsidRPr="00B23CF1" w:rsidRDefault="00094ECC" w:rsidP="00DB0691">
      <w:pPr>
        <w:rPr>
          <w:b/>
          <w:u w:val="single"/>
        </w:rPr>
      </w:pPr>
      <w:r w:rsidRPr="00B23CF1">
        <w:rPr>
          <w:b/>
          <w:u w:val="single"/>
        </w:rPr>
        <w:t xml:space="preserve">New </w:t>
      </w:r>
      <w:proofErr w:type="spellStart"/>
      <w:r w:rsidRPr="00B23CF1">
        <w:rPr>
          <w:b/>
          <w:u w:val="single"/>
        </w:rPr>
        <w:t>gTLD</w:t>
      </w:r>
      <w:proofErr w:type="spellEnd"/>
      <w:r w:rsidRPr="00B23CF1">
        <w:rPr>
          <w:b/>
          <w:u w:val="single"/>
        </w:rPr>
        <w:t xml:space="preserve"> Analysis</w:t>
      </w:r>
      <w:r w:rsidR="00F524F3" w:rsidRPr="00B23CF1">
        <w:rPr>
          <w:rStyle w:val="FootnoteReference"/>
        </w:rPr>
        <w:footnoteReference w:id="1"/>
      </w:r>
    </w:p>
    <w:p w14:paraId="1690DAF5" w14:textId="77777777" w:rsidR="00094ECC" w:rsidRPr="00B23CF1" w:rsidRDefault="00094ECC" w:rsidP="00DB0691"/>
    <w:p w14:paraId="4E2C9BCE" w14:textId="77777777" w:rsidR="00DB0691" w:rsidRDefault="00DB0691" w:rsidP="00DB0691">
      <w:pPr>
        <w:rPr>
          <w:b/>
        </w:rPr>
      </w:pPr>
      <w:r w:rsidRPr="00B23CF1">
        <w:rPr>
          <w:b/>
        </w:rPr>
        <w:t>Output</w:t>
      </w:r>
    </w:p>
    <w:p w14:paraId="03356269" w14:textId="77777777" w:rsidR="00C32A78" w:rsidRDefault="00C32A78" w:rsidP="00DB0691">
      <w:pPr>
        <w:rPr>
          <w:b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1493"/>
        <w:gridCol w:w="1753"/>
        <w:gridCol w:w="2474"/>
      </w:tblGrid>
      <w:tr w:rsidR="00FB38D4" w:rsidRPr="00FB38D4" w14:paraId="124AEBC9" w14:textId="77777777" w:rsidTr="00FB38D4">
        <w:trPr>
          <w:trHeight w:val="323"/>
        </w:trPr>
        <w:tc>
          <w:tcPr>
            <w:tcW w:w="10201" w:type="dxa"/>
            <w:gridSpan w:val="4"/>
            <w:shd w:val="clear" w:color="auto" w:fill="auto"/>
            <w:noWrap/>
            <w:vAlign w:val="bottom"/>
            <w:hideMark/>
          </w:tcPr>
          <w:p w14:paraId="5A9E9F1C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Correlation Coefficients Matrix</w:t>
            </w:r>
          </w:p>
        </w:tc>
      </w:tr>
      <w:tr w:rsidR="00FB38D4" w:rsidRPr="00FB38D4" w14:paraId="0DB35C25" w14:textId="77777777" w:rsidTr="00FB38D4">
        <w:trPr>
          <w:trHeight w:val="368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597528D0" w14:textId="2CB9D223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Dec. 2016 parking rate</w:t>
            </w:r>
            <w:r w:rsidRPr="00B23CF1">
              <w:rPr>
                <w:rFonts w:eastAsia="Times New Roman"/>
                <w:color w:val="000000"/>
                <w:lang w:eastAsia="en-US"/>
              </w:rPr>
              <w:t xml:space="preserve"> – Jul-Dec 2016 </w:t>
            </w:r>
            <w:proofErr w:type="spellStart"/>
            <w:r w:rsidRPr="00B23CF1">
              <w:rPr>
                <w:rFonts w:eastAsia="Times New Roman"/>
                <w:color w:val="000000"/>
                <w:lang w:eastAsia="en-US"/>
              </w:rPr>
              <w:t>avg</w:t>
            </w:r>
            <w:proofErr w:type="spellEnd"/>
            <w:r w:rsidRPr="00B23CF1">
              <w:rPr>
                <w:rFonts w:eastAsia="Times New Roman"/>
                <w:color w:val="000000"/>
                <w:lang w:eastAsia="en-US"/>
              </w:rPr>
              <w:t xml:space="preserve"> renewal rate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EAB8994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R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15C9E0B0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0.052310912</w:t>
            </w: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7CBD8565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1</w:t>
            </w:r>
          </w:p>
        </w:tc>
      </w:tr>
      <w:tr w:rsidR="00FB38D4" w:rsidRPr="00FB38D4" w14:paraId="26E42147" w14:textId="77777777" w:rsidTr="00FB38D4">
        <w:trPr>
          <w:trHeight w:val="323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34E2B303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7FA3D13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R Standard Error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5605EA93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0.014884531</w:t>
            </w: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3C05002A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B38D4" w:rsidRPr="00FB38D4" w14:paraId="0D6F6077" w14:textId="77777777" w:rsidTr="00FB38D4">
        <w:trPr>
          <w:trHeight w:val="323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18DD685A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00F90A15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t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6D0482BF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0.428770322</w:t>
            </w: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6118BF4A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B38D4" w:rsidRPr="00FB38D4" w14:paraId="038EC173" w14:textId="77777777" w:rsidTr="00FB38D4">
        <w:trPr>
          <w:trHeight w:val="323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04D45BE6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1D62F8A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p-value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70EAA8AE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b/>
                <w:color w:val="000000"/>
                <w:lang w:eastAsia="en-US"/>
              </w:rPr>
              <w:t>0.669465831</w:t>
            </w: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75561C76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B38D4" w:rsidRPr="00FB38D4" w14:paraId="57BD722F" w14:textId="77777777" w:rsidTr="00FB38D4">
        <w:trPr>
          <w:trHeight w:val="323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169FFF85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31A4146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H0 (5%)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7146D77E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b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b/>
                <w:color w:val="FF0000"/>
                <w:lang w:eastAsia="en-US"/>
              </w:rPr>
              <w:t>accepted</w:t>
            </w: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45C5FE66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B38D4" w:rsidRPr="00FB38D4" w14:paraId="32ECA569" w14:textId="77777777" w:rsidTr="00FB38D4">
        <w:trPr>
          <w:trHeight w:val="323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19D25AD4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5F3441E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50890937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34336669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B38D4" w:rsidRPr="00FB38D4" w14:paraId="04F08F86" w14:textId="77777777" w:rsidTr="00FB38D4">
        <w:trPr>
          <w:trHeight w:val="323"/>
        </w:trPr>
        <w:tc>
          <w:tcPr>
            <w:tcW w:w="5974" w:type="dxa"/>
            <w:gridSpan w:val="2"/>
            <w:shd w:val="clear" w:color="auto" w:fill="auto"/>
            <w:noWrap/>
            <w:vAlign w:val="bottom"/>
            <w:hideMark/>
          </w:tcPr>
          <w:p w14:paraId="3B9269C3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R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7AF035A7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6C47435F" w14:textId="77777777" w:rsidR="00FB38D4" w:rsidRPr="00FB38D4" w:rsidRDefault="00FB38D4" w:rsidP="00FB38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B38D4" w:rsidRPr="00FB38D4" w14:paraId="2A362DFA" w14:textId="77777777" w:rsidTr="00FB38D4">
        <w:trPr>
          <w:trHeight w:val="323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1BBEAC79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Variable vs. Variable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CEB588C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R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6BB0F4B5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No# of valid cases</w:t>
            </w: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7EA8BBB6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  <w:tr w:rsidR="00FB38D4" w:rsidRPr="00FB38D4" w14:paraId="1FEAC49C" w14:textId="77777777" w:rsidTr="00FB38D4">
        <w:trPr>
          <w:trHeight w:val="323"/>
        </w:trPr>
        <w:tc>
          <w:tcPr>
            <w:tcW w:w="4498" w:type="dxa"/>
            <w:shd w:val="clear" w:color="auto" w:fill="auto"/>
            <w:noWrap/>
            <w:vAlign w:val="bottom"/>
            <w:hideMark/>
          </w:tcPr>
          <w:p w14:paraId="7B8EA935" w14:textId="77777777" w:rsidR="00FB38D4" w:rsidRPr="00FB38D4" w:rsidRDefault="00FB38D4" w:rsidP="00FB38D4">
            <w:pPr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Corrected average renewal rate vs. Dec. 2016 parking rate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2AFE4AD8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0.052310912</w:t>
            </w:r>
          </w:p>
        </w:tc>
        <w:tc>
          <w:tcPr>
            <w:tcW w:w="1753" w:type="dxa"/>
            <w:shd w:val="clear" w:color="auto" w:fill="auto"/>
            <w:noWrap/>
            <w:vAlign w:val="bottom"/>
            <w:hideMark/>
          </w:tcPr>
          <w:p w14:paraId="788A0C38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  <w:r w:rsidRPr="00FB38D4">
              <w:rPr>
                <w:rFonts w:ascii="Calibri" w:eastAsia="Times New Roman" w:hAnsi="Calibri" w:cs="Times New Roman"/>
                <w:color w:val="000000"/>
                <w:lang w:eastAsia="en-US"/>
              </w:rPr>
              <w:t>69</w:t>
            </w:r>
          </w:p>
        </w:tc>
        <w:tc>
          <w:tcPr>
            <w:tcW w:w="2474" w:type="dxa"/>
            <w:shd w:val="clear" w:color="auto" w:fill="auto"/>
            <w:noWrap/>
            <w:vAlign w:val="bottom"/>
            <w:hideMark/>
          </w:tcPr>
          <w:p w14:paraId="6303B2AF" w14:textId="77777777" w:rsidR="00FB38D4" w:rsidRPr="00FB38D4" w:rsidRDefault="00FB38D4" w:rsidP="00FB38D4">
            <w:pPr>
              <w:jc w:val="right"/>
              <w:rPr>
                <w:rFonts w:ascii="Calibri" w:eastAsia="Times New Roman" w:hAnsi="Calibri" w:cs="Times New Roman"/>
                <w:color w:val="000000"/>
                <w:lang w:eastAsia="en-US"/>
              </w:rPr>
            </w:pPr>
          </w:p>
        </w:tc>
      </w:tr>
    </w:tbl>
    <w:p w14:paraId="28A2D45B" w14:textId="77777777" w:rsidR="00FB38D4" w:rsidRDefault="00FB38D4" w:rsidP="00DB0691">
      <w:pPr>
        <w:rPr>
          <w:b/>
        </w:rPr>
      </w:pPr>
    </w:p>
    <w:p w14:paraId="320D0128" w14:textId="77777777" w:rsidR="00C32A78" w:rsidRDefault="00C32A78" w:rsidP="00DB0691">
      <w:pPr>
        <w:rPr>
          <w:b/>
        </w:rPr>
      </w:pPr>
    </w:p>
    <w:p w14:paraId="37F2190D" w14:textId="0BBA3F1F" w:rsidR="00C32A78" w:rsidRPr="00B23CF1" w:rsidRDefault="00C32A78" w:rsidP="00DB0691">
      <w:pPr>
        <w:rPr>
          <w:b/>
        </w:rPr>
      </w:pPr>
      <w:r>
        <w:rPr>
          <w:noProof/>
          <w:lang w:eastAsia="en-US"/>
        </w:rPr>
        <w:lastRenderedPageBreak/>
        <w:drawing>
          <wp:inline distT="0" distB="0" distL="0" distR="0" wp14:anchorId="03143778" wp14:editId="60333C72">
            <wp:extent cx="6527800" cy="37846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0620D86" w14:textId="77777777" w:rsidR="00DB0691" w:rsidRPr="00B23CF1" w:rsidRDefault="00DB0691" w:rsidP="00DB0691"/>
    <w:p w14:paraId="375382B6" w14:textId="77777777" w:rsidR="00DB0691" w:rsidRPr="00B23CF1" w:rsidRDefault="00DB0691" w:rsidP="00DB0691"/>
    <w:p w14:paraId="19CA58C3" w14:textId="77777777" w:rsidR="00DB0691" w:rsidRPr="00B23CF1" w:rsidRDefault="00997C16">
      <w:pPr>
        <w:rPr>
          <w:b/>
        </w:rPr>
      </w:pPr>
      <w:r w:rsidRPr="00B23CF1">
        <w:rPr>
          <w:b/>
        </w:rPr>
        <w:t>Interpretation/Analysis</w:t>
      </w:r>
    </w:p>
    <w:p w14:paraId="02BBDFC0" w14:textId="77777777" w:rsidR="00997C16" w:rsidRPr="00B23CF1" w:rsidRDefault="00997C16"/>
    <w:p w14:paraId="7C8370FC" w14:textId="20D1EFFE" w:rsidR="00997C16" w:rsidRPr="00B23CF1" w:rsidRDefault="00222491">
      <w:r w:rsidRPr="00B23CF1">
        <w:t xml:space="preserve">We accept the null hypothesis at a 95% confidence interval. </w:t>
      </w:r>
      <w:r w:rsidR="00997C16" w:rsidRPr="00B23CF1">
        <w:t xml:space="preserve">The data shows no statistically significant correlation between average renewal rates for Aug – Dec 2016 and parking </w:t>
      </w:r>
      <w:r w:rsidR="00094ECC" w:rsidRPr="00B23CF1">
        <w:t>rates for December 2016</w:t>
      </w:r>
      <w:r w:rsidR="00F974F9" w:rsidRPr="00B23CF1">
        <w:t xml:space="preserve"> in the observed new </w:t>
      </w:r>
      <w:proofErr w:type="spellStart"/>
      <w:r w:rsidR="00F974F9" w:rsidRPr="00B23CF1">
        <w:t>gTLDs</w:t>
      </w:r>
      <w:proofErr w:type="spellEnd"/>
      <w:r w:rsidR="00094ECC" w:rsidRPr="00B23CF1">
        <w:t xml:space="preserve">. </w:t>
      </w:r>
    </w:p>
    <w:p w14:paraId="3FDBD304" w14:textId="77777777" w:rsidR="00F974F9" w:rsidRDefault="00F974F9"/>
    <w:p w14:paraId="5B5D29A8" w14:textId="77777777" w:rsidR="00913DA1" w:rsidRPr="00B23CF1" w:rsidRDefault="00913DA1">
      <w:bookmarkStart w:id="0" w:name="_GoBack"/>
      <w:bookmarkEnd w:id="0"/>
    </w:p>
    <w:p w14:paraId="6F3B0BE7" w14:textId="474499C0" w:rsidR="00F974F9" w:rsidRPr="00B23CF1" w:rsidRDefault="00F974F9">
      <w:pPr>
        <w:rPr>
          <w:b/>
          <w:u w:val="single"/>
        </w:rPr>
      </w:pPr>
      <w:r w:rsidRPr="00B23CF1">
        <w:rPr>
          <w:b/>
          <w:u w:val="single"/>
        </w:rPr>
        <w:t xml:space="preserve">Legacy </w:t>
      </w:r>
      <w:proofErr w:type="spellStart"/>
      <w:r w:rsidRPr="00B23CF1">
        <w:rPr>
          <w:b/>
          <w:u w:val="single"/>
        </w:rPr>
        <w:t>gTLD</w:t>
      </w:r>
      <w:proofErr w:type="spellEnd"/>
      <w:r w:rsidRPr="00B23CF1">
        <w:rPr>
          <w:b/>
          <w:u w:val="single"/>
        </w:rPr>
        <w:t xml:space="preserve"> Analysis </w:t>
      </w:r>
    </w:p>
    <w:p w14:paraId="2DCB25E8" w14:textId="77777777" w:rsidR="00F974F9" w:rsidRPr="00B23CF1" w:rsidRDefault="00F974F9">
      <w:pPr>
        <w:rPr>
          <w:b/>
          <w:u w:val="single"/>
        </w:rPr>
      </w:pPr>
    </w:p>
    <w:p w14:paraId="6579EFE0" w14:textId="11F43FDE" w:rsidR="00F974F9" w:rsidRPr="00B23CF1" w:rsidRDefault="00F974F9">
      <w:pPr>
        <w:rPr>
          <w:b/>
        </w:rPr>
      </w:pPr>
      <w:r w:rsidRPr="00B23CF1">
        <w:rPr>
          <w:b/>
        </w:rPr>
        <w:t>Output</w:t>
      </w:r>
    </w:p>
    <w:p w14:paraId="4D4C4AD3" w14:textId="77777777" w:rsidR="00E0339A" w:rsidRPr="00B23CF1" w:rsidRDefault="00E0339A"/>
    <w:tbl>
      <w:tblPr>
        <w:tblW w:w="91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3"/>
        <w:gridCol w:w="1618"/>
        <w:gridCol w:w="1787"/>
        <w:gridCol w:w="1902"/>
      </w:tblGrid>
      <w:tr w:rsidR="00237EC7" w:rsidRPr="00B23CF1" w14:paraId="68A49484" w14:textId="77777777" w:rsidTr="00237EC7">
        <w:trPr>
          <w:trHeight w:val="292"/>
        </w:trPr>
        <w:tc>
          <w:tcPr>
            <w:tcW w:w="9128" w:type="dxa"/>
            <w:gridSpan w:val="4"/>
            <w:shd w:val="clear" w:color="auto" w:fill="auto"/>
            <w:noWrap/>
            <w:vAlign w:val="bottom"/>
            <w:hideMark/>
          </w:tcPr>
          <w:p w14:paraId="4DBD0CE5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Correlation Coefficients Matrix</w:t>
            </w:r>
          </w:p>
        </w:tc>
      </w:tr>
      <w:tr w:rsidR="00237EC7" w:rsidRPr="00B23CF1" w14:paraId="5737E9F5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68DEEF4C" w14:textId="1C038490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Dec. 2016 parking rate</w:t>
            </w:r>
            <w:r w:rsidR="00237EC7" w:rsidRPr="00B23CF1">
              <w:rPr>
                <w:rFonts w:eastAsia="Times New Roman"/>
                <w:color w:val="000000"/>
                <w:lang w:eastAsia="en-US"/>
              </w:rPr>
              <w:t xml:space="preserve"> – Jul-Dec 2016 </w:t>
            </w:r>
            <w:proofErr w:type="spellStart"/>
            <w:r w:rsidR="00237EC7" w:rsidRPr="00B23CF1">
              <w:rPr>
                <w:rFonts w:eastAsia="Times New Roman"/>
                <w:color w:val="000000"/>
                <w:lang w:eastAsia="en-US"/>
              </w:rPr>
              <w:t>avg</w:t>
            </w:r>
            <w:proofErr w:type="spellEnd"/>
            <w:r w:rsidR="00237EC7" w:rsidRPr="00B23CF1">
              <w:rPr>
                <w:rFonts w:eastAsia="Times New Roman"/>
                <w:color w:val="000000"/>
                <w:lang w:eastAsia="en-US"/>
              </w:rPr>
              <w:t xml:space="preserve"> renewal rate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B8F23B4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R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4D599C36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0.270892563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01CAAC12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1</w:t>
            </w:r>
          </w:p>
        </w:tc>
      </w:tr>
      <w:tr w:rsidR="00237EC7" w:rsidRPr="00B23CF1" w14:paraId="37A9E4E9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1717376C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70B5E56D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R Standard Error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0D2F7379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0.066186944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706D9995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237EC7" w:rsidRPr="00B23CF1" w14:paraId="2A37F938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0BBF9B2F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0B11A10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t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3541B64C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1.052957681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34FB5D53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237EC7" w:rsidRPr="00B23CF1" w14:paraId="3E722A57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4060986F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54C4B1EA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p-value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18EA44D0" w14:textId="77777777" w:rsidR="00C77EC6" w:rsidRPr="00C77EC6" w:rsidRDefault="00C77EC6" w:rsidP="00C77EC6">
            <w:pPr>
              <w:jc w:val="right"/>
              <w:rPr>
                <w:rFonts w:eastAsia="Times New Roman"/>
                <w:b/>
                <w:color w:val="000000"/>
                <w:lang w:eastAsia="en-US"/>
              </w:rPr>
            </w:pPr>
            <w:r w:rsidRPr="00C77EC6">
              <w:rPr>
                <w:rFonts w:eastAsia="Times New Roman"/>
                <w:b/>
                <w:color w:val="000000"/>
                <w:lang w:eastAsia="en-US"/>
              </w:rPr>
              <w:t>0.31019539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6E5E9B21" w14:textId="77777777" w:rsidR="00C77EC6" w:rsidRPr="00C77EC6" w:rsidRDefault="00C77EC6" w:rsidP="00C77EC6">
            <w:pPr>
              <w:jc w:val="right"/>
              <w:rPr>
                <w:rFonts w:eastAsia="Times New Roman"/>
                <w:b/>
                <w:color w:val="000000"/>
                <w:lang w:eastAsia="en-US"/>
              </w:rPr>
            </w:pPr>
          </w:p>
        </w:tc>
      </w:tr>
      <w:tr w:rsidR="00237EC7" w:rsidRPr="00B23CF1" w14:paraId="20BF2384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3CCF0E11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6E5B806F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H0 (5%)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475B0F7F" w14:textId="77777777" w:rsidR="00C77EC6" w:rsidRPr="00C77EC6" w:rsidRDefault="00C77EC6" w:rsidP="00C77EC6">
            <w:pPr>
              <w:rPr>
                <w:rFonts w:eastAsia="Times New Roman"/>
                <w:b/>
                <w:color w:val="000000"/>
                <w:lang w:eastAsia="en-US"/>
              </w:rPr>
            </w:pPr>
            <w:r w:rsidRPr="00C77EC6">
              <w:rPr>
                <w:rFonts w:eastAsia="Times New Roman"/>
                <w:b/>
                <w:color w:val="FF0000"/>
                <w:lang w:eastAsia="en-US"/>
              </w:rPr>
              <w:t>accepted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0B6E47A4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237EC7" w:rsidRPr="00B23CF1" w14:paraId="3818D92B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5FC236A0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38B67064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4A02851E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5DB9B31A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237EC7" w:rsidRPr="00B23CF1" w14:paraId="30499049" w14:textId="77777777" w:rsidTr="00237EC7">
        <w:trPr>
          <w:trHeight w:val="261"/>
        </w:trPr>
        <w:tc>
          <w:tcPr>
            <w:tcW w:w="5439" w:type="dxa"/>
            <w:gridSpan w:val="2"/>
            <w:shd w:val="clear" w:color="auto" w:fill="auto"/>
            <w:noWrap/>
            <w:vAlign w:val="bottom"/>
            <w:hideMark/>
          </w:tcPr>
          <w:p w14:paraId="2C500F9A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R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16735DA4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62DC161F" w14:textId="77777777" w:rsidR="00C77EC6" w:rsidRPr="00C77EC6" w:rsidRDefault="00C77EC6" w:rsidP="00C77EC6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237EC7" w:rsidRPr="00B23CF1" w14:paraId="1132C621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1130FF03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Variable vs. Variable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1FB3DC4D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R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52173104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No# of valid cases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5EC04563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237EC7" w:rsidRPr="00B23CF1" w14:paraId="7D504A12" w14:textId="77777777" w:rsidTr="00237EC7">
        <w:trPr>
          <w:trHeight w:val="261"/>
        </w:trPr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63E78753" w14:textId="77777777" w:rsidR="00C77EC6" w:rsidRPr="00C77EC6" w:rsidRDefault="00C77EC6" w:rsidP="00C77EC6">
            <w:pPr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Dec. 2016 parking rate vs. Average renewal rate</w:t>
            </w:r>
          </w:p>
        </w:tc>
        <w:tc>
          <w:tcPr>
            <w:tcW w:w="1476" w:type="dxa"/>
            <w:shd w:val="clear" w:color="auto" w:fill="auto"/>
            <w:noWrap/>
            <w:vAlign w:val="bottom"/>
            <w:hideMark/>
          </w:tcPr>
          <w:p w14:paraId="443F62DA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0.270892563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14:paraId="4EC02E05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  <w:r w:rsidRPr="00C77EC6">
              <w:rPr>
                <w:rFonts w:eastAsia="Times New Roman"/>
                <w:color w:val="000000"/>
                <w:lang w:eastAsia="en-US"/>
              </w:rPr>
              <w:t>16</w:t>
            </w:r>
          </w:p>
        </w:tc>
        <w:tc>
          <w:tcPr>
            <w:tcW w:w="1902" w:type="dxa"/>
            <w:shd w:val="clear" w:color="auto" w:fill="auto"/>
            <w:noWrap/>
            <w:vAlign w:val="bottom"/>
            <w:hideMark/>
          </w:tcPr>
          <w:p w14:paraId="3DB25414" w14:textId="77777777" w:rsidR="00C77EC6" w:rsidRPr="00C77EC6" w:rsidRDefault="00C77EC6" w:rsidP="00C77EC6">
            <w:pPr>
              <w:jc w:val="right"/>
              <w:rPr>
                <w:rFonts w:eastAsia="Times New Roman"/>
                <w:color w:val="000000"/>
                <w:lang w:eastAsia="en-US"/>
              </w:rPr>
            </w:pPr>
          </w:p>
        </w:tc>
      </w:tr>
    </w:tbl>
    <w:p w14:paraId="0C86FB6C" w14:textId="77777777" w:rsidR="00C77EC6" w:rsidRPr="00B23CF1" w:rsidRDefault="00C77EC6"/>
    <w:p w14:paraId="316818C1" w14:textId="77777777" w:rsidR="00C77EC6" w:rsidRPr="00B23CF1" w:rsidRDefault="00C77EC6"/>
    <w:p w14:paraId="018A78A3" w14:textId="77777777" w:rsidR="00C77EC6" w:rsidRPr="00B23CF1" w:rsidRDefault="00C77EC6"/>
    <w:p w14:paraId="3842B47F" w14:textId="77777777" w:rsidR="00C77EC6" w:rsidRPr="00B23CF1" w:rsidRDefault="00C77EC6"/>
    <w:p w14:paraId="72133737" w14:textId="3B1D7A6A" w:rsidR="00C77EC6" w:rsidRPr="00B23CF1" w:rsidRDefault="00B23CF1">
      <w:r w:rsidRPr="00B23CF1">
        <w:rPr>
          <w:noProof/>
          <w:lang w:eastAsia="en-US"/>
        </w:rPr>
        <w:drawing>
          <wp:inline distT="0" distB="0" distL="0" distR="0" wp14:anchorId="74EDFC5C" wp14:editId="733E3177">
            <wp:extent cx="5880100" cy="3619500"/>
            <wp:effectExtent l="0" t="0" r="1270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63A1E6E" w14:textId="77777777" w:rsidR="00C77EC6" w:rsidRPr="00B23CF1" w:rsidRDefault="00C77EC6"/>
    <w:p w14:paraId="5EAE6010" w14:textId="77777777" w:rsidR="00C77EC6" w:rsidRPr="00B23CF1" w:rsidRDefault="00C77EC6"/>
    <w:p w14:paraId="62A83A8D" w14:textId="77777777" w:rsidR="00C77EC6" w:rsidRPr="00B23CF1" w:rsidRDefault="00C77EC6"/>
    <w:p w14:paraId="1F0901F1" w14:textId="77777777" w:rsidR="00C82694" w:rsidRPr="00B23CF1" w:rsidRDefault="00C82694"/>
    <w:p w14:paraId="5355B1DD" w14:textId="77777777" w:rsidR="00F974F9" w:rsidRPr="00B23CF1" w:rsidRDefault="00F974F9" w:rsidP="00F974F9">
      <w:pPr>
        <w:rPr>
          <w:b/>
        </w:rPr>
      </w:pPr>
      <w:r w:rsidRPr="00B23CF1">
        <w:rPr>
          <w:b/>
        </w:rPr>
        <w:t>Interpretation/Analysis</w:t>
      </w:r>
    </w:p>
    <w:p w14:paraId="19954F04" w14:textId="77777777" w:rsidR="00F974F9" w:rsidRPr="00B23CF1" w:rsidRDefault="00F974F9" w:rsidP="00F974F9"/>
    <w:p w14:paraId="10051D3B" w14:textId="05D6C515" w:rsidR="00F974F9" w:rsidRPr="00B23CF1" w:rsidRDefault="00F974F9" w:rsidP="00F974F9">
      <w:r w:rsidRPr="00B23CF1">
        <w:t>We accept the null hypothesis at a 95% con</w:t>
      </w:r>
      <w:r w:rsidR="00104335" w:rsidRPr="00B23CF1">
        <w:t>fidence interval. The data show</w:t>
      </w:r>
      <w:r w:rsidRPr="00B23CF1">
        <w:t xml:space="preserve"> no statistically significant correlation between average renewal rates for Aug – Dec 2016 and parking rates for December 2016 in the observed legacy </w:t>
      </w:r>
      <w:proofErr w:type="spellStart"/>
      <w:r w:rsidR="00F524F3" w:rsidRPr="00B23CF1">
        <w:t>g</w:t>
      </w:r>
      <w:r w:rsidRPr="00B23CF1">
        <w:t>TLDs</w:t>
      </w:r>
      <w:proofErr w:type="spellEnd"/>
      <w:r w:rsidRPr="00B23CF1">
        <w:t xml:space="preserve">. </w:t>
      </w:r>
    </w:p>
    <w:p w14:paraId="29F5BCB8" w14:textId="77777777" w:rsidR="00F974F9" w:rsidRPr="00B23CF1" w:rsidRDefault="00F974F9"/>
    <w:sectPr w:rsidR="00F974F9" w:rsidRPr="00B23CF1" w:rsidSect="00FE2A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0F4C1" w14:textId="77777777" w:rsidR="00BF6588" w:rsidRDefault="00BF6588" w:rsidP="00E20EE3">
      <w:r>
        <w:separator/>
      </w:r>
    </w:p>
  </w:endnote>
  <w:endnote w:type="continuationSeparator" w:id="0">
    <w:p w14:paraId="37803374" w14:textId="77777777" w:rsidR="00BF6588" w:rsidRDefault="00BF6588" w:rsidP="00E2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9029A" w14:textId="77777777" w:rsidR="00BF6588" w:rsidRDefault="00BF6588" w:rsidP="00E20EE3">
      <w:r>
        <w:separator/>
      </w:r>
    </w:p>
  </w:footnote>
  <w:footnote w:type="continuationSeparator" w:id="0">
    <w:p w14:paraId="1851C225" w14:textId="77777777" w:rsidR="00BF6588" w:rsidRDefault="00BF6588" w:rsidP="00E20EE3">
      <w:r>
        <w:continuationSeparator/>
      </w:r>
    </w:p>
  </w:footnote>
  <w:footnote w:id="1">
    <w:p w14:paraId="2196AB11" w14:textId="1C6ED404" w:rsidR="00F524F3" w:rsidRDefault="00F524F3" w:rsidP="00F524F3">
      <w:pPr>
        <w:pStyle w:val="FootnoteText"/>
      </w:pPr>
      <w:r>
        <w:rPr>
          <w:rStyle w:val="FootnoteReference"/>
        </w:rPr>
        <w:footnoteRef/>
      </w:r>
      <w:r>
        <w:t xml:space="preserve"> The new </w:t>
      </w:r>
      <w:proofErr w:type="spellStart"/>
      <w:r>
        <w:t>gTLD</w:t>
      </w:r>
      <w:proofErr w:type="spellEnd"/>
      <w:r>
        <w:t xml:space="preserve"> analysis excludes “brand” and ROCC (Registry Operator Code of Conduct)-exempt </w:t>
      </w:r>
      <w:proofErr w:type="spellStart"/>
      <w:r>
        <w:t>gTLDs</w:t>
      </w:r>
      <w:proofErr w:type="spellEnd"/>
      <w:r>
        <w:t xml:space="preserve"> and only includes those launched prior to 1 July 2015.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D16D8"/>
    <w:multiLevelType w:val="hybridMultilevel"/>
    <w:tmpl w:val="AD94B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91"/>
    <w:rsid w:val="00090240"/>
    <w:rsid w:val="00094ECC"/>
    <w:rsid w:val="00104335"/>
    <w:rsid w:val="00217793"/>
    <w:rsid w:val="00222491"/>
    <w:rsid w:val="00237EC7"/>
    <w:rsid w:val="00244D9A"/>
    <w:rsid w:val="00281F86"/>
    <w:rsid w:val="00300878"/>
    <w:rsid w:val="00330453"/>
    <w:rsid w:val="004579F3"/>
    <w:rsid w:val="007474DC"/>
    <w:rsid w:val="00755D51"/>
    <w:rsid w:val="00913DA1"/>
    <w:rsid w:val="009258AC"/>
    <w:rsid w:val="00997C16"/>
    <w:rsid w:val="009E4997"/>
    <w:rsid w:val="00A14715"/>
    <w:rsid w:val="00B23CF1"/>
    <w:rsid w:val="00BC60FF"/>
    <w:rsid w:val="00BF6588"/>
    <w:rsid w:val="00C32A78"/>
    <w:rsid w:val="00C77EC6"/>
    <w:rsid w:val="00C82694"/>
    <w:rsid w:val="00DB0691"/>
    <w:rsid w:val="00E0339A"/>
    <w:rsid w:val="00E20EE3"/>
    <w:rsid w:val="00E80E9F"/>
    <w:rsid w:val="00F524F3"/>
    <w:rsid w:val="00F974F9"/>
    <w:rsid w:val="00FB38D4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CBF3E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17793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345A8A" w:themeColor="accent1" w:themeShade="B5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17793"/>
    <w:pPr>
      <w:keepNext/>
      <w:keepLines/>
      <w:spacing w:before="200"/>
      <w:outlineLvl w:val="1"/>
    </w:pPr>
    <w:rPr>
      <w:rFonts w:eastAsiaTheme="majorEastAsia" w:cstheme="majorBidi"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17793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217793"/>
    <w:pPr>
      <w:keepNext/>
      <w:keepLines/>
      <w:spacing w:before="8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7793"/>
    <w:rPr>
      <w:rFonts w:eastAsiaTheme="majorEastAsia" w:cstheme="majorBidi"/>
      <w:b/>
      <w:bCs/>
      <w:color w:val="345A8A" w:themeColor="accent1" w:themeShade="B5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17793"/>
    <w:rPr>
      <w:rFonts w:eastAsiaTheme="majorEastAsia" w:cstheme="majorBidi"/>
      <w:bCs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217793"/>
    <w:rPr>
      <w:rFonts w:eastAsiaTheme="majorEastAsia" w:cstheme="majorBidi"/>
      <w:b/>
      <w:bCs/>
      <w:i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217793"/>
    <w:rPr>
      <w:rFonts w:eastAsiaTheme="majorEastAsia" w:cstheme="majorBidi"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9F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9F3"/>
    <w:rPr>
      <w:rFonts w:ascii="Lucida Grande" w:eastAsiaTheme="minorHAnsi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B069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E20EE3"/>
  </w:style>
  <w:style w:type="character" w:customStyle="1" w:styleId="FootnoteTextChar">
    <w:name w:val="Footnote Text Char"/>
    <w:basedOn w:val="DefaultParagraphFont"/>
    <w:link w:val="FootnoteText"/>
    <w:uiPriority w:val="99"/>
    <w:rsid w:val="00E20EE3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E20E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hart" Target="charts/chart1.xml"/><Relationship Id="rId8" Type="http://schemas.openxmlformats.org/officeDocument/2006/relationships/chart" Target="charts/chart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oleObject" Target="file:////Users/brian.aitchison/Desktop/TLDs%20Total%20Renewals%20(July-Dec%202016)_EA%20Revised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microsoft.com/office/2011/relationships/chartStyle" Target="style2.xml"/><Relationship Id="rId2" Type="http://schemas.microsoft.com/office/2011/relationships/chartColorStyle" Target="colors2.xml"/><Relationship Id="rId3" Type="http://schemas.openxmlformats.org/officeDocument/2006/relationships/oleObject" Target="file:////Users/brian.aitchison/Desktop/TLDs%20Total%20Renewals%20(July-Dec%202016)_EA%20Revised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charset="0"/>
                <a:ea typeface="Arial" charset="0"/>
                <a:cs typeface="Arial" charset="0"/>
              </a:defRPr>
            </a:pPr>
            <a:r>
              <a:rPr lang="en-US"/>
              <a:t>New gTLD Parking - Renewal Rates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charset="0"/>
              <a:ea typeface="Arial" charset="0"/>
              <a:cs typeface="Arial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317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'New G Renewal rates'!$C$2:$C$82</c:f>
              <c:numCache>
                <c:formatCode>General</c:formatCode>
                <c:ptCount val="81"/>
                <c:pt idx="0" formatCode="0.00%">
                  <c:v>0.6008</c:v>
                </c:pt>
                <c:pt idx="2" formatCode="0.00%">
                  <c:v>0.6768</c:v>
                </c:pt>
                <c:pt idx="3" formatCode="0.00%">
                  <c:v>0.7108</c:v>
                </c:pt>
                <c:pt idx="4" formatCode="0.00%">
                  <c:v>0.5809</c:v>
                </c:pt>
                <c:pt idx="6" formatCode="0.00%">
                  <c:v>0.5908</c:v>
                </c:pt>
                <c:pt idx="7" formatCode="0.00%">
                  <c:v>0.6605</c:v>
                </c:pt>
                <c:pt idx="9" formatCode="0.00%">
                  <c:v>0.612</c:v>
                </c:pt>
                <c:pt idx="10" formatCode="0.00%">
                  <c:v>0.5693</c:v>
                </c:pt>
                <c:pt idx="12" formatCode="0.00%">
                  <c:v>0.7147</c:v>
                </c:pt>
                <c:pt idx="13" formatCode="0.00%">
                  <c:v>0.6695</c:v>
                </c:pt>
                <c:pt idx="14" formatCode="0.00%">
                  <c:v>0.5722</c:v>
                </c:pt>
                <c:pt idx="15" formatCode="0.00%">
                  <c:v>0.6072</c:v>
                </c:pt>
                <c:pt idx="16" formatCode="0.00%">
                  <c:v>0.6981</c:v>
                </c:pt>
                <c:pt idx="17" formatCode="0.00%">
                  <c:v>0.6007</c:v>
                </c:pt>
                <c:pt idx="18" formatCode="0.00%">
                  <c:v>0.6223</c:v>
                </c:pt>
                <c:pt idx="19" formatCode="0.00%">
                  <c:v>0.6942</c:v>
                </c:pt>
                <c:pt idx="20" formatCode="0.00%">
                  <c:v>0.6303</c:v>
                </c:pt>
                <c:pt idx="22" formatCode="0.00%">
                  <c:v>0.5959</c:v>
                </c:pt>
                <c:pt idx="23" formatCode="0.00%">
                  <c:v>0.6921</c:v>
                </c:pt>
                <c:pt idx="24" formatCode="0.00%">
                  <c:v>0.6093</c:v>
                </c:pt>
                <c:pt idx="25" formatCode="0.00%">
                  <c:v>0.6902</c:v>
                </c:pt>
                <c:pt idx="26" formatCode="0.00%">
                  <c:v>0.7107</c:v>
                </c:pt>
                <c:pt idx="27" formatCode="0.00%">
                  <c:v>0.6344</c:v>
                </c:pt>
                <c:pt idx="28" formatCode="0.00%">
                  <c:v>0.6317</c:v>
                </c:pt>
                <c:pt idx="29" formatCode="0.00%">
                  <c:v>0.6689</c:v>
                </c:pt>
                <c:pt idx="30" formatCode="0.00%">
                  <c:v>0.5612</c:v>
                </c:pt>
                <c:pt idx="31" formatCode="0.00%">
                  <c:v>0.6433</c:v>
                </c:pt>
                <c:pt idx="32" formatCode="0.00%">
                  <c:v>0.7064</c:v>
                </c:pt>
                <c:pt idx="33" formatCode="0.00%">
                  <c:v>0.6642</c:v>
                </c:pt>
                <c:pt idx="34" formatCode="0.00%">
                  <c:v>0.6813</c:v>
                </c:pt>
                <c:pt idx="35" formatCode="0.00%">
                  <c:v>0.5302</c:v>
                </c:pt>
                <c:pt idx="36" formatCode="0.00%">
                  <c:v>0.4927</c:v>
                </c:pt>
                <c:pt idx="37" formatCode="0.00%">
                  <c:v>0.7011</c:v>
                </c:pt>
                <c:pt idx="38" formatCode="0.00%">
                  <c:v>0.6172</c:v>
                </c:pt>
                <c:pt idx="39" formatCode="0.00%">
                  <c:v>0.6663</c:v>
                </c:pt>
                <c:pt idx="40" formatCode="0.00%">
                  <c:v>0.5555</c:v>
                </c:pt>
                <c:pt idx="41" formatCode="0.00%">
                  <c:v>0.7309</c:v>
                </c:pt>
                <c:pt idx="42" formatCode="0.00%">
                  <c:v>0.6114</c:v>
                </c:pt>
                <c:pt idx="43" formatCode="0.00%">
                  <c:v>0.603</c:v>
                </c:pt>
                <c:pt idx="44" formatCode="0.00%">
                  <c:v>0.6224</c:v>
                </c:pt>
                <c:pt idx="45" formatCode="0.00%">
                  <c:v>0.5142</c:v>
                </c:pt>
                <c:pt idx="47" formatCode="0.00%">
                  <c:v>0.5807</c:v>
                </c:pt>
                <c:pt idx="48" formatCode="0.00%">
                  <c:v>0.6337</c:v>
                </c:pt>
                <c:pt idx="49" formatCode="0.00%">
                  <c:v>0.7384</c:v>
                </c:pt>
                <c:pt idx="50" formatCode="0.00%">
                  <c:v>0.5287</c:v>
                </c:pt>
                <c:pt idx="51" formatCode="0.00%">
                  <c:v>0.8282</c:v>
                </c:pt>
                <c:pt idx="52" formatCode="0.00%">
                  <c:v>0.6504</c:v>
                </c:pt>
                <c:pt idx="53" formatCode="0.00%">
                  <c:v>0.5774</c:v>
                </c:pt>
                <c:pt idx="54" formatCode="0.00%">
                  <c:v>0.579</c:v>
                </c:pt>
                <c:pt idx="55" formatCode="0.00%">
                  <c:v>0.7637</c:v>
                </c:pt>
                <c:pt idx="56" formatCode="0.00%">
                  <c:v>0.6264</c:v>
                </c:pt>
                <c:pt idx="57" formatCode="0.00%">
                  <c:v>0.6058</c:v>
                </c:pt>
                <c:pt idx="58" formatCode="0.00%">
                  <c:v>0.6194</c:v>
                </c:pt>
                <c:pt idx="59" formatCode="0.00%">
                  <c:v>0.5929</c:v>
                </c:pt>
                <c:pt idx="60" formatCode="0.00%">
                  <c:v>0.5912</c:v>
                </c:pt>
                <c:pt idx="61" formatCode="0.00%">
                  <c:v>0.3491</c:v>
                </c:pt>
                <c:pt idx="63" formatCode="0.00%">
                  <c:v>0.6778</c:v>
                </c:pt>
                <c:pt idx="64" formatCode="0.00%">
                  <c:v>0.7067</c:v>
                </c:pt>
                <c:pt idx="65" formatCode="0.00%">
                  <c:v>0.6016</c:v>
                </c:pt>
                <c:pt idx="66" formatCode="0.00%">
                  <c:v>0.7353</c:v>
                </c:pt>
                <c:pt idx="67" formatCode="0.00%">
                  <c:v>0.4347</c:v>
                </c:pt>
                <c:pt idx="68" formatCode="0.00%">
                  <c:v>0.644</c:v>
                </c:pt>
                <c:pt idx="70" formatCode="0.00%">
                  <c:v>0.4894</c:v>
                </c:pt>
                <c:pt idx="71" formatCode="0.00%">
                  <c:v>0.37</c:v>
                </c:pt>
                <c:pt idx="72" formatCode="0.00%">
                  <c:v>0.4136</c:v>
                </c:pt>
                <c:pt idx="74" formatCode="0.00%">
                  <c:v>0.7089</c:v>
                </c:pt>
                <c:pt idx="75" formatCode="0.00%">
                  <c:v>0.7155</c:v>
                </c:pt>
                <c:pt idx="79" formatCode="0.00%">
                  <c:v>0.9203</c:v>
                </c:pt>
                <c:pt idx="80" formatCode="0.00%">
                  <c:v>0.8322</c:v>
                </c:pt>
              </c:numCache>
            </c:numRef>
          </c:xVal>
          <c:yVal>
            <c:numRef>
              <c:f>'New G Renewal rates'!$D$2:$D$82</c:f>
              <c:numCache>
                <c:formatCode>0.00%</c:formatCode>
                <c:ptCount val="81"/>
                <c:pt idx="0">
                  <c:v>0.501811841392491</c:v>
                </c:pt>
                <c:pt idx="1">
                  <c:v>0.719721298624064</c:v>
                </c:pt>
                <c:pt idx="2">
                  <c:v>0.66828566097383</c:v>
                </c:pt>
                <c:pt idx="3">
                  <c:v>0.765516022254661</c:v>
                </c:pt>
                <c:pt idx="4">
                  <c:v>0.988107380784322</c:v>
                </c:pt>
                <c:pt idx="5">
                  <c:v>0.702215839992327</c:v>
                </c:pt>
                <c:pt idx="6">
                  <c:v>0.576691393661599</c:v>
                </c:pt>
                <c:pt idx="7">
                  <c:v>0.934429121772813</c:v>
                </c:pt>
                <c:pt idx="8">
                  <c:v>0.971002056423071</c:v>
                </c:pt>
                <c:pt idx="9">
                  <c:v>0.568620585224657</c:v>
                </c:pt>
                <c:pt idx="10">
                  <c:v>0.837530936381199</c:v>
                </c:pt>
                <c:pt idx="11">
                  <c:v>0.529291461631492</c:v>
                </c:pt>
                <c:pt idx="12">
                  <c:v>0.932077505414021</c:v>
                </c:pt>
                <c:pt idx="13">
                  <c:v>0.686584565564561</c:v>
                </c:pt>
                <c:pt idx="14">
                  <c:v>0.692905116388995</c:v>
                </c:pt>
                <c:pt idx="15">
                  <c:v>0.607549265791829</c:v>
                </c:pt>
                <c:pt idx="16">
                  <c:v>0.476387152662825</c:v>
                </c:pt>
                <c:pt idx="17">
                  <c:v>0.624000576182923</c:v>
                </c:pt>
                <c:pt idx="18">
                  <c:v>0.604714172070814</c:v>
                </c:pt>
                <c:pt idx="19">
                  <c:v>0.609314193296425</c:v>
                </c:pt>
                <c:pt idx="20">
                  <c:v>0.785291730055481</c:v>
                </c:pt>
                <c:pt idx="21">
                  <c:v>0.659244860835555</c:v>
                </c:pt>
                <c:pt idx="22">
                  <c:v>0.672538639946032</c:v>
                </c:pt>
                <c:pt idx="23">
                  <c:v>0.513681624811184</c:v>
                </c:pt>
                <c:pt idx="24">
                  <c:v>0.674879473586998</c:v>
                </c:pt>
                <c:pt idx="25">
                  <c:v>0.937360118491339</c:v>
                </c:pt>
                <c:pt idx="26">
                  <c:v>0.515526450072929</c:v>
                </c:pt>
                <c:pt idx="27">
                  <c:v>0.46947336353398</c:v>
                </c:pt>
                <c:pt idx="28">
                  <c:v>0.641350233042826</c:v>
                </c:pt>
                <c:pt idx="29">
                  <c:v>0.70478138289407</c:v>
                </c:pt>
                <c:pt idx="30">
                  <c:v>0.618634413347244</c:v>
                </c:pt>
                <c:pt idx="31">
                  <c:v>0.697527384781134</c:v>
                </c:pt>
                <c:pt idx="32">
                  <c:v>0.585610900644135</c:v>
                </c:pt>
                <c:pt idx="33">
                  <c:v>0.701515712713047</c:v>
                </c:pt>
                <c:pt idx="34">
                  <c:v>0.570501110328012</c:v>
                </c:pt>
                <c:pt idx="35">
                  <c:v>0.488586684675274</c:v>
                </c:pt>
                <c:pt idx="36">
                  <c:v>0.617756486478737</c:v>
                </c:pt>
                <c:pt idx="37">
                  <c:v>0.691696212860642</c:v>
                </c:pt>
                <c:pt idx="38">
                  <c:v>0.62665522302235</c:v>
                </c:pt>
                <c:pt idx="39">
                  <c:v>0.726341922698398</c:v>
                </c:pt>
                <c:pt idx="40">
                  <c:v>0.745334627505989</c:v>
                </c:pt>
                <c:pt idx="41">
                  <c:v>0.809155200541755</c:v>
                </c:pt>
                <c:pt idx="42">
                  <c:v>0.622369647032582</c:v>
                </c:pt>
                <c:pt idx="43">
                  <c:v>0.0188831926238694</c:v>
                </c:pt>
                <c:pt idx="44">
                  <c:v>0.738451756912174</c:v>
                </c:pt>
                <c:pt idx="45">
                  <c:v>0.664108874383019</c:v>
                </c:pt>
                <c:pt idx="46">
                  <c:v>0.814503221784069</c:v>
                </c:pt>
                <c:pt idx="47">
                  <c:v>0.63486639885294</c:v>
                </c:pt>
                <c:pt idx="48">
                  <c:v>0.873077074602839</c:v>
                </c:pt>
                <c:pt idx="49">
                  <c:v>0.527179826017141</c:v>
                </c:pt>
                <c:pt idx="50">
                  <c:v>0.780871406233688</c:v>
                </c:pt>
                <c:pt idx="51">
                  <c:v>0.488444473836745</c:v>
                </c:pt>
                <c:pt idx="52">
                  <c:v>0.688773933588138</c:v>
                </c:pt>
                <c:pt idx="53">
                  <c:v>0.592931312121717</c:v>
                </c:pt>
                <c:pt idx="54">
                  <c:v>0.623508838648357</c:v>
                </c:pt>
                <c:pt idx="55">
                  <c:v>0.513637870704345</c:v>
                </c:pt>
                <c:pt idx="56">
                  <c:v>0.621308345602069</c:v>
                </c:pt>
                <c:pt idx="57">
                  <c:v>0.586373275251994</c:v>
                </c:pt>
                <c:pt idx="58">
                  <c:v>0.675155602360205</c:v>
                </c:pt>
                <c:pt idx="59">
                  <c:v>0.784060549903027</c:v>
                </c:pt>
                <c:pt idx="60">
                  <c:v>0.547688159821295</c:v>
                </c:pt>
                <c:pt idx="61">
                  <c:v>0.843252637240654</c:v>
                </c:pt>
                <c:pt idx="63">
                  <c:v>0.633511647913386</c:v>
                </c:pt>
                <c:pt idx="64">
                  <c:v>0.665602550147058</c:v>
                </c:pt>
                <c:pt idx="65">
                  <c:v>0.709927551908028</c:v>
                </c:pt>
                <c:pt idx="66">
                  <c:v>0.46065807435644</c:v>
                </c:pt>
                <c:pt idx="67">
                  <c:v>0.520560996923815</c:v>
                </c:pt>
                <c:pt idx="68">
                  <c:v>0.567135955861173</c:v>
                </c:pt>
                <c:pt idx="70">
                  <c:v>0.464616544087953</c:v>
                </c:pt>
                <c:pt idx="71">
                  <c:v>0.817240097679216</c:v>
                </c:pt>
                <c:pt idx="72">
                  <c:v>0.432898838120126</c:v>
                </c:pt>
                <c:pt idx="74">
                  <c:v>0.620978403860556</c:v>
                </c:pt>
                <c:pt idx="75">
                  <c:v>0.185015381404756</c:v>
                </c:pt>
                <c:pt idx="76">
                  <c:v>0.671067641251294</c:v>
                </c:pt>
                <c:pt idx="77">
                  <c:v>0.450776381845151</c:v>
                </c:pt>
                <c:pt idx="78">
                  <c:v>0.705983123157036</c:v>
                </c:pt>
                <c:pt idx="79">
                  <c:v>0.880952380952381</c:v>
                </c:pt>
                <c:pt idx="80">
                  <c:v>0.989669329864994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87069824"/>
        <c:axId val="789117920"/>
      </c:scatterChart>
      <c:valAx>
        <c:axId val="7870698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charset="0"/>
                    <a:ea typeface="Arial" charset="0"/>
                    <a:cs typeface="Arial" charset="0"/>
                  </a:defRPr>
                </a:pPr>
                <a:r>
                  <a:rPr lang="en-US"/>
                  <a:t>December 2016 Parking Rate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charset="0"/>
                  <a:ea typeface="Arial" charset="0"/>
                  <a:cs typeface="Arial" charset="0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charset="0"/>
                <a:ea typeface="Arial" charset="0"/>
                <a:cs typeface="Arial" charset="0"/>
              </a:defRPr>
            </a:pPr>
            <a:endParaRPr lang="en-US"/>
          </a:p>
        </c:txPr>
        <c:crossAx val="789117920"/>
        <c:crosses val="autoZero"/>
        <c:crossBetween val="midCat"/>
      </c:valAx>
      <c:valAx>
        <c:axId val="789117920"/>
        <c:scaling>
          <c:orientation val="minMax"/>
          <c:max val="1.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charset="0"/>
                    <a:ea typeface="Arial" charset="0"/>
                    <a:cs typeface="Arial" charset="0"/>
                  </a:defRPr>
                </a:pPr>
                <a:r>
                  <a:rPr lang="en-US"/>
                  <a:t>Avg Renewal Rate Jul-Dec 2016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charset="0"/>
                  <a:ea typeface="Arial" charset="0"/>
                  <a:cs typeface="Arial" charset="0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charset="0"/>
                <a:ea typeface="Arial" charset="0"/>
                <a:cs typeface="Arial" charset="0"/>
              </a:defRPr>
            </a:pPr>
            <a:endParaRPr lang="en-US"/>
          </a:p>
        </c:txPr>
        <c:crossAx val="78706982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Arial" charset="0"/>
          <a:ea typeface="Arial" charset="0"/>
          <a:cs typeface="Arial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charset="0"/>
                <a:ea typeface="Arial" charset="0"/>
                <a:cs typeface="Arial" charset="0"/>
              </a:defRPr>
            </a:pPr>
            <a:r>
              <a:rPr lang="en-US"/>
              <a:t>Legacy gTLD Parking - Renewal Rates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charset="0"/>
              <a:ea typeface="Arial" charset="0"/>
              <a:cs typeface="Arial" charset="0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'Legacy Renewal Rates'!$D$2:$D$17</c:f>
              <c:numCache>
                <c:formatCode>0.00%</c:formatCode>
                <c:ptCount val="16"/>
                <c:pt idx="0">
                  <c:v>0.797623229130078</c:v>
                </c:pt>
                <c:pt idx="1">
                  <c:v>0.641921061791683</c:v>
                </c:pt>
                <c:pt idx="2">
                  <c:v>0.622655020798529</c:v>
                </c:pt>
                <c:pt idx="3">
                  <c:v>0.384720826098876</c:v>
                </c:pt>
                <c:pt idx="4">
                  <c:v>0.539100132723588</c:v>
                </c:pt>
                <c:pt idx="5">
                  <c:v>0.316830403309204</c:v>
                </c:pt>
                <c:pt idx="6">
                  <c:v>0.61689495472509</c:v>
                </c:pt>
                <c:pt idx="7">
                  <c:v>0.344872070522468</c:v>
                </c:pt>
                <c:pt idx="8">
                  <c:v>0.69656207916041</c:v>
                </c:pt>
                <c:pt idx="9">
                  <c:v>0.846217105263158</c:v>
                </c:pt>
                <c:pt idx="10">
                  <c:v>0.670757632485738</c:v>
                </c:pt>
                <c:pt idx="11">
                  <c:v>0.610479516536517</c:v>
                </c:pt>
                <c:pt idx="12">
                  <c:v>0.542260614683612</c:v>
                </c:pt>
                <c:pt idx="13">
                  <c:v>0.685184465264549</c:v>
                </c:pt>
                <c:pt idx="14">
                  <c:v>0.224421192178401</c:v>
                </c:pt>
                <c:pt idx="15">
                  <c:v>0.903434841377117</c:v>
                </c:pt>
              </c:numCache>
            </c:numRef>
          </c:xVal>
          <c:yVal>
            <c:numRef>
              <c:f>'Legacy Renewal Rates'!$C$2:$C$17</c:f>
              <c:numCache>
                <c:formatCode>0.00%</c:formatCode>
                <c:ptCount val="16"/>
                <c:pt idx="0">
                  <c:v>0.896579257713263</c:v>
                </c:pt>
                <c:pt idx="1">
                  <c:v>0.631077520949399</c:v>
                </c:pt>
                <c:pt idx="2">
                  <c:v>0.695943241149085</c:v>
                </c:pt>
                <c:pt idx="3">
                  <c:v>0.841936830331519</c:v>
                </c:pt>
                <c:pt idx="4">
                  <c:v>0.682464451933736</c:v>
                </c:pt>
                <c:pt idx="5">
                  <c:v>0.79650148579062</c:v>
                </c:pt>
                <c:pt idx="6">
                  <c:v>0.6348535211166</c:v>
                </c:pt>
                <c:pt idx="7">
                  <c:v>0.940982698119975</c:v>
                </c:pt>
                <c:pt idx="8">
                  <c:v>0.688506072837001</c:v>
                </c:pt>
                <c:pt idx="9">
                  <c:v>0.969849803720772</c:v>
                </c:pt>
                <c:pt idx="10">
                  <c:v>0.797922914606319</c:v>
                </c:pt>
                <c:pt idx="11">
                  <c:v>0.667663174443462</c:v>
                </c:pt>
                <c:pt idx="12">
                  <c:v>0.70531188459249</c:v>
                </c:pt>
                <c:pt idx="13">
                  <c:v>0.722472265919283</c:v>
                </c:pt>
                <c:pt idx="14">
                  <c:v>0.516887282465595</c:v>
                </c:pt>
                <c:pt idx="15">
                  <c:v>0.795501085955373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89189440"/>
        <c:axId val="789196560"/>
      </c:scatterChart>
      <c:valAx>
        <c:axId val="7891894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charset="0"/>
                    <a:ea typeface="Arial" charset="0"/>
                    <a:cs typeface="Arial" charset="0"/>
                  </a:defRPr>
                </a:pPr>
                <a:r>
                  <a:rPr lang="en-US"/>
                  <a:t>December 2016 Parking Rate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charset="0"/>
                  <a:ea typeface="Arial" charset="0"/>
                  <a:cs typeface="Arial" charset="0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charset="0"/>
                <a:ea typeface="Arial" charset="0"/>
                <a:cs typeface="Arial" charset="0"/>
              </a:defRPr>
            </a:pPr>
            <a:endParaRPr lang="en-US"/>
          </a:p>
        </c:txPr>
        <c:crossAx val="789196560"/>
        <c:crosses val="autoZero"/>
        <c:crossBetween val="midCat"/>
      </c:valAx>
      <c:valAx>
        <c:axId val="789196560"/>
        <c:scaling>
          <c:orientation val="minMax"/>
          <c:max val="1.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charset="0"/>
                    <a:ea typeface="Arial" charset="0"/>
                    <a:cs typeface="Arial" charset="0"/>
                  </a:defRPr>
                </a:pPr>
                <a:r>
                  <a:rPr lang="en-US"/>
                  <a:t>Avg Renewal Rate Jul-Dec 2016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charset="0"/>
                  <a:ea typeface="Arial" charset="0"/>
                  <a:cs typeface="Arial" charset="0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charset="0"/>
                <a:ea typeface="Arial" charset="0"/>
                <a:cs typeface="Arial" charset="0"/>
              </a:defRPr>
            </a:pPr>
            <a:endParaRPr lang="en-US"/>
          </a:p>
        </c:txPr>
        <c:crossAx val="78918944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Arial" charset="0"/>
          <a:ea typeface="Arial" charset="0"/>
          <a:cs typeface="Arial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298</Words>
  <Characters>1702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Aitchison</dc:creator>
  <cp:keywords/>
  <dc:description/>
  <cp:lastModifiedBy>Brian Aitchison</cp:lastModifiedBy>
  <cp:revision>6</cp:revision>
  <dcterms:created xsi:type="dcterms:W3CDTF">2017-08-15T17:44:00Z</dcterms:created>
  <dcterms:modified xsi:type="dcterms:W3CDTF">2017-08-15T18:44:00Z</dcterms:modified>
</cp:coreProperties>
</file>