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C115C" w14:textId="78607288" w:rsidR="001039FF" w:rsidRDefault="001039FF" w:rsidP="001039FF">
      <w:pPr>
        <w:shd w:val="clear" w:color="auto" w:fill="FFFFFF"/>
        <w:spacing w:after="0" w:line="286" w:lineRule="atLeast"/>
        <w:jc w:val="center"/>
        <w:rPr>
          <w:rFonts w:ascii="Calibri" w:eastAsia="Times New Roman" w:hAnsi="Calibri" w:cs="Arial"/>
          <w:b/>
          <w:sz w:val="28"/>
          <w:szCs w:val="28"/>
        </w:rPr>
      </w:pPr>
      <w:r w:rsidRPr="001039FF">
        <w:rPr>
          <w:rFonts w:ascii="Calibri" w:eastAsia="Times New Roman" w:hAnsi="Calibri" w:cs="Arial"/>
          <w:b/>
          <w:sz w:val="28"/>
          <w:szCs w:val="28"/>
        </w:rPr>
        <w:t>ALAC Statement on the GNSO Privacy &amp; Proxy Services Accreditation Issues Working Group Initial Report</w:t>
      </w:r>
    </w:p>
    <w:p w14:paraId="2716C5EA" w14:textId="77777777" w:rsidR="001039FF" w:rsidRPr="001039FF" w:rsidRDefault="001039FF" w:rsidP="001039FF">
      <w:pPr>
        <w:shd w:val="clear" w:color="auto" w:fill="FFFFFF"/>
        <w:spacing w:after="0" w:line="286" w:lineRule="atLeast"/>
        <w:jc w:val="center"/>
        <w:rPr>
          <w:rFonts w:ascii="Calibri" w:eastAsia="Times New Roman" w:hAnsi="Calibri" w:cs="Arial"/>
          <w:b/>
          <w:sz w:val="28"/>
          <w:szCs w:val="28"/>
        </w:rPr>
      </w:pPr>
    </w:p>
    <w:p w14:paraId="2BF89E6E" w14:textId="77777777" w:rsidR="0066437A"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The ALAC welcomes the opportunity to respond to the Initial Report of the Privacy and Proxy Services Accreditation Issues Report</w:t>
      </w:r>
      <w:r w:rsidR="0046547E">
        <w:rPr>
          <w:rFonts w:ascii="Calibri" w:eastAsia="Times New Roman" w:hAnsi="Calibri" w:cs="Arial"/>
        </w:rPr>
        <w:t>.</w:t>
      </w:r>
    </w:p>
    <w:p w14:paraId="7BE29FC6" w14:textId="77777777" w:rsidR="0046547E" w:rsidRPr="0046547E" w:rsidRDefault="0046547E" w:rsidP="0046547E">
      <w:pPr>
        <w:shd w:val="clear" w:color="auto" w:fill="FFFFFF"/>
        <w:spacing w:after="0" w:line="286" w:lineRule="atLeast"/>
        <w:jc w:val="both"/>
        <w:rPr>
          <w:rFonts w:ascii="Calibri" w:eastAsia="Times New Roman" w:hAnsi="Calibri" w:cs="Arial"/>
        </w:rPr>
      </w:pPr>
    </w:p>
    <w:p w14:paraId="40186983" w14:textId="77777777" w:rsidR="0066437A" w:rsidRPr="0046547E"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The ALAC’s response is grounded on four general principles we believe must drive development of the Specifications:</w:t>
      </w:r>
    </w:p>
    <w:p w14:paraId="0394A6BA" w14:textId="199730BA" w:rsidR="0066437A" w:rsidRPr="00E270F3" w:rsidRDefault="0066437A" w:rsidP="0046547E">
      <w:pPr>
        <w:numPr>
          <w:ilvl w:val="0"/>
          <w:numId w:val="2"/>
        </w:numPr>
        <w:shd w:val="clear" w:color="auto" w:fill="FFFFFF"/>
        <w:spacing w:after="0" w:line="286" w:lineRule="atLeast"/>
        <w:ind w:left="360"/>
        <w:jc w:val="both"/>
        <w:rPr>
          <w:rFonts w:ascii="Calibri" w:eastAsia="Times New Roman" w:hAnsi="Calibri" w:cs="Arial"/>
        </w:rPr>
      </w:pPr>
      <w:r w:rsidRPr="00E270F3">
        <w:rPr>
          <w:rFonts w:ascii="Calibri" w:eastAsia="Times New Roman" w:hAnsi="Calibri" w:cs="Arial"/>
        </w:rPr>
        <w:t xml:space="preserve">The protections provided in the final Specification should not be less than that which is required under the Interim Specification </w:t>
      </w:r>
      <w:r w:rsidR="00E00884" w:rsidRPr="00E270F3">
        <w:rPr>
          <w:rFonts w:ascii="Calibri" w:eastAsia="Times New Roman" w:hAnsi="Calibri" w:cs="Arial"/>
        </w:rPr>
        <w:t>T</w:t>
      </w:r>
      <w:r w:rsidRPr="00E270F3">
        <w:rPr>
          <w:rFonts w:ascii="Calibri" w:eastAsia="Times New Roman" w:hAnsi="Calibri" w:cs="Arial"/>
        </w:rPr>
        <w:t>here is no discrimination for accessing privacy and proxy services by either natural or legal persons provided the rules developed a</w:t>
      </w:r>
      <w:r w:rsidR="00F04406">
        <w:rPr>
          <w:rFonts w:ascii="Calibri" w:eastAsia="Times New Roman" w:hAnsi="Calibri" w:cs="Arial"/>
        </w:rPr>
        <w:t>pply equally across all classes.</w:t>
      </w:r>
    </w:p>
    <w:p w14:paraId="78CCE2C4" w14:textId="047DB824" w:rsidR="0066437A" w:rsidRPr="00E270F3" w:rsidRDefault="0066437A" w:rsidP="0046547E">
      <w:pPr>
        <w:numPr>
          <w:ilvl w:val="0"/>
          <w:numId w:val="1"/>
        </w:numPr>
        <w:shd w:val="clear" w:color="auto" w:fill="FFFFFF"/>
        <w:spacing w:after="0" w:line="286" w:lineRule="atLeast"/>
        <w:ind w:left="360"/>
        <w:jc w:val="both"/>
        <w:rPr>
          <w:rFonts w:ascii="Calibri" w:eastAsia="Times New Roman" w:hAnsi="Calibri" w:cs="Arial"/>
        </w:rPr>
      </w:pPr>
      <w:r w:rsidRPr="00E270F3">
        <w:rPr>
          <w:rFonts w:ascii="Calibri" w:eastAsia="Times New Roman" w:hAnsi="Calibri" w:cs="Arial"/>
        </w:rPr>
        <w:t>A balance must be struck between legitimate privacy rights of individuals and the legitimate needs of law enforcement and others in determining when and in what circumstances a privacy or proxy service customer’s personal information will be revealed or published</w:t>
      </w:r>
      <w:r w:rsidR="00E00884" w:rsidRPr="00E270F3">
        <w:rPr>
          <w:rFonts w:ascii="Calibri" w:eastAsia="Times New Roman" w:hAnsi="Calibri" w:cs="Arial"/>
        </w:rPr>
        <w:t>. Such balance must clearly embrace the rights of individuals to seek redress</w:t>
      </w:r>
      <w:r w:rsidR="00F04406">
        <w:rPr>
          <w:rFonts w:ascii="Calibri" w:eastAsia="Times New Roman" w:hAnsi="Calibri" w:cs="Arial"/>
        </w:rPr>
        <w:t>,</w:t>
      </w:r>
    </w:p>
    <w:p w14:paraId="6724780E" w14:textId="191E0404" w:rsidR="0066437A" w:rsidRPr="00E270F3" w:rsidRDefault="0066437A" w:rsidP="0046547E">
      <w:pPr>
        <w:numPr>
          <w:ilvl w:val="0"/>
          <w:numId w:val="4"/>
        </w:numPr>
        <w:shd w:val="clear" w:color="auto" w:fill="FFFFFF"/>
        <w:spacing w:after="0" w:line="286" w:lineRule="atLeast"/>
        <w:ind w:left="360"/>
        <w:jc w:val="both"/>
        <w:rPr>
          <w:rFonts w:ascii="Calibri" w:eastAsia="Times New Roman" w:hAnsi="Calibri" w:cs="Arial"/>
        </w:rPr>
      </w:pPr>
      <w:r w:rsidRPr="00E270F3">
        <w:rPr>
          <w:rFonts w:ascii="Calibri" w:eastAsia="Times New Roman" w:hAnsi="Calibri" w:cs="Arial"/>
        </w:rPr>
        <w:t>The specifications may not be so onerous as to result in a chilling effect for users to ac</w:t>
      </w:r>
      <w:r w:rsidR="00E270F3" w:rsidRPr="00E270F3">
        <w:rPr>
          <w:rFonts w:ascii="Calibri" w:eastAsia="Times New Roman" w:hAnsi="Calibri" w:cs="Arial"/>
        </w:rPr>
        <w:t>cess privacy and proxy services.</w:t>
      </w:r>
    </w:p>
    <w:p w14:paraId="7D1E9EDA" w14:textId="77777777" w:rsidR="0046547E" w:rsidRPr="0046547E" w:rsidRDefault="0046547E" w:rsidP="0046547E">
      <w:pPr>
        <w:shd w:val="clear" w:color="auto" w:fill="FFFFFF"/>
        <w:spacing w:after="0" w:line="286" w:lineRule="atLeast"/>
        <w:ind w:left="360"/>
        <w:jc w:val="both"/>
        <w:rPr>
          <w:rFonts w:ascii="Calibri" w:eastAsia="Times New Roman" w:hAnsi="Calibri" w:cs="Arial"/>
        </w:rPr>
      </w:pPr>
    </w:p>
    <w:p w14:paraId="1AC1155F" w14:textId="6EDFE842" w:rsidR="0066437A"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The ALAC’s response</w:t>
      </w:r>
      <w:r w:rsidR="00D5436A">
        <w:rPr>
          <w:rFonts w:ascii="Calibri" w:eastAsia="Times New Roman" w:hAnsi="Calibri" w:cs="Arial"/>
        </w:rPr>
        <w:t>s</w:t>
      </w:r>
      <w:r w:rsidRPr="0046547E">
        <w:rPr>
          <w:rFonts w:ascii="Calibri" w:eastAsia="Times New Roman" w:hAnsi="Calibri" w:cs="Arial"/>
        </w:rPr>
        <w:t xml:space="preserve"> to specific questions raised in the Issues Report are as follows:</w:t>
      </w:r>
    </w:p>
    <w:p w14:paraId="7C5DA0DE" w14:textId="77777777" w:rsidR="0046547E" w:rsidRDefault="0046547E" w:rsidP="0046547E">
      <w:pPr>
        <w:shd w:val="clear" w:color="auto" w:fill="FFFFFF"/>
        <w:spacing w:after="0" w:line="286" w:lineRule="atLeast"/>
        <w:jc w:val="both"/>
        <w:rPr>
          <w:rFonts w:ascii="Calibri" w:eastAsia="Times New Roman" w:hAnsi="Calibri" w:cs="Arial"/>
        </w:rPr>
      </w:pPr>
    </w:p>
    <w:p w14:paraId="2EF1702B" w14:textId="77777777" w:rsidR="0066437A" w:rsidRDefault="0066437A" w:rsidP="0046547E">
      <w:pPr>
        <w:shd w:val="clear" w:color="auto" w:fill="FFFFFF"/>
        <w:spacing w:after="0" w:line="286" w:lineRule="atLeast"/>
        <w:jc w:val="both"/>
        <w:rPr>
          <w:rFonts w:ascii="Calibri" w:eastAsia="Times New Roman" w:hAnsi="Calibri" w:cs="Arial"/>
          <w:b/>
          <w:bCs/>
          <w:i/>
          <w:iCs/>
        </w:rPr>
      </w:pPr>
      <w:r w:rsidRPr="0046547E">
        <w:rPr>
          <w:rFonts w:ascii="Calibri" w:eastAsia="Times New Roman" w:hAnsi="Calibri" w:cs="Arial"/>
          <w:b/>
          <w:bCs/>
          <w:i/>
          <w:iCs/>
        </w:rPr>
        <w:t>When must contact requests to the customer be forwarded to the P/P customer?</w:t>
      </w:r>
    </w:p>
    <w:p w14:paraId="7F68DD7C" w14:textId="77777777" w:rsidR="0046547E" w:rsidRPr="0046547E" w:rsidRDefault="0046547E" w:rsidP="0046547E">
      <w:pPr>
        <w:shd w:val="clear" w:color="auto" w:fill="FFFFFF"/>
        <w:spacing w:after="0" w:line="286" w:lineRule="atLeast"/>
        <w:jc w:val="both"/>
        <w:rPr>
          <w:rFonts w:ascii="Calibri" w:eastAsia="Times New Roman" w:hAnsi="Calibri" w:cs="Arial"/>
        </w:rPr>
      </w:pPr>
    </w:p>
    <w:p w14:paraId="7505E344" w14:textId="77777777" w:rsidR="0066437A" w:rsidRPr="0046547E"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We agree that all contact requests must be forwarded including:</w:t>
      </w:r>
    </w:p>
    <w:p w14:paraId="7DECA667" w14:textId="493E515C" w:rsidR="0066437A" w:rsidRPr="0046547E" w:rsidRDefault="0046547E" w:rsidP="0046547E">
      <w:pPr>
        <w:numPr>
          <w:ilvl w:val="0"/>
          <w:numId w:val="5"/>
        </w:numPr>
        <w:shd w:val="clear" w:color="auto" w:fill="FFFFFF"/>
        <w:spacing w:after="0" w:line="286" w:lineRule="atLeast"/>
        <w:ind w:left="360"/>
        <w:jc w:val="both"/>
        <w:rPr>
          <w:rFonts w:ascii="Calibri" w:eastAsia="Times New Roman" w:hAnsi="Calibri" w:cs="Arial"/>
        </w:rPr>
      </w:pPr>
      <w:r>
        <w:rPr>
          <w:rFonts w:ascii="Calibri" w:eastAsia="Times New Roman" w:hAnsi="Calibri" w:cs="Arial"/>
        </w:rPr>
        <w:t>T</w:t>
      </w:r>
      <w:r w:rsidR="0066437A" w:rsidRPr="0046547E">
        <w:rPr>
          <w:rFonts w:ascii="Calibri" w:eastAsia="Times New Roman" w:hAnsi="Calibri" w:cs="Arial"/>
        </w:rPr>
        <w:t>hose required under the RAA, and from ICANN</w:t>
      </w:r>
      <w:r w:rsidR="00F04406">
        <w:rPr>
          <w:rFonts w:ascii="Calibri" w:eastAsia="Times New Roman" w:hAnsi="Calibri" w:cs="Arial"/>
        </w:rPr>
        <w:t>;</w:t>
      </w:r>
    </w:p>
    <w:p w14:paraId="7AB8C39C" w14:textId="77777777" w:rsidR="0066437A" w:rsidRDefault="0046547E" w:rsidP="0046547E">
      <w:pPr>
        <w:numPr>
          <w:ilvl w:val="0"/>
          <w:numId w:val="5"/>
        </w:numPr>
        <w:shd w:val="clear" w:color="auto" w:fill="FFFFFF"/>
        <w:spacing w:after="0" w:line="286" w:lineRule="atLeast"/>
        <w:ind w:left="360"/>
        <w:jc w:val="both"/>
        <w:rPr>
          <w:rFonts w:ascii="Calibri" w:eastAsia="Times New Roman" w:hAnsi="Calibri" w:cs="Arial"/>
        </w:rPr>
      </w:pPr>
      <w:r>
        <w:rPr>
          <w:rFonts w:ascii="Calibri" w:eastAsia="Times New Roman" w:hAnsi="Calibri" w:cs="Arial"/>
        </w:rPr>
        <w:t>A</w:t>
      </w:r>
      <w:r w:rsidR="0066437A" w:rsidRPr="0046547E">
        <w:rPr>
          <w:rFonts w:ascii="Calibri" w:eastAsia="Times New Roman" w:hAnsi="Calibri" w:cs="Arial"/>
        </w:rPr>
        <w:t>ll requests from law enforcement agencies and other third parties alleging domain name abuse.</w:t>
      </w:r>
    </w:p>
    <w:p w14:paraId="1D35442A" w14:textId="77777777" w:rsidR="0046547E" w:rsidRPr="0046547E" w:rsidRDefault="0046547E" w:rsidP="0046547E">
      <w:pPr>
        <w:shd w:val="clear" w:color="auto" w:fill="FFFFFF"/>
        <w:spacing w:after="0" w:line="286" w:lineRule="atLeast"/>
        <w:ind w:left="360"/>
        <w:jc w:val="both"/>
        <w:rPr>
          <w:rFonts w:ascii="Calibri" w:eastAsia="Times New Roman" w:hAnsi="Calibri" w:cs="Arial"/>
        </w:rPr>
      </w:pPr>
    </w:p>
    <w:p w14:paraId="1F84C8EA" w14:textId="77777777" w:rsidR="0066437A"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 xml:space="preserve">We hold that requests from law enforcement agencies and ‘other third parties alleging domain name abuse’ should include government agencies (in the jurisdiction of the p/p provider) charged with the regulation of potentially criminal </w:t>
      </w:r>
      <w:proofErr w:type="spellStart"/>
      <w:r w:rsidRPr="0046547E">
        <w:rPr>
          <w:rFonts w:ascii="Calibri" w:eastAsia="Times New Roman" w:hAnsi="Calibri" w:cs="Arial"/>
        </w:rPr>
        <w:t>behaviour</w:t>
      </w:r>
      <w:proofErr w:type="spellEnd"/>
      <w:r w:rsidRPr="0046547E">
        <w:rPr>
          <w:rFonts w:ascii="Calibri" w:eastAsia="Times New Roman" w:hAnsi="Calibri" w:cs="Arial"/>
        </w:rPr>
        <w:t xml:space="preserve"> such as fraud and/or consumer depredations such as misleading and deceptive conduct in that jurisdiction. </w:t>
      </w:r>
    </w:p>
    <w:p w14:paraId="441C81B0" w14:textId="77777777" w:rsidR="0046547E" w:rsidRPr="0046547E" w:rsidRDefault="0046547E" w:rsidP="0046547E">
      <w:pPr>
        <w:shd w:val="clear" w:color="auto" w:fill="FFFFFF"/>
        <w:spacing w:after="0" w:line="286" w:lineRule="atLeast"/>
        <w:jc w:val="both"/>
        <w:rPr>
          <w:rFonts w:ascii="Calibri" w:eastAsia="Times New Roman" w:hAnsi="Calibri" w:cs="Arial"/>
        </w:rPr>
      </w:pPr>
    </w:p>
    <w:p w14:paraId="14A81E1F" w14:textId="77777777" w:rsidR="0066437A"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It should be left up to individual p/p providers as to whether other contact requests are forwarded (possibly excepting spam, etc.). We recommend that the classes of such contacts subject be clearly stated and published in the provider’s terms of service. </w:t>
      </w:r>
    </w:p>
    <w:p w14:paraId="1098554B" w14:textId="77777777" w:rsidR="0046547E" w:rsidRPr="0046547E" w:rsidRDefault="0046547E" w:rsidP="0046547E">
      <w:pPr>
        <w:shd w:val="clear" w:color="auto" w:fill="FFFFFF"/>
        <w:spacing w:after="0" w:line="286" w:lineRule="atLeast"/>
        <w:jc w:val="both"/>
        <w:rPr>
          <w:rFonts w:ascii="Calibri" w:eastAsia="Times New Roman" w:hAnsi="Calibri" w:cs="Arial"/>
        </w:rPr>
      </w:pPr>
    </w:p>
    <w:p w14:paraId="3F0CE368" w14:textId="77777777" w:rsidR="0066437A" w:rsidRDefault="0066437A" w:rsidP="0046547E">
      <w:pPr>
        <w:shd w:val="clear" w:color="auto" w:fill="FFFFFF"/>
        <w:spacing w:after="0" w:line="286" w:lineRule="atLeast"/>
        <w:jc w:val="both"/>
        <w:rPr>
          <w:rFonts w:ascii="Calibri" w:eastAsia="Times New Roman" w:hAnsi="Calibri" w:cs="Arial"/>
          <w:b/>
          <w:bCs/>
          <w:i/>
          <w:iCs/>
        </w:rPr>
      </w:pPr>
      <w:r w:rsidRPr="0046547E">
        <w:rPr>
          <w:rFonts w:ascii="Calibri" w:eastAsia="Times New Roman" w:hAnsi="Calibri" w:cs="Arial"/>
          <w:b/>
          <w:bCs/>
          <w:i/>
          <w:iCs/>
        </w:rPr>
        <w:t>Should or must the provider forward a further request(s), at whose costs and should there be a limit on the number of requests?</w:t>
      </w:r>
    </w:p>
    <w:p w14:paraId="6C7CD95B" w14:textId="77777777" w:rsidR="0046547E" w:rsidRPr="0046547E" w:rsidRDefault="0046547E" w:rsidP="0046547E">
      <w:pPr>
        <w:shd w:val="clear" w:color="auto" w:fill="FFFFFF"/>
        <w:spacing w:after="0" w:line="286" w:lineRule="atLeast"/>
        <w:jc w:val="both"/>
        <w:rPr>
          <w:rFonts w:ascii="Calibri" w:eastAsia="Times New Roman" w:hAnsi="Calibri" w:cs="Arial"/>
        </w:rPr>
      </w:pPr>
    </w:p>
    <w:p w14:paraId="0CAB6A54" w14:textId="77777777" w:rsidR="0066437A"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In every day life, individuals are not required to respond to any communication, whether by post, telephone or other electronic communication. Communication through the Internet should not be treated differently.</w:t>
      </w:r>
    </w:p>
    <w:p w14:paraId="271ACC25" w14:textId="77777777" w:rsidR="0046547E" w:rsidRPr="0046547E" w:rsidRDefault="0046547E" w:rsidP="0046547E">
      <w:pPr>
        <w:shd w:val="clear" w:color="auto" w:fill="FFFFFF"/>
        <w:spacing w:after="0" w:line="286" w:lineRule="atLeast"/>
        <w:jc w:val="both"/>
        <w:rPr>
          <w:rFonts w:ascii="Calibri" w:eastAsia="Times New Roman" w:hAnsi="Calibri" w:cs="Arial"/>
        </w:rPr>
      </w:pPr>
    </w:p>
    <w:p w14:paraId="4A1660B0" w14:textId="77777777" w:rsidR="0066437A"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 xml:space="preserve">In response to this question, it should be left up to the individual provider as to the circumstances in which a contact request will be forwarded by other means. Equally, it should be left to the provider as to </w:t>
      </w:r>
      <w:r w:rsidRPr="0046547E">
        <w:rPr>
          <w:rFonts w:ascii="Calibri" w:eastAsia="Times New Roman" w:hAnsi="Calibri" w:cs="Arial"/>
        </w:rPr>
        <w:lastRenderedPageBreak/>
        <w:t>whether they are prepared to use other means to contact the customer and whether they are prepared to absorb the costs.  In general terms, however, the cost should be on the party making a contact request.</w:t>
      </w:r>
    </w:p>
    <w:p w14:paraId="5349FEE8" w14:textId="77777777" w:rsidR="00E222E8" w:rsidRPr="0046547E" w:rsidRDefault="00E222E8" w:rsidP="0046547E">
      <w:pPr>
        <w:shd w:val="clear" w:color="auto" w:fill="FFFFFF"/>
        <w:spacing w:after="0" w:line="286" w:lineRule="atLeast"/>
        <w:jc w:val="both"/>
        <w:rPr>
          <w:rFonts w:ascii="Calibri" w:eastAsia="Times New Roman" w:hAnsi="Calibri" w:cs="Arial"/>
        </w:rPr>
      </w:pPr>
    </w:p>
    <w:p w14:paraId="57881115" w14:textId="77777777" w:rsidR="0066437A"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In any event, persistent failure to reach a customer by means properly noted in the terms of service should trigger re-verification of customer’s contact by the provider in keeping with existing terms of the RAA.</w:t>
      </w:r>
    </w:p>
    <w:p w14:paraId="1A0447F8" w14:textId="77777777" w:rsidR="0046547E" w:rsidRPr="0046547E" w:rsidRDefault="0046547E" w:rsidP="0046547E">
      <w:pPr>
        <w:shd w:val="clear" w:color="auto" w:fill="FFFFFF"/>
        <w:spacing w:after="0" w:line="286" w:lineRule="atLeast"/>
        <w:jc w:val="both"/>
        <w:rPr>
          <w:rFonts w:ascii="Calibri" w:eastAsia="Times New Roman" w:hAnsi="Calibri" w:cs="Arial"/>
        </w:rPr>
      </w:pPr>
    </w:p>
    <w:p w14:paraId="3149B9CE" w14:textId="77777777" w:rsidR="0066437A"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 xml:space="preserve">If the matter involves potentially serious criminal </w:t>
      </w:r>
      <w:proofErr w:type="spellStart"/>
      <w:r w:rsidRPr="0046547E">
        <w:rPr>
          <w:rFonts w:ascii="Calibri" w:eastAsia="Times New Roman" w:hAnsi="Calibri" w:cs="Arial"/>
        </w:rPr>
        <w:t>behaviour</w:t>
      </w:r>
      <w:proofErr w:type="spellEnd"/>
      <w:r w:rsidRPr="0046547E">
        <w:rPr>
          <w:rFonts w:ascii="Calibri" w:eastAsia="Times New Roman" w:hAnsi="Calibri" w:cs="Arial"/>
        </w:rPr>
        <w:t xml:space="preserve"> or serious misuse of the DNS, law enforcement agencies can become involved.  In other cases, dispute resolution processes such as the UDRP can be used.</w:t>
      </w:r>
    </w:p>
    <w:p w14:paraId="7469DCF7" w14:textId="77777777" w:rsidR="0046547E" w:rsidRPr="0046547E" w:rsidRDefault="0046547E" w:rsidP="0046547E">
      <w:pPr>
        <w:shd w:val="clear" w:color="auto" w:fill="FFFFFF"/>
        <w:spacing w:after="0" w:line="286" w:lineRule="atLeast"/>
        <w:jc w:val="both"/>
        <w:rPr>
          <w:rFonts w:ascii="Calibri" w:eastAsia="Times New Roman" w:hAnsi="Calibri" w:cs="Arial"/>
        </w:rPr>
      </w:pPr>
    </w:p>
    <w:p w14:paraId="1C4ED45D" w14:textId="77777777" w:rsidR="0066437A"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b/>
          <w:bCs/>
          <w:i/>
          <w:iCs/>
        </w:rPr>
        <w:t>Should it be mandatory for accredited P/P service providers to comply with express requests from LEA in the provider’s jurisdiction not to notify a customer?</w:t>
      </w:r>
      <w:r w:rsidRPr="0046547E">
        <w:rPr>
          <w:rFonts w:ascii="Calibri" w:eastAsia="Times New Roman" w:hAnsi="Calibri" w:cs="Arial"/>
        </w:rPr>
        <w:t> </w:t>
      </w:r>
    </w:p>
    <w:p w14:paraId="2983F38D" w14:textId="77777777" w:rsidR="00635AEB" w:rsidRPr="0046547E" w:rsidRDefault="00635AEB" w:rsidP="0046547E">
      <w:pPr>
        <w:shd w:val="clear" w:color="auto" w:fill="FFFFFF"/>
        <w:spacing w:after="0" w:line="286" w:lineRule="atLeast"/>
        <w:jc w:val="both"/>
        <w:rPr>
          <w:rFonts w:ascii="Calibri" w:eastAsia="Times New Roman" w:hAnsi="Calibri" w:cs="Arial"/>
        </w:rPr>
      </w:pPr>
    </w:p>
    <w:p w14:paraId="1735A52A" w14:textId="77777777" w:rsidR="0066437A" w:rsidRDefault="0066437A" w:rsidP="0046547E">
      <w:pPr>
        <w:shd w:val="clear" w:color="auto" w:fill="FFFFFF"/>
        <w:spacing w:after="0" w:line="286" w:lineRule="atLeast"/>
        <w:jc w:val="both"/>
        <w:rPr>
          <w:rFonts w:ascii="Calibri" w:eastAsia="Times New Roman" w:hAnsi="Calibri" w:cs="Arial"/>
        </w:rPr>
      </w:pPr>
      <w:r w:rsidRPr="0046547E">
        <w:rPr>
          <w:rFonts w:ascii="Calibri" w:eastAsia="Times New Roman" w:hAnsi="Calibri" w:cs="Arial"/>
        </w:rPr>
        <w:t>Yes.</w:t>
      </w:r>
    </w:p>
    <w:p w14:paraId="46232537" w14:textId="77777777" w:rsidR="00635AEB" w:rsidRPr="0046547E" w:rsidRDefault="00635AEB" w:rsidP="0046547E">
      <w:pPr>
        <w:shd w:val="clear" w:color="auto" w:fill="FFFFFF"/>
        <w:spacing w:after="0" w:line="286" w:lineRule="atLeast"/>
        <w:jc w:val="both"/>
        <w:rPr>
          <w:rFonts w:ascii="Calibri" w:eastAsia="Times New Roman" w:hAnsi="Calibri" w:cs="Arial"/>
        </w:rPr>
      </w:pPr>
    </w:p>
    <w:p w14:paraId="000E0AA3" w14:textId="77777777" w:rsidR="0066437A" w:rsidRPr="0046547E" w:rsidRDefault="0066437A" w:rsidP="0046547E">
      <w:pPr>
        <w:shd w:val="clear" w:color="auto" w:fill="FFFFFF"/>
        <w:spacing w:after="0" w:line="286" w:lineRule="atLeast"/>
        <w:jc w:val="both"/>
        <w:rPr>
          <w:rFonts w:ascii="Calibri" w:eastAsia="Times New Roman" w:hAnsi="Calibri" w:cs="Arial"/>
          <w:b/>
          <w:bCs/>
          <w:i/>
          <w:iCs/>
        </w:rPr>
      </w:pPr>
      <w:r w:rsidRPr="0046547E">
        <w:rPr>
          <w:rFonts w:ascii="Calibri" w:eastAsia="Times New Roman" w:hAnsi="Calibri" w:cs="Arial"/>
          <w:b/>
          <w:bCs/>
          <w:i/>
          <w:iCs/>
        </w:rPr>
        <w:t>Should there be mandatory publication for certain types of activity e.g. malware/viruses or violation of terms of service relating to illegal activity?</w:t>
      </w:r>
    </w:p>
    <w:p w14:paraId="35BAC28B" w14:textId="77777777" w:rsidR="0066437A" w:rsidRPr="0046547E" w:rsidRDefault="0066437A" w:rsidP="0046547E">
      <w:pPr>
        <w:shd w:val="clear" w:color="auto" w:fill="FFFFFF"/>
        <w:spacing w:after="0" w:line="286" w:lineRule="atLeast"/>
        <w:jc w:val="both"/>
        <w:rPr>
          <w:rFonts w:ascii="Calibri" w:eastAsia="Times New Roman" w:hAnsi="Calibri" w:cs="Arial"/>
        </w:rPr>
      </w:pPr>
    </w:p>
    <w:p w14:paraId="58C6123B" w14:textId="0FBFC88C" w:rsidR="006A0767" w:rsidRPr="00635AEB" w:rsidRDefault="0066437A" w:rsidP="0046547E">
      <w:pPr>
        <w:spacing w:after="0"/>
        <w:jc w:val="both"/>
        <w:rPr>
          <w:rStyle w:val="Emphasis"/>
          <w:rFonts w:ascii="Calibri" w:hAnsi="Calibri" w:cs="Arial"/>
          <w:i w:val="0"/>
          <w:shd w:val="clear" w:color="auto" w:fill="FFFFFF"/>
        </w:rPr>
      </w:pPr>
      <w:r w:rsidRPr="00635AEB">
        <w:rPr>
          <w:rStyle w:val="Emphasis"/>
          <w:rFonts w:ascii="Calibri" w:hAnsi="Calibri" w:cs="Arial"/>
          <w:i w:val="0"/>
          <w:shd w:val="clear" w:color="auto" w:fill="FFFFFF"/>
        </w:rPr>
        <w:t>Yes, when misuse of the DNS under the terms of the service and illegal activity is establ</w:t>
      </w:r>
      <w:r w:rsidR="006973B7">
        <w:rPr>
          <w:rStyle w:val="Emphasis"/>
          <w:rFonts w:ascii="Calibri" w:hAnsi="Calibri" w:cs="Arial"/>
          <w:i w:val="0"/>
          <w:shd w:val="clear" w:color="auto" w:fill="FFFFFF"/>
        </w:rPr>
        <w:t>ished. P/P Provider actions do</w:t>
      </w:r>
      <w:r w:rsidRPr="00635AEB">
        <w:rPr>
          <w:rStyle w:val="Emphasis"/>
          <w:rFonts w:ascii="Calibri" w:hAnsi="Calibri" w:cs="Arial"/>
          <w:i w:val="0"/>
          <w:shd w:val="clear" w:color="auto" w:fill="FFFFFF"/>
        </w:rPr>
        <w:t xml:space="preserve"> not preclude other likely and more severe response</w:t>
      </w:r>
      <w:r w:rsidR="007B663B" w:rsidRPr="00635AEB">
        <w:rPr>
          <w:rStyle w:val="Emphasis"/>
          <w:rFonts w:ascii="Calibri" w:hAnsi="Calibri" w:cs="Arial"/>
          <w:i w:val="0"/>
          <w:shd w:val="clear" w:color="auto" w:fill="FFFFFF"/>
        </w:rPr>
        <w:t>s allowed by the RAA or in law.</w:t>
      </w:r>
      <w:r w:rsidRPr="00635AEB">
        <w:rPr>
          <w:rStyle w:val="Emphasis"/>
          <w:rFonts w:ascii="Calibri" w:hAnsi="Calibri" w:cs="Arial"/>
          <w:i w:val="0"/>
          <w:shd w:val="clear" w:color="auto" w:fill="FFFFFF"/>
        </w:rPr>
        <w:t xml:space="preserve"> </w:t>
      </w:r>
    </w:p>
    <w:p w14:paraId="4D578346" w14:textId="77777777" w:rsidR="00635AEB" w:rsidRPr="00635AEB" w:rsidRDefault="00635AEB" w:rsidP="0046547E">
      <w:pPr>
        <w:spacing w:after="0"/>
        <w:jc w:val="both"/>
        <w:rPr>
          <w:rFonts w:ascii="Calibri" w:hAnsi="Calibri"/>
          <w:iCs/>
        </w:rPr>
      </w:pPr>
    </w:p>
    <w:p w14:paraId="7DE567D8" w14:textId="77777777" w:rsidR="00635AEB" w:rsidRDefault="0066437A" w:rsidP="0046547E">
      <w:pPr>
        <w:shd w:val="clear" w:color="auto" w:fill="FFFFFF"/>
        <w:spacing w:after="0" w:line="286" w:lineRule="atLeast"/>
        <w:jc w:val="both"/>
        <w:rPr>
          <w:rFonts w:ascii="Calibri" w:eastAsia="Times New Roman" w:hAnsi="Calibri" w:cs="Arial"/>
        </w:rPr>
      </w:pPr>
      <w:r w:rsidRPr="00635AEB">
        <w:rPr>
          <w:rFonts w:ascii="Calibri" w:eastAsia="Times New Roman" w:hAnsi="Calibri" w:cs="Arial"/>
        </w:rPr>
        <w:t>Other questions raised in an Annex to the report include the following:</w:t>
      </w:r>
    </w:p>
    <w:p w14:paraId="45993EFD" w14:textId="77777777" w:rsidR="00635AEB" w:rsidRDefault="00635AEB" w:rsidP="0046547E">
      <w:pPr>
        <w:shd w:val="clear" w:color="auto" w:fill="FFFFFF"/>
        <w:spacing w:after="0" w:line="286" w:lineRule="atLeast"/>
        <w:jc w:val="both"/>
        <w:rPr>
          <w:rFonts w:ascii="Calibri" w:eastAsia="Times New Roman" w:hAnsi="Calibri" w:cs="Arial"/>
        </w:rPr>
      </w:pPr>
    </w:p>
    <w:p w14:paraId="0A42D91E" w14:textId="64CDC8B2" w:rsidR="0066437A" w:rsidRDefault="0066437A" w:rsidP="0046547E">
      <w:pPr>
        <w:shd w:val="clear" w:color="auto" w:fill="FFFFFF"/>
        <w:spacing w:after="0" w:line="286" w:lineRule="atLeast"/>
        <w:jc w:val="both"/>
        <w:rPr>
          <w:rFonts w:ascii="Calibri" w:eastAsia="Times New Roman" w:hAnsi="Calibri" w:cs="Arial"/>
          <w:b/>
          <w:bCs/>
          <w:i/>
          <w:iCs/>
        </w:rPr>
      </w:pPr>
      <w:r w:rsidRPr="00635AEB">
        <w:rPr>
          <w:rFonts w:ascii="Calibri" w:eastAsia="Times New Roman" w:hAnsi="Calibri" w:cs="Arial"/>
          <w:b/>
          <w:bCs/>
          <w:i/>
          <w:iCs/>
        </w:rPr>
        <w:t>What (if any) should the remedies be for unwarranted Publication?</w:t>
      </w:r>
    </w:p>
    <w:p w14:paraId="5EE23DD9" w14:textId="77777777" w:rsidR="00635AEB" w:rsidRPr="00635AEB" w:rsidRDefault="00635AEB" w:rsidP="0046547E">
      <w:pPr>
        <w:shd w:val="clear" w:color="auto" w:fill="FFFFFF"/>
        <w:spacing w:after="0" w:line="286" w:lineRule="atLeast"/>
        <w:jc w:val="both"/>
        <w:rPr>
          <w:rFonts w:ascii="Calibri" w:eastAsia="Times New Roman" w:hAnsi="Calibri" w:cs="Arial"/>
          <w:i/>
        </w:rPr>
      </w:pPr>
    </w:p>
    <w:p w14:paraId="41901191" w14:textId="77777777" w:rsidR="0066437A" w:rsidRDefault="0066437A" w:rsidP="0046547E">
      <w:pPr>
        <w:shd w:val="clear" w:color="auto" w:fill="FFFFFF"/>
        <w:spacing w:after="0" w:line="286" w:lineRule="atLeast"/>
        <w:jc w:val="both"/>
        <w:rPr>
          <w:rFonts w:ascii="Calibri" w:eastAsia="Times New Roman" w:hAnsi="Calibri" w:cs="Arial"/>
        </w:rPr>
      </w:pPr>
      <w:r w:rsidRPr="00635AEB">
        <w:rPr>
          <w:rFonts w:ascii="Calibri" w:eastAsia="Times New Roman" w:hAnsi="Calibri" w:cs="Arial"/>
        </w:rPr>
        <w:t>Once personal details have been made known either to an individual requestor or more broadly published, the damage has been done.  Depending on the facts of each case, there may be compensation for damage caused by a breach of contract thru civil means.  ICANN Compliance must be notified since such breach may also amount to a breach of the Specification.</w:t>
      </w:r>
    </w:p>
    <w:p w14:paraId="23124016" w14:textId="77777777" w:rsidR="00635AEB" w:rsidRPr="00635AEB" w:rsidRDefault="00635AEB" w:rsidP="0046547E">
      <w:pPr>
        <w:shd w:val="clear" w:color="auto" w:fill="FFFFFF"/>
        <w:spacing w:after="0" w:line="286" w:lineRule="atLeast"/>
        <w:jc w:val="both"/>
        <w:rPr>
          <w:rFonts w:ascii="Calibri" w:eastAsia="Times New Roman" w:hAnsi="Calibri" w:cs="Arial"/>
        </w:rPr>
      </w:pPr>
    </w:p>
    <w:p w14:paraId="4EFEADF5" w14:textId="0E314D1C" w:rsidR="0066437A" w:rsidRDefault="0066437A" w:rsidP="0046547E">
      <w:pPr>
        <w:shd w:val="clear" w:color="auto" w:fill="FFFFFF"/>
        <w:spacing w:after="0" w:line="286" w:lineRule="atLeast"/>
        <w:jc w:val="both"/>
        <w:rPr>
          <w:rFonts w:ascii="Calibri" w:eastAsia="Times New Roman" w:hAnsi="Calibri" w:cs="Arial"/>
          <w:b/>
          <w:bCs/>
          <w:i/>
          <w:iCs/>
        </w:rPr>
      </w:pPr>
      <w:r w:rsidRPr="00635AEB">
        <w:rPr>
          <w:rFonts w:ascii="Calibri" w:eastAsia="Times New Roman" w:hAnsi="Calibri" w:cs="Arial"/>
          <w:b/>
          <w:bCs/>
          <w:i/>
          <w:iCs/>
        </w:rPr>
        <w:t>Should requestors be allowed to escalate every request to a 3</w:t>
      </w:r>
      <w:r w:rsidRPr="00635AEB">
        <w:rPr>
          <w:rFonts w:ascii="Calibri" w:eastAsia="Times New Roman" w:hAnsi="Calibri" w:cs="Arial"/>
          <w:b/>
          <w:bCs/>
          <w:i/>
          <w:iCs/>
          <w:vertAlign w:val="superscript"/>
        </w:rPr>
        <w:t>rd</w:t>
      </w:r>
      <w:r w:rsidRPr="00635AEB">
        <w:rPr>
          <w:rFonts w:ascii="Calibri" w:eastAsia="Times New Roman" w:hAnsi="Calibri" w:cs="Arial"/>
          <w:b/>
          <w:bCs/>
          <w:i/>
          <w:iCs/>
        </w:rPr>
        <w:t> party forum or should the WG develop standards and thresholds</w:t>
      </w:r>
      <w:r w:rsidR="00635AEB">
        <w:rPr>
          <w:rFonts w:ascii="Calibri" w:eastAsia="Times New Roman" w:hAnsi="Calibri" w:cs="Arial"/>
          <w:b/>
          <w:bCs/>
          <w:i/>
          <w:iCs/>
        </w:rPr>
        <w:t>?</w:t>
      </w:r>
    </w:p>
    <w:p w14:paraId="286B84FA" w14:textId="77777777" w:rsidR="00635AEB" w:rsidRPr="00635AEB" w:rsidRDefault="00635AEB" w:rsidP="0046547E">
      <w:pPr>
        <w:shd w:val="clear" w:color="auto" w:fill="FFFFFF"/>
        <w:spacing w:after="0" w:line="286" w:lineRule="atLeast"/>
        <w:jc w:val="both"/>
        <w:rPr>
          <w:rFonts w:ascii="Calibri" w:eastAsia="Times New Roman" w:hAnsi="Calibri" w:cs="Arial"/>
          <w:i/>
        </w:rPr>
      </w:pPr>
    </w:p>
    <w:p w14:paraId="1B647862" w14:textId="77777777" w:rsidR="0066437A" w:rsidRDefault="0066437A" w:rsidP="0046547E">
      <w:pPr>
        <w:shd w:val="clear" w:color="auto" w:fill="FFFFFF"/>
        <w:spacing w:after="0" w:line="286" w:lineRule="atLeast"/>
        <w:jc w:val="both"/>
        <w:rPr>
          <w:rFonts w:ascii="Calibri" w:eastAsia="Times New Roman" w:hAnsi="Calibri" w:cs="Arial"/>
        </w:rPr>
      </w:pPr>
      <w:r w:rsidRPr="00635AEB">
        <w:rPr>
          <w:rFonts w:ascii="Calibri" w:eastAsia="Times New Roman" w:hAnsi="Calibri" w:cs="Arial"/>
        </w:rPr>
        <w:t>Again, it should be up to individual providers on how they handle contact requests from third parties, as long as the customer is informed of the individual provider’s policies on this issue. </w:t>
      </w:r>
    </w:p>
    <w:p w14:paraId="3B1B6B65" w14:textId="77777777" w:rsidR="00CF29C4" w:rsidRPr="00635AEB" w:rsidRDefault="00CF29C4" w:rsidP="00CF29C4">
      <w:pPr>
        <w:shd w:val="clear" w:color="auto" w:fill="FFFFFF"/>
        <w:spacing w:after="0" w:line="286" w:lineRule="atLeast"/>
        <w:jc w:val="both"/>
        <w:rPr>
          <w:rFonts w:ascii="Calibri" w:eastAsia="Times New Roman" w:hAnsi="Calibri" w:cs="Arial"/>
        </w:rPr>
      </w:pPr>
      <w:bookmarkStart w:id="0" w:name="_GoBack"/>
      <w:bookmarkEnd w:id="0"/>
    </w:p>
    <w:p w14:paraId="786AFC0C" w14:textId="77777777" w:rsidR="0066437A" w:rsidRDefault="0066437A" w:rsidP="0046547E">
      <w:pPr>
        <w:shd w:val="clear" w:color="auto" w:fill="FFFFFF"/>
        <w:spacing w:after="0" w:line="286" w:lineRule="atLeast"/>
        <w:jc w:val="both"/>
        <w:rPr>
          <w:rFonts w:ascii="Calibri" w:eastAsia="Times New Roman" w:hAnsi="Calibri" w:cs="Arial"/>
        </w:rPr>
      </w:pPr>
      <w:r w:rsidRPr="00635AEB">
        <w:rPr>
          <w:rFonts w:ascii="Calibri" w:eastAsia="Times New Roman" w:hAnsi="Calibri" w:cs="Arial"/>
        </w:rPr>
        <w:t>Finally, one issue that was not addressed in the Issues Report, but is of concern to the ALAC is compliance with the Specification.  Under the 2013 RAA, registrar compliance with the Specification is required, and through the Registrar, its affiliates and resellers. </w:t>
      </w:r>
    </w:p>
    <w:p w14:paraId="6EF24231" w14:textId="77777777" w:rsidR="00635AEB" w:rsidRPr="00635AEB" w:rsidRDefault="00635AEB" w:rsidP="0046547E">
      <w:pPr>
        <w:shd w:val="clear" w:color="auto" w:fill="FFFFFF"/>
        <w:spacing w:after="0" w:line="286" w:lineRule="atLeast"/>
        <w:jc w:val="both"/>
        <w:rPr>
          <w:rFonts w:ascii="Calibri" w:eastAsia="Times New Roman" w:hAnsi="Calibri" w:cs="Arial"/>
        </w:rPr>
      </w:pPr>
    </w:p>
    <w:p w14:paraId="3B545E42" w14:textId="77777777" w:rsidR="0066437A" w:rsidRPr="00635AEB" w:rsidRDefault="0066437A" w:rsidP="0046547E">
      <w:pPr>
        <w:shd w:val="clear" w:color="auto" w:fill="FFFFFF"/>
        <w:spacing w:after="0" w:line="286" w:lineRule="atLeast"/>
        <w:jc w:val="both"/>
        <w:rPr>
          <w:rFonts w:ascii="Calibri" w:eastAsia="Times New Roman" w:hAnsi="Calibri" w:cs="Arial"/>
        </w:rPr>
      </w:pPr>
      <w:proofErr w:type="gramStart"/>
      <w:r w:rsidRPr="00635AEB">
        <w:rPr>
          <w:rFonts w:ascii="Calibri" w:eastAsia="Times New Roman" w:hAnsi="Calibri" w:cs="Arial"/>
        </w:rPr>
        <w:t xml:space="preserve">Proxy services can be provided by a registrant who, in turn, licenses the use of the domain name to their customer and it is the registrant’s details that appear in the </w:t>
      </w:r>
      <w:proofErr w:type="spellStart"/>
      <w:r w:rsidRPr="00635AEB">
        <w:rPr>
          <w:rFonts w:ascii="Calibri" w:eastAsia="Times New Roman" w:hAnsi="Calibri" w:cs="Arial"/>
        </w:rPr>
        <w:t>Whois</w:t>
      </w:r>
      <w:proofErr w:type="spellEnd"/>
      <w:r w:rsidRPr="00635AEB">
        <w:rPr>
          <w:rFonts w:ascii="Calibri" w:eastAsia="Times New Roman" w:hAnsi="Calibri" w:cs="Arial"/>
        </w:rPr>
        <w:t xml:space="preserve"> database rather than the proxy service customer</w:t>
      </w:r>
      <w:proofErr w:type="gramEnd"/>
      <w:r w:rsidRPr="00635AEB">
        <w:rPr>
          <w:rFonts w:ascii="Calibri" w:eastAsia="Times New Roman" w:hAnsi="Calibri" w:cs="Arial"/>
        </w:rPr>
        <w:t xml:space="preserve">.  In those circumstances, it may be possible for registrars (and their affiliates and </w:t>
      </w:r>
      <w:r w:rsidRPr="00635AEB">
        <w:rPr>
          <w:rFonts w:ascii="Calibri" w:eastAsia="Times New Roman" w:hAnsi="Calibri" w:cs="Arial"/>
        </w:rPr>
        <w:lastRenderedPageBreak/>
        <w:t>resellers) to include in contracts with their customers (registrants), a requirement that if the registrant provides a proxy service, they will comply with the Specification.  In that way, enforcement of specification requirements can be through that contractual arrangement.</w:t>
      </w:r>
    </w:p>
    <w:p w14:paraId="2EB0D43B" w14:textId="77777777" w:rsidR="0066437A" w:rsidRPr="00635AEB" w:rsidRDefault="0066437A"/>
    <w:sectPr w:rsidR="0066437A" w:rsidRPr="00635AEB" w:rsidSect="000258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34EA"/>
    <w:multiLevelType w:val="multilevel"/>
    <w:tmpl w:val="5FFA8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FB81743"/>
    <w:multiLevelType w:val="multilevel"/>
    <w:tmpl w:val="18688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2FC288B"/>
    <w:multiLevelType w:val="multilevel"/>
    <w:tmpl w:val="38EE5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8163C59"/>
    <w:multiLevelType w:val="multilevel"/>
    <w:tmpl w:val="C388F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ECA4DB7"/>
    <w:multiLevelType w:val="multilevel"/>
    <w:tmpl w:val="79DE9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37A"/>
    <w:rsid w:val="00002B72"/>
    <w:rsid w:val="000239B7"/>
    <w:rsid w:val="0002582E"/>
    <w:rsid w:val="00035613"/>
    <w:rsid w:val="00047D19"/>
    <w:rsid w:val="00062653"/>
    <w:rsid w:val="00064F34"/>
    <w:rsid w:val="00083336"/>
    <w:rsid w:val="0008436B"/>
    <w:rsid w:val="00086B00"/>
    <w:rsid w:val="00087A90"/>
    <w:rsid w:val="00090A6C"/>
    <w:rsid w:val="00094907"/>
    <w:rsid w:val="000B4A36"/>
    <w:rsid w:val="000B7D1D"/>
    <w:rsid w:val="000C1F2E"/>
    <w:rsid w:val="000C2430"/>
    <w:rsid w:val="000D0428"/>
    <w:rsid w:val="000D140D"/>
    <w:rsid w:val="000D6499"/>
    <w:rsid w:val="000F22D3"/>
    <w:rsid w:val="000F47BF"/>
    <w:rsid w:val="00101C23"/>
    <w:rsid w:val="001039FF"/>
    <w:rsid w:val="00107493"/>
    <w:rsid w:val="0013022A"/>
    <w:rsid w:val="00130CB7"/>
    <w:rsid w:val="0014044D"/>
    <w:rsid w:val="00142362"/>
    <w:rsid w:val="00143F89"/>
    <w:rsid w:val="00145CA2"/>
    <w:rsid w:val="001463F4"/>
    <w:rsid w:val="00146DBD"/>
    <w:rsid w:val="00157C10"/>
    <w:rsid w:val="00172C71"/>
    <w:rsid w:val="00187B1E"/>
    <w:rsid w:val="001910C5"/>
    <w:rsid w:val="001A0D02"/>
    <w:rsid w:val="001A6A6F"/>
    <w:rsid w:val="001D2BD2"/>
    <w:rsid w:val="001D36F1"/>
    <w:rsid w:val="001D6B7B"/>
    <w:rsid w:val="0020524B"/>
    <w:rsid w:val="00206466"/>
    <w:rsid w:val="002078E8"/>
    <w:rsid w:val="00215AB3"/>
    <w:rsid w:val="00215FBA"/>
    <w:rsid w:val="002261A5"/>
    <w:rsid w:val="00230139"/>
    <w:rsid w:val="00235D50"/>
    <w:rsid w:val="00244049"/>
    <w:rsid w:val="0026112C"/>
    <w:rsid w:val="002810D9"/>
    <w:rsid w:val="002956E9"/>
    <w:rsid w:val="002B4F59"/>
    <w:rsid w:val="002D67CE"/>
    <w:rsid w:val="002E026C"/>
    <w:rsid w:val="002E77C7"/>
    <w:rsid w:val="002F4557"/>
    <w:rsid w:val="002F5F13"/>
    <w:rsid w:val="0032132A"/>
    <w:rsid w:val="00321AB3"/>
    <w:rsid w:val="003258DD"/>
    <w:rsid w:val="003259B1"/>
    <w:rsid w:val="00326F45"/>
    <w:rsid w:val="00331850"/>
    <w:rsid w:val="003340DB"/>
    <w:rsid w:val="0033637E"/>
    <w:rsid w:val="00344B05"/>
    <w:rsid w:val="00345E4A"/>
    <w:rsid w:val="00347AD8"/>
    <w:rsid w:val="00347C77"/>
    <w:rsid w:val="00350CC7"/>
    <w:rsid w:val="00353ED4"/>
    <w:rsid w:val="00360549"/>
    <w:rsid w:val="00361C58"/>
    <w:rsid w:val="003676A3"/>
    <w:rsid w:val="003738AC"/>
    <w:rsid w:val="00381E28"/>
    <w:rsid w:val="00384589"/>
    <w:rsid w:val="00385CFC"/>
    <w:rsid w:val="00387F25"/>
    <w:rsid w:val="003971C7"/>
    <w:rsid w:val="003A1DE4"/>
    <w:rsid w:val="003B1B6A"/>
    <w:rsid w:val="003E163C"/>
    <w:rsid w:val="003E1C21"/>
    <w:rsid w:val="003E37C5"/>
    <w:rsid w:val="003F242A"/>
    <w:rsid w:val="003F3B47"/>
    <w:rsid w:val="003F6C38"/>
    <w:rsid w:val="003F7C15"/>
    <w:rsid w:val="003F7FD8"/>
    <w:rsid w:val="0040342D"/>
    <w:rsid w:val="0041044F"/>
    <w:rsid w:val="00417175"/>
    <w:rsid w:val="00422025"/>
    <w:rsid w:val="00424687"/>
    <w:rsid w:val="004246E1"/>
    <w:rsid w:val="004460E5"/>
    <w:rsid w:val="00455534"/>
    <w:rsid w:val="0046547E"/>
    <w:rsid w:val="004A3333"/>
    <w:rsid w:val="004A50C2"/>
    <w:rsid w:val="004B4F38"/>
    <w:rsid w:val="004C09E0"/>
    <w:rsid w:val="004C2BE3"/>
    <w:rsid w:val="004D2E4C"/>
    <w:rsid w:val="004D437B"/>
    <w:rsid w:val="004D6095"/>
    <w:rsid w:val="004F081F"/>
    <w:rsid w:val="004F5DDF"/>
    <w:rsid w:val="0050766A"/>
    <w:rsid w:val="00515E80"/>
    <w:rsid w:val="005220D2"/>
    <w:rsid w:val="00527FCA"/>
    <w:rsid w:val="0053311D"/>
    <w:rsid w:val="00557235"/>
    <w:rsid w:val="005656DD"/>
    <w:rsid w:val="00567974"/>
    <w:rsid w:val="00567D87"/>
    <w:rsid w:val="00571987"/>
    <w:rsid w:val="00572318"/>
    <w:rsid w:val="0057670D"/>
    <w:rsid w:val="00595A8D"/>
    <w:rsid w:val="005A16A1"/>
    <w:rsid w:val="005A6C52"/>
    <w:rsid w:val="005B0070"/>
    <w:rsid w:val="005B6B38"/>
    <w:rsid w:val="005C5B80"/>
    <w:rsid w:val="005C7C31"/>
    <w:rsid w:val="005D0506"/>
    <w:rsid w:val="005D111E"/>
    <w:rsid w:val="005D4ACD"/>
    <w:rsid w:val="005D4AFA"/>
    <w:rsid w:val="005E267A"/>
    <w:rsid w:val="005E60C1"/>
    <w:rsid w:val="005F7508"/>
    <w:rsid w:val="00600C40"/>
    <w:rsid w:val="00615A4D"/>
    <w:rsid w:val="0062187A"/>
    <w:rsid w:val="00621A5A"/>
    <w:rsid w:val="00626528"/>
    <w:rsid w:val="00630653"/>
    <w:rsid w:val="00635AEB"/>
    <w:rsid w:val="00636EB6"/>
    <w:rsid w:val="00642076"/>
    <w:rsid w:val="00643D90"/>
    <w:rsid w:val="00652B09"/>
    <w:rsid w:val="006545F3"/>
    <w:rsid w:val="00662327"/>
    <w:rsid w:val="0066437A"/>
    <w:rsid w:val="006755E8"/>
    <w:rsid w:val="00680A37"/>
    <w:rsid w:val="00681798"/>
    <w:rsid w:val="00687DA5"/>
    <w:rsid w:val="00694882"/>
    <w:rsid w:val="006973B7"/>
    <w:rsid w:val="006A0767"/>
    <w:rsid w:val="006B01A3"/>
    <w:rsid w:val="006B13F6"/>
    <w:rsid w:val="006C3823"/>
    <w:rsid w:val="006C5A26"/>
    <w:rsid w:val="006C745B"/>
    <w:rsid w:val="006D00F1"/>
    <w:rsid w:val="006D56EE"/>
    <w:rsid w:val="006E0000"/>
    <w:rsid w:val="006F1EBF"/>
    <w:rsid w:val="00703A9E"/>
    <w:rsid w:val="00714C86"/>
    <w:rsid w:val="00724196"/>
    <w:rsid w:val="00724E14"/>
    <w:rsid w:val="007270F6"/>
    <w:rsid w:val="00732B82"/>
    <w:rsid w:val="00732FB0"/>
    <w:rsid w:val="00737C09"/>
    <w:rsid w:val="00740D3C"/>
    <w:rsid w:val="0075610E"/>
    <w:rsid w:val="007562DE"/>
    <w:rsid w:val="00765986"/>
    <w:rsid w:val="00770993"/>
    <w:rsid w:val="00771AF3"/>
    <w:rsid w:val="00771CBA"/>
    <w:rsid w:val="0079014B"/>
    <w:rsid w:val="00791917"/>
    <w:rsid w:val="00793988"/>
    <w:rsid w:val="00797350"/>
    <w:rsid w:val="00797B5E"/>
    <w:rsid w:val="007B3ECA"/>
    <w:rsid w:val="007B663B"/>
    <w:rsid w:val="007B7C0E"/>
    <w:rsid w:val="007D55BC"/>
    <w:rsid w:val="007D57E1"/>
    <w:rsid w:val="007D61E0"/>
    <w:rsid w:val="007F2BF6"/>
    <w:rsid w:val="00811735"/>
    <w:rsid w:val="00817A09"/>
    <w:rsid w:val="008215DD"/>
    <w:rsid w:val="0083050E"/>
    <w:rsid w:val="00835D2F"/>
    <w:rsid w:val="0085013D"/>
    <w:rsid w:val="00853E4C"/>
    <w:rsid w:val="00874D7F"/>
    <w:rsid w:val="00883918"/>
    <w:rsid w:val="0089799C"/>
    <w:rsid w:val="008A0ACC"/>
    <w:rsid w:val="008A4569"/>
    <w:rsid w:val="008B6852"/>
    <w:rsid w:val="008D6B6C"/>
    <w:rsid w:val="008D7209"/>
    <w:rsid w:val="0091308D"/>
    <w:rsid w:val="009221BB"/>
    <w:rsid w:val="009228E8"/>
    <w:rsid w:val="00926502"/>
    <w:rsid w:val="00936EEC"/>
    <w:rsid w:val="00947752"/>
    <w:rsid w:val="00965211"/>
    <w:rsid w:val="0098490A"/>
    <w:rsid w:val="00992EFC"/>
    <w:rsid w:val="00994512"/>
    <w:rsid w:val="00995619"/>
    <w:rsid w:val="009A246A"/>
    <w:rsid w:val="009A5612"/>
    <w:rsid w:val="009A5F55"/>
    <w:rsid w:val="009C188C"/>
    <w:rsid w:val="009C337D"/>
    <w:rsid w:val="009C3AB8"/>
    <w:rsid w:val="009D1B40"/>
    <w:rsid w:val="009D2AFF"/>
    <w:rsid w:val="009D7146"/>
    <w:rsid w:val="009D7D2E"/>
    <w:rsid w:val="009E7010"/>
    <w:rsid w:val="00A04915"/>
    <w:rsid w:val="00A26DAF"/>
    <w:rsid w:val="00A3618D"/>
    <w:rsid w:val="00A46D43"/>
    <w:rsid w:val="00A47E32"/>
    <w:rsid w:val="00A603EB"/>
    <w:rsid w:val="00A61040"/>
    <w:rsid w:val="00A63004"/>
    <w:rsid w:val="00A644B5"/>
    <w:rsid w:val="00A72742"/>
    <w:rsid w:val="00A86DAB"/>
    <w:rsid w:val="00A90B8F"/>
    <w:rsid w:val="00A9415B"/>
    <w:rsid w:val="00A96E32"/>
    <w:rsid w:val="00AA2F51"/>
    <w:rsid w:val="00AB4968"/>
    <w:rsid w:val="00AC1A1B"/>
    <w:rsid w:val="00AC1FCF"/>
    <w:rsid w:val="00AC2964"/>
    <w:rsid w:val="00AD2156"/>
    <w:rsid w:val="00AD31F5"/>
    <w:rsid w:val="00AE351F"/>
    <w:rsid w:val="00AE401F"/>
    <w:rsid w:val="00AE4BB8"/>
    <w:rsid w:val="00AF6AE7"/>
    <w:rsid w:val="00B151D6"/>
    <w:rsid w:val="00B152E4"/>
    <w:rsid w:val="00B15A06"/>
    <w:rsid w:val="00B170DC"/>
    <w:rsid w:val="00B20DC2"/>
    <w:rsid w:val="00B32757"/>
    <w:rsid w:val="00B352F3"/>
    <w:rsid w:val="00B35CD2"/>
    <w:rsid w:val="00B4162C"/>
    <w:rsid w:val="00B50ED0"/>
    <w:rsid w:val="00B710C2"/>
    <w:rsid w:val="00B72C4D"/>
    <w:rsid w:val="00B8083C"/>
    <w:rsid w:val="00B80A6F"/>
    <w:rsid w:val="00B90405"/>
    <w:rsid w:val="00B97044"/>
    <w:rsid w:val="00BA1B41"/>
    <w:rsid w:val="00BA2E2D"/>
    <w:rsid w:val="00BA7533"/>
    <w:rsid w:val="00BB1F03"/>
    <w:rsid w:val="00BC54A9"/>
    <w:rsid w:val="00BE5BB2"/>
    <w:rsid w:val="00BE7614"/>
    <w:rsid w:val="00BF36FA"/>
    <w:rsid w:val="00C06B23"/>
    <w:rsid w:val="00C12CAE"/>
    <w:rsid w:val="00C20514"/>
    <w:rsid w:val="00C30B5A"/>
    <w:rsid w:val="00C34F98"/>
    <w:rsid w:val="00C439EA"/>
    <w:rsid w:val="00C55FF1"/>
    <w:rsid w:val="00C746ED"/>
    <w:rsid w:val="00C83EEE"/>
    <w:rsid w:val="00C96B33"/>
    <w:rsid w:val="00C97FC2"/>
    <w:rsid w:val="00CA0850"/>
    <w:rsid w:val="00CA2085"/>
    <w:rsid w:val="00CA30B3"/>
    <w:rsid w:val="00CB2DC4"/>
    <w:rsid w:val="00CD6498"/>
    <w:rsid w:val="00CE62F5"/>
    <w:rsid w:val="00CF0475"/>
    <w:rsid w:val="00CF29C4"/>
    <w:rsid w:val="00CF4896"/>
    <w:rsid w:val="00D05751"/>
    <w:rsid w:val="00D15469"/>
    <w:rsid w:val="00D169D3"/>
    <w:rsid w:val="00D21DC5"/>
    <w:rsid w:val="00D30B36"/>
    <w:rsid w:val="00D424A6"/>
    <w:rsid w:val="00D457C8"/>
    <w:rsid w:val="00D46654"/>
    <w:rsid w:val="00D536ED"/>
    <w:rsid w:val="00D5436A"/>
    <w:rsid w:val="00D74B64"/>
    <w:rsid w:val="00D808D1"/>
    <w:rsid w:val="00D90C59"/>
    <w:rsid w:val="00D92374"/>
    <w:rsid w:val="00D93ECC"/>
    <w:rsid w:val="00DA21E6"/>
    <w:rsid w:val="00DA27F0"/>
    <w:rsid w:val="00DA314D"/>
    <w:rsid w:val="00DA7108"/>
    <w:rsid w:val="00DB18FD"/>
    <w:rsid w:val="00DB3667"/>
    <w:rsid w:val="00DB57E3"/>
    <w:rsid w:val="00DC520F"/>
    <w:rsid w:val="00DD1EB7"/>
    <w:rsid w:val="00DE2435"/>
    <w:rsid w:val="00DE38E8"/>
    <w:rsid w:val="00DE4ADD"/>
    <w:rsid w:val="00DE71FF"/>
    <w:rsid w:val="00DF4751"/>
    <w:rsid w:val="00DF65EA"/>
    <w:rsid w:val="00E00016"/>
    <w:rsid w:val="00E00884"/>
    <w:rsid w:val="00E02B8C"/>
    <w:rsid w:val="00E1144D"/>
    <w:rsid w:val="00E205B9"/>
    <w:rsid w:val="00E20D63"/>
    <w:rsid w:val="00E222E8"/>
    <w:rsid w:val="00E270F3"/>
    <w:rsid w:val="00E33BEA"/>
    <w:rsid w:val="00E45099"/>
    <w:rsid w:val="00E464DD"/>
    <w:rsid w:val="00E47471"/>
    <w:rsid w:val="00E54A76"/>
    <w:rsid w:val="00E65AC2"/>
    <w:rsid w:val="00E665E0"/>
    <w:rsid w:val="00E70494"/>
    <w:rsid w:val="00E74115"/>
    <w:rsid w:val="00E77463"/>
    <w:rsid w:val="00E8079A"/>
    <w:rsid w:val="00E82C8D"/>
    <w:rsid w:val="00E97BD7"/>
    <w:rsid w:val="00EA1AFA"/>
    <w:rsid w:val="00EA3EB9"/>
    <w:rsid w:val="00ED3787"/>
    <w:rsid w:val="00ED4B0A"/>
    <w:rsid w:val="00F03DEB"/>
    <w:rsid w:val="00F04406"/>
    <w:rsid w:val="00F05A05"/>
    <w:rsid w:val="00F11C4F"/>
    <w:rsid w:val="00F13E04"/>
    <w:rsid w:val="00F221CB"/>
    <w:rsid w:val="00F222B9"/>
    <w:rsid w:val="00F2581C"/>
    <w:rsid w:val="00F26C4F"/>
    <w:rsid w:val="00F2776E"/>
    <w:rsid w:val="00F3497A"/>
    <w:rsid w:val="00F365E6"/>
    <w:rsid w:val="00F52610"/>
    <w:rsid w:val="00F64D38"/>
    <w:rsid w:val="00F66070"/>
    <w:rsid w:val="00F727F3"/>
    <w:rsid w:val="00F74253"/>
    <w:rsid w:val="00F831E6"/>
    <w:rsid w:val="00F84498"/>
    <w:rsid w:val="00F9759E"/>
    <w:rsid w:val="00FA0038"/>
    <w:rsid w:val="00FA6258"/>
    <w:rsid w:val="00FB220A"/>
    <w:rsid w:val="00FB2F19"/>
    <w:rsid w:val="00FB7328"/>
    <w:rsid w:val="00FD2947"/>
    <w:rsid w:val="00FE161B"/>
    <w:rsid w:val="00FE205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A1A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8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6437A"/>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8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643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65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818</Words>
  <Characters>4666</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Carlton</dc:creator>
  <cp:keywords/>
  <dc:description/>
  <cp:lastModifiedBy>Ariel Liang</cp:lastModifiedBy>
  <cp:revision>15</cp:revision>
  <dcterms:created xsi:type="dcterms:W3CDTF">2015-07-09T22:28:00Z</dcterms:created>
  <dcterms:modified xsi:type="dcterms:W3CDTF">2015-07-10T02:11:00Z</dcterms:modified>
</cp:coreProperties>
</file>