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7" w:rsidRPr="009E7D4E" w:rsidRDefault="001F5647" w:rsidP="001F5647">
      <w:pPr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E7D4E">
        <w:rPr>
          <w:rFonts w:ascii="Arial Unicode MS" w:eastAsia="Arial Unicode MS" w:hAnsi="Arial Unicode MS" w:cs="Arial Unicode MS"/>
          <w:b/>
        </w:rPr>
        <w:t>Вступительное слово председателей: на пути к окончательному варианту предложения</w:t>
      </w:r>
    </w:p>
    <w:p w:rsidR="001F5647" w:rsidRPr="009E7D4E" w:rsidRDefault="001F5647" w:rsidP="001F5647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22 апреля 2015 г.</w:t>
      </w:r>
    </w:p>
    <w:p w:rsidR="001F5647" w:rsidRPr="009E7D4E" w:rsidRDefault="001F5647" w:rsidP="001F5647">
      <w:pPr>
        <w:rPr>
          <w:rFonts w:ascii="Arial Unicode MS" w:eastAsia="Arial Unicode MS" w:hAnsi="Arial Unicode MS" w:cs="Arial Unicode MS"/>
        </w:rPr>
      </w:pPr>
    </w:p>
    <w:p w:rsidR="001F5647" w:rsidRPr="009E7D4E" w:rsidRDefault="001F5647" w:rsidP="001F5647">
      <w:pPr>
        <w:rPr>
          <w:rFonts w:ascii="Arial Unicode MS" w:eastAsia="Arial Unicode MS" w:hAnsi="Arial Unicode MS" w:cs="Arial Unicode MS"/>
        </w:rPr>
      </w:pPr>
    </w:p>
    <w:p w:rsidR="001351C5" w:rsidRPr="009E7D4E" w:rsidRDefault="00933758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Сегодня рабочая группа ICANN, состоящая из представителей нескольких сообществ и отвечающая за связанную с распределением имен часть процесса передачи координирующей роли в осуществлении функций IANA (CWG-Stewardship),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1"/>
      </w:r>
      <w:r w:rsidRPr="009E7D4E">
        <w:rPr>
          <w:rFonts w:ascii="Arial Unicode MS" w:eastAsia="Arial Unicode MS" w:hAnsi="Arial Unicode MS" w:cs="Arial Unicode MS"/>
        </w:rPr>
        <w:t xml:space="preserve"> выносит на общественное обсуждение свой второй черновой вариант предложения по передаче координирующей роли в исполнении функций IANA от Национального управления по телекоммуникациям и информации (NTIA) Министерства торговли США международному сообществу нескольких заинтересованных сторон. Этот черновой вариант — подготовка почвы для ответа (окончательного варианта предложения) на соответствующий запрос координационной группы по передаче координирующей роли в осуществлении функций IANA (ICG).</w:t>
      </w:r>
    </w:p>
    <w:p w:rsidR="001351C5" w:rsidRPr="009E7D4E" w:rsidRDefault="001351C5" w:rsidP="005E5A9E">
      <w:pPr>
        <w:rPr>
          <w:rFonts w:ascii="Arial Unicode MS" w:eastAsia="Arial Unicode MS" w:hAnsi="Arial Unicode MS" w:cs="Arial Unicode MS"/>
        </w:rPr>
      </w:pPr>
    </w:p>
    <w:p w:rsidR="002B6191" w:rsidRPr="009E7D4E" w:rsidRDefault="001F5647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В состав CWG-Stewardship, сформированной всего лишь шесть месяцев назад, входит 19 членов, назначенных организациями поддержки и консультативными комитетами ICANN, а также индивидуальные участники, количество которых постоянно увеличивается.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2"/>
      </w:r>
      <w:r w:rsidRPr="009E7D4E">
        <w:rPr>
          <w:rFonts w:ascii="Arial Unicode MS" w:eastAsia="Arial Unicode MS" w:hAnsi="Arial Unicode MS" w:cs="Arial Unicode MS"/>
        </w:rPr>
        <w:t xml:space="preserve"> Группа начала свою работу в октябре 2014 г. и к сегодняшнему дню провела 42 пленарных заседания, а также еще большее количество заседаний подгрупп.</w:t>
      </w:r>
    </w:p>
    <w:p w:rsidR="00B91EB3" w:rsidRPr="009E7D4E" w:rsidRDefault="00B91EB3" w:rsidP="005E5A9E">
      <w:pPr>
        <w:rPr>
          <w:rFonts w:ascii="Arial Unicode MS" w:eastAsia="Arial Unicode MS" w:hAnsi="Arial Unicode MS" w:cs="Arial Unicode MS"/>
        </w:rPr>
      </w:pPr>
    </w:p>
    <w:p w:rsidR="00B85751" w:rsidRPr="009E7D4E" w:rsidRDefault="00C96623" w:rsidP="00B85751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Общественное обсуждение, последовавшее за декабрьской публикацией первого чернового варианта предложения CWG-Stewardship, ясно показало, что группе следовало более тщательно проработать детали своего предложения и предоставить его переработанный вариант сообществу. CWG-Stewardship был необходим запрос сообщества ICANN, и теперь она представляет ему свой второй черновой вариант предложения для 28-дневного общественного обсуждения. </w:t>
      </w:r>
    </w:p>
    <w:p w:rsidR="00605B5A" w:rsidRPr="009E7D4E" w:rsidRDefault="00801530" w:rsidP="005E5A9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829300" cy="914400"/>
                <wp:effectExtent l="12700" t="18415" r="12700" b="69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590" w:rsidRPr="007141A4" w:rsidRDefault="000825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Пояснение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На нескольких последующих страницах содержится обзор содержания второго чернового варианта предложения, разъясняется процесс его разработки и обозначаются области для дальнейшей работы. Данное вступительное слово представляет собой всего лишь обзор и не ставит своей целью изложить содержимое в формате, требуемом ICG. Мы хотим получить отзывы на черновой вариант предложения, так как впоследствии CWG-Stewardship передаст окончательную версию этого документа ICG.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4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" fillcolor="#c6d9f1 [671]" strokecolor="#8db3e2 [1311]" strokeweight="2.25pt">
                <v:fill r:id="rId9" o:title="" type="pattern"/>
                <v:stroke joinstyle="round"/>
                <v:textbox>
                  <w:txbxContent>
                    <w:p w:rsidR="00082590" w:rsidRPr="007141A4" w:rsidRDefault="000825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Пояснение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. На нескольких последующих страницах содержится обзор содержания второго чернового варианта предложения, разъясняется процесс его разработки и обозначаются области для дальнейшей работы. Данное вступительное слово представляет собой всего лишь обзор и не ставит своей целью изложить содержимое в формате, требуемом ICG. Мы хотим получить отзывы на черновой вариант предложения, так как впоследствии CWG-Stewardship передаст окончательную версию этого документа ICG.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06B56" w:rsidRPr="009E7D4E" w:rsidRDefault="00106B56" w:rsidP="005E5A9E">
      <w:pPr>
        <w:rPr>
          <w:rFonts w:ascii="Arial Unicode MS" w:eastAsia="Arial Unicode MS" w:hAnsi="Arial Unicode MS" w:cs="Arial Unicode MS"/>
        </w:rPr>
      </w:pPr>
    </w:p>
    <w:p w:rsidR="00502C6B" w:rsidRPr="009E7D4E" w:rsidRDefault="00502C6B" w:rsidP="005E5A9E">
      <w:pPr>
        <w:rPr>
          <w:rFonts w:ascii="Arial Unicode MS" w:eastAsia="Arial Unicode MS" w:hAnsi="Arial Unicode MS" w:cs="Arial Unicode MS"/>
        </w:rPr>
      </w:pPr>
    </w:p>
    <w:p w:rsidR="00502C6B" w:rsidRPr="009E7D4E" w:rsidRDefault="00502C6B" w:rsidP="005E5A9E">
      <w:pPr>
        <w:rPr>
          <w:rFonts w:ascii="Arial Unicode MS" w:eastAsia="Arial Unicode MS" w:hAnsi="Arial Unicode MS" w:cs="Arial Unicode MS"/>
          <w:b/>
        </w:rPr>
      </w:pPr>
      <w:r w:rsidRPr="009E7D4E">
        <w:rPr>
          <w:rFonts w:ascii="Arial Unicode MS" w:eastAsia="Arial Unicode MS" w:hAnsi="Arial Unicode MS" w:cs="Arial Unicode MS"/>
          <w:b/>
        </w:rPr>
        <w:t>РАЗРАБОТКА ВТОРОГО ЧЕРНОВОГО ВАРИАНТА ПРЕДЛОЖЕНИЯ</w:t>
      </w:r>
    </w:p>
    <w:p w:rsidR="00933758" w:rsidRPr="009E7D4E" w:rsidRDefault="00933758" w:rsidP="005E5A9E">
      <w:pPr>
        <w:rPr>
          <w:rFonts w:ascii="Arial Unicode MS" w:eastAsia="Arial Unicode MS" w:hAnsi="Arial Unicode MS" w:cs="Arial Unicode MS"/>
        </w:rPr>
      </w:pPr>
    </w:p>
    <w:p w:rsidR="00933758" w:rsidRPr="009E7D4E" w:rsidRDefault="008F3C12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Ниже описан контекст разработки второго чернового варианта предложения. </w:t>
      </w:r>
    </w:p>
    <w:p w:rsidR="00B77ADC" w:rsidRPr="009E7D4E" w:rsidRDefault="00B77ADC" w:rsidP="005E5A9E">
      <w:pPr>
        <w:rPr>
          <w:rFonts w:ascii="Arial Unicode MS" w:eastAsia="Arial Unicode MS" w:hAnsi="Arial Unicode MS" w:cs="Arial Unicode MS"/>
        </w:rPr>
      </w:pPr>
    </w:p>
    <w:p w:rsidR="005D48E5" w:rsidRPr="009E7D4E" w:rsidRDefault="00B77ADC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1 декабря 2014 г. CWG-Stewardship опубликовала свой первый черновой вариант предложения для общественного обсуждения. По завершении периода общественного обсуждения CWG-Stewardship изучила и проанализировала полученные отзывы. В ряде полученных комментариев высказывалась озабоченность чрезмерной сложностью структуры, плохой проработкой деталей и недостаточным уровнем подотчетности. </w:t>
      </w:r>
    </w:p>
    <w:p w:rsidR="005D48E5" w:rsidRPr="009E7D4E" w:rsidRDefault="005D48E5" w:rsidP="005E5A9E">
      <w:pPr>
        <w:rPr>
          <w:rFonts w:ascii="Arial Unicode MS" w:eastAsia="Arial Unicode MS" w:hAnsi="Arial Unicode MS" w:cs="Arial Unicode MS"/>
        </w:rPr>
      </w:pPr>
    </w:p>
    <w:p w:rsidR="005E5A9E" w:rsidRPr="009E7D4E" w:rsidRDefault="00D63BB0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В ответ CWG-Stewardship при поддержке ICG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3"/>
      </w:r>
      <w:r w:rsidRPr="009E7D4E">
        <w:rPr>
          <w:rFonts w:ascii="Arial Unicode MS" w:eastAsia="Arial Unicode MS" w:hAnsi="Arial Unicode MS" w:cs="Arial Unicode MS"/>
        </w:rPr>
        <w:t xml:space="preserve"> увеличила сроки работы над документом и начала изучать несколько альтернативных структурных моделей, недостаточно полно рассмотренных в первом черновом варианте предложения. К концу февраля CWG-Stewardship определила семь постпереходных структурных моделей,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4"/>
      </w:r>
      <w:r w:rsidRPr="009E7D4E">
        <w:rPr>
          <w:rFonts w:ascii="Arial Unicode MS" w:eastAsia="Arial Unicode MS" w:hAnsi="Arial Unicode MS" w:cs="Arial Unicode MS"/>
        </w:rPr>
        <w:t xml:space="preserve"> которые были отправлены независимому совету юристов для анализа.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5"/>
      </w:r>
    </w:p>
    <w:p w:rsidR="005E5A9E" w:rsidRPr="009E7D4E" w:rsidRDefault="005E5A9E" w:rsidP="005E5A9E">
      <w:pPr>
        <w:rPr>
          <w:rFonts w:ascii="Arial Unicode MS" w:eastAsia="Arial Unicode MS" w:hAnsi="Arial Unicode MS" w:cs="Arial Unicode MS"/>
        </w:rPr>
      </w:pPr>
    </w:p>
    <w:p w:rsidR="0065334C" w:rsidRPr="009E7D4E" w:rsidRDefault="005E5A9E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Понимая необходимость сконцентрироваться на операционных аспектах предложения и ограничить дальнейшее обсуждение структурных моделей до того момента, когда станут доступны результаты работы независимого совета юристов, CWG-Stewardship начала применять переработанную рабочую методологию с использованием небольших экспертных подгрупп, называемых проектными группами. Результаты работы проектных групп были включены во </w:t>
      </w:r>
      <w:r w:rsidRPr="009E7D4E">
        <w:rPr>
          <w:rFonts w:ascii="Arial Unicode MS" w:eastAsia="Arial Unicode MS" w:hAnsi="Arial Unicode MS" w:cs="Arial Unicode MS"/>
        </w:rPr>
        <w:lastRenderedPageBreak/>
        <w:t>второй черновой вариант предложения. Было задействовано 15 проектных групп, завершивших свою работу до выпуска второго чернового варианта предложения.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6"/>
      </w:r>
      <w:r w:rsidRPr="009E7D4E">
        <w:rPr>
          <w:rFonts w:ascii="Arial Unicode MS" w:eastAsia="Arial Unicode MS" w:hAnsi="Arial Unicode MS" w:cs="Arial Unicode MS"/>
        </w:rPr>
        <w:t xml:space="preserve"> Многие из этих групп получали экспертные данные и консультации от специалистов, не входящих в CWG-Stewardship, в том числе от управляющих доменами верхнего уровня, сотрудников NTIA, сотрудников отдела IANA в ICANN, технического директора и финансового директора, а также от юридической фирмы Sidley Austin LLP.  </w:t>
      </w:r>
    </w:p>
    <w:p w:rsidR="005E5A9E" w:rsidRPr="009E7D4E" w:rsidRDefault="005E5A9E" w:rsidP="005E5A9E">
      <w:pPr>
        <w:rPr>
          <w:rFonts w:ascii="Arial Unicode MS" w:eastAsia="Arial Unicode MS" w:hAnsi="Arial Unicode MS" w:cs="Arial Unicode MS"/>
        </w:rPr>
      </w:pPr>
    </w:p>
    <w:p w:rsidR="007A47A6" w:rsidRPr="009E7D4E" w:rsidRDefault="0069547C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Благодаря заметному прогрессу в части операционных аспектов второго чернового варианта предложения CWG-Stewardship вернулась к рассмотрению постпереходных структур. В ходе проведенных в конце марта в Стамбуле очных встреч участников CWG-Stewardship группа выбрала из семи структурных моделей два варианта: внутреннюю модель и модель ICANN. На прошлой неделе в ходе дальнейшего обсуждения и использования информации, полученной от юридической фирмы, группа приняла решение сконцентрироваться на структуре, которая усилит и закрепит разделение между аспектами разработки политик (для политик, которые будут внедрены посредством функций IANA) и операционными аспектами, осуществляемыми оператором функций IANA. При этом должна сохраняться непрерывность операций и должны использоваться механизмы подотчетности и руководства, доступные в ICANN. </w:t>
      </w:r>
    </w:p>
    <w:p w:rsidR="008F0A37" w:rsidRPr="009E7D4E" w:rsidRDefault="008F0A37" w:rsidP="005E5A9E">
      <w:pPr>
        <w:rPr>
          <w:rFonts w:ascii="Arial Unicode MS" w:eastAsia="Arial Unicode MS" w:hAnsi="Arial Unicode MS" w:cs="Arial Unicode MS"/>
        </w:rPr>
      </w:pPr>
    </w:p>
    <w:p w:rsidR="00A55417" w:rsidRPr="009E7D4E" w:rsidRDefault="00A55417" w:rsidP="005E5A9E">
      <w:pPr>
        <w:rPr>
          <w:rFonts w:ascii="Arial Unicode MS" w:eastAsia="Arial Unicode MS" w:hAnsi="Arial Unicode MS" w:cs="Arial Unicode MS"/>
        </w:rPr>
      </w:pPr>
    </w:p>
    <w:p w:rsidR="007A47A6" w:rsidRPr="009E7D4E" w:rsidRDefault="00A55417" w:rsidP="005E5A9E">
      <w:pPr>
        <w:rPr>
          <w:rFonts w:ascii="Arial Unicode MS" w:eastAsia="Arial Unicode MS" w:hAnsi="Arial Unicode MS" w:cs="Arial Unicode MS"/>
          <w:b/>
        </w:rPr>
      </w:pPr>
      <w:r w:rsidRPr="009E7D4E">
        <w:rPr>
          <w:rFonts w:ascii="Arial Unicode MS" w:eastAsia="Arial Unicode MS" w:hAnsi="Arial Unicode MS" w:cs="Arial Unicode MS"/>
          <w:b/>
        </w:rPr>
        <w:t>СОДЕРЖАНИЕ ВТОРОГО ЧЕРНОВОГО ВАРИАНТА ПРЕДЛОЖЕНИЯ</w:t>
      </w:r>
    </w:p>
    <w:p w:rsidR="00A55417" w:rsidRPr="009E7D4E" w:rsidRDefault="00A55417" w:rsidP="005E5A9E">
      <w:pPr>
        <w:rPr>
          <w:rFonts w:ascii="Arial Unicode MS" w:eastAsia="Arial Unicode MS" w:hAnsi="Arial Unicode MS" w:cs="Arial Unicode MS"/>
        </w:rPr>
      </w:pPr>
    </w:p>
    <w:p w:rsidR="008E0C59" w:rsidRPr="009E7D4E" w:rsidRDefault="003906DD" w:rsidP="008E0C59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Чтобы удовлетворить ожидания сообщества по вопросам координирующей роли в осуществлении функций IANA, связанных с распределением имен, CWG-Stewardship,</w:t>
      </w:r>
      <w:r w:rsidRPr="009E7D4E">
        <w:rPr>
          <w:rFonts w:ascii="Arial Unicode MS" w:eastAsia="Arial Unicode MS" w:hAnsi="Arial Unicode MS" w:cs="Arial Unicode MS"/>
          <w:sz w:val="22"/>
        </w:rPr>
        <w:t xml:space="preserve"> </w:t>
      </w:r>
      <w:r w:rsidRPr="009E7D4E">
        <w:rPr>
          <w:rFonts w:ascii="Arial Unicode MS" w:eastAsia="Arial Unicode MS" w:hAnsi="Arial Unicode MS" w:cs="Arial Unicode MS"/>
        </w:rPr>
        <w:t>исходя из текущей удовлетворенности работой отдела IANA в ICANN и из того, что ICANN должна сохранить за собой полномочия оператора функций IANA, согласилась, что в предложении о передаче функций потребуются указанные ниже элементы для сообщества распределения имен.</w:t>
      </w:r>
    </w:p>
    <w:p w:rsidR="00DC0138" w:rsidRPr="009E7D4E" w:rsidRDefault="00DC0138" w:rsidP="008E0C59">
      <w:pPr>
        <w:rPr>
          <w:rFonts w:ascii="Arial Unicode MS" w:eastAsia="Arial Unicode MS" w:hAnsi="Arial Unicode MS" w:cs="Arial Unicode MS"/>
        </w:rPr>
      </w:pPr>
    </w:p>
    <w:p w:rsidR="00DC0138" w:rsidRPr="009E7D4E" w:rsidRDefault="008E0C59" w:rsidP="00DC0138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Контракт, аналогичный текущему контракту на осуществление функции IANA, для осуществления функций IANA в постпереходный период.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DC0138" w:rsidRPr="009E7D4E" w:rsidRDefault="008E0C59" w:rsidP="00DC0138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Предоставление сообществу нескольких заинтересованных сторон гарантий того, что в отношении операций IANA ICANN действует согласно его запросам. 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DC0138" w:rsidRPr="009E7D4E" w:rsidRDefault="00913F8E" w:rsidP="00DC0138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Дополнительная изоляция (при необходимости) между операционными обязанностями и обязанностями по созданию политик, а также меры по защите оператора функций IANA.  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8E0C59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Механизм утверждения изменений среды корневой зоны (с прекращением надзора со стороны NTIA).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8E0C59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Адекватное финансирование функций IANA со стороны ICANN.</w:t>
      </w:r>
    </w:p>
    <w:p w:rsidR="00780089" w:rsidRPr="009E7D4E" w:rsidRDefault="00780089" w:rsidP="00C20F22">
      <w:pPr>
        <w:pStyle w:val="ListParagraph"/>
        <w:rPr>
          <w:rFonts w:ascii="Arial Unicode MS" w:eastAsia="Arial Unicode MS" w:hAnsi="Arial Unicode MS" w:cs="Arial Unicode MS"/>
        </w:rPr>
      </w:pPr>
    </w:p>
    <w:p w:rsidR="00780089" w:rsidRPr="009E7D4E" w:rsidRDefault="00780089" w:rsidP="00780089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Возможность для сообщества нескольких заинтересованных сторон (при необходимости и после проведения основательных мероприятий по коррекции) запрашивать выборы нового оператора функций IANA.</w:t>
      </w:r>
    </w:p>
    <w:p w:rsidR="00C652A8" w:rsidRPr="009E7D4E" w:rsidRDefault="00C652A8" w:rsidP="008E0C59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8E0C59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Кроме того, CWG-Stewardship согласилась, что в постпереходный период для изменения содержимого корневой зоны больше не потребуется авторизация, а для внешних связей и отчетности не нужно будет одобрение внешней организации. Во втором черновом варианте предложения предпринята попытка удовлетворить все вышеперечисленные требования указанным ниже путем.</w:t>
      </w:r>
    </w:p>
    <w:p w:rsidR="00DC0138" w:rsidRPr="009E7D4E" w:rsidRDefault="00DC0138" w:rsidP="008E0C59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D465DA">
      <w:pPr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Создание «постпереходной» IANA (Post-Transition IANA, PTI), представляющей собой отдельное юридическое лицо в виде филиала, которая была бы «дочерней компанией со стопроцентным капиталом» ICANN. В части услуг IANA по распределению имен создание PTI позволяет выполнить функциональное и юридическое разделение в рамках ICANN: между PTI и ICANN будет заключен контракт, который предоставит PTI права и обязанности оператора функций IANA. Функции IANA останутся за ICANN и будут контролироваться как уже существующими механизмам подотчетности, так и механизмами, разрабатываемыми рабочей группой, состоящей из представителей нескольких сообществ и отвечающей за усиление подотчетности ICANN (Cross Community Working Group on Enhancing ICANN Accountability, CCWG-Accountability).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8E0C59">
      <w:pPr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Создание Постоянного комитета заказчиков (Customer Standing Committee, CSC), отслеживающего соответствие работы оператора функций IANA требованиям контракта и соблюдение им необходимых уровней обслуживания. CSC будет решать проблемы непосредственно с оператором функций IANA или, если невозможно решить какие-либо </w:t>
      </w:r>
      <w:r w:rsidRPr="009E7D4E">
        <w:rPr>
          <w:rFonts w:ascii="Arial Unicode MS" w:eastAsia="Arial Unicode MS" w:hAnsi="Arial Unicode MS" w:cs="Arial Unicode MS"/>
        </w:rPr>
        <w:lastRenderedPageBreak/>
        <w:t>проблемы таким путем, будет передавать их в вышестоящие органы.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7"/>
      </w:r>
      <w:r w:rsidRPr="009E7D4E">
        <w:rPr>
          <w:rFonts w:ascii="Arial Unicode MS" w:eastAsia="Arial Unicode MS" w:hAnsi="Arial Unicode MS" w:cs="Arial Unicode MS"/>
        </w:rPr>
        <w:t xml:space="preserve"> Кроме того, при необходимости CSC сможет инициировать особую проверку PTI. 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8E0C59" w:rsidRPr="009E7D4E" w:rsidRDefault="008E0C59" w:rsidP="008E0C59">
      <w:pPr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Создание ряда механизмов для эффективного решения проблем. Такой путь передачи проблем в вышестоящие органы содержит процедуры преобразования, необходимые для использования текущих процессов решения проблем IANA, а также новый этап управления проблемами, включающий механизмы реагирования на постоянные проблемы, связанные с работой, или на системные проблемы. Путь передачи проблем в вышестоящие органы содержит ключевую зависимость от информации, получаемой от CCWG-Accountability, так как он подразумевает использование некоторых механизмов подотчетности ICANN. </w:t>
      </w:r>
    </w:p>
    <w:p w:rsidR="00516C72" w:rsidRPr="009E7D4E" w:rsidRDefault="00516C72" w:rsidP="00516C72">
      <w:pPr>
        <w:rPr>
          <w:rFonts w:ascii="Arial Unicode MS" w:eastAsia="Arial Unicode MS" w:hAnsi="Arial Unicode MS" w:cs="Arial Unicode MS"/>
        </w:rPr>
      </w:pPr>
    </w:p>
    <w:p w:rsidR="00516C72" w:rsidRPr="009E7D4E" w:rsidRDefault="008E0C59" w:rsidP="00516C72">
      <w:pPr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Гарантия того, что ICANN будет учитывать информацию, получаемую из сообщества нескольких заинтересованных сторон касательно бюджета операций IANA. </w:t>
      </w:r>
    </w:p>
    <w:p w:rsidR="00516C72" w:rsidRPr="009E7D4E" w:rsidRDefault="00516C72" w:rsidP="00516C72">
      <w:pPr>
        <w:ind w:left="720"/>
        <w:rPr>
          <w:rFonts w:ascii="Arial Unicode MS" w:eastAsia="Arial Unicode MS" w:hAnsi="Arial Unicode MS" w:cs="Arial Unicode MS"/>
        </w:rPr>
      </w:pPr>
    </w:p>
    <w:p w:rsidR="00C652A8" w:rsidRPr="009E7D4E" w:rsidRDefault="008E0C59" w:rsidP="00FF242A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Создание структуры для утверждения изменений, вносимых в среду корневой зоны (с прекращением надзора со стороны NTIA).</w:t>
      </w:r>
    </w:p>
    <w:p w:rsidR="00BE4DF8" w:rsidRPr="009E7D4E" w:rsidRDefault="00BE4DF8" w:rsidP="00C20F22">
      <w:pPr>
        <w:rPr>
          <w:rFonts w:ascii="Arial Unicode MS" w:eastAsia="Arial Unicode MS" w:hAnsi="Arial Unicode MS" w:cs="Arial Unicode MS"/>
        </w:rPr>
      </w:pPr>
    </w:p>
    <w:p w:rsidR="00BE4DF8" w:rsidRPr="009E7D4E" w:rsidRDefault="00BE4DF8" w:rsidP="00BE4DF8">
      <w:pPr>
        <w:numPr>
          <w:ilvl w:val="0"/>
          <w:numId w:val="11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Создание несколькими заинтересованными сторонами Комитета по проверкам функций IANA, который будет выполнять периодические и особые проверки PTI.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8"/>
      </w:r>
      <w:r w:rsidRPr="009E7D4E">
        <w:rPr>
          <w:rFonts w:ascii="Arial Unicode MS" w:eastAsia="Arial Unicode MS" w:hAnsi="Arial Unicode MS" w:cs="Arial Unicode MS"/>
        </w:rPr>
        <w:t xml:space="preserve"> Результаты работы такого Комитета не регламентированы и не ограничены. Они могут включать рекомендации Правлению ICANN не продлевать контракт с PTI на осуществление функций IANA.</w:t>
      </w:r>
    </w:p>
    <w:p w:rsidR="00FF242A" w:rsidRPr="009E7D4E" w:rsidRDefault="00FF242A" w:rsidP="00FF242A">
      <w:pPr>
        <w:rPr>
          <w:rFonts w:ascii="Arial Unicode MS" w:eastAsia="Arial Unicode MS" w:hAnsi="Arial Unicode MS" w:cs="Arial Unicode MS"/>
        </w:rPr>
      </w:pPr>
    </w:p>
    <w:p w:rsidR="00D65E7E" w:rsidRPr="009E7D4E" w:rsidRDefault="00D65E7E" w:rsidP="00D65E7E">
      <w:pPr>
        <w:rPr>
          <w:rFonts w:ascii="Arial Unicode MS" w:eastAsia="Arial Unicode MS" w:hAnsi="Arial Unicode MS" w:cs="Arial Unicode MS"/>
        </w:rPr>
      </w:pPr>
    </w:p>
    <w:p w:rsidR="00C652A8" w:rsidRPr="009E7D4E" w:rsidRDefault="008F0A37" w:rsidP="00D65E7E">
      <w:pPr>
        <w:rPr>
          <w:rFonts w:ascii="Arial Unicode MS" w:eastAsia="Arial Unicode MS" w:hAnsi="Arial Unicode MS" w:cs="Arial Unicode MS"/>
          <w:b/>
        </w:rPr>
      </w:pPr>
      <w:r w:rsidRPr="009E7D4E">
        <w:rPr>
          <w:rFonts w:ascii="Arial Unicode MS" w:eastAsia="Arial Unicode MS" w:hAnsi="Arial Unicode MS" w:cs="Arial Unicode MS"/>
          <w:b/>
        </w:rPr>
        <w:t>ЗАВИСИМОСТИ ОТ CCWG-ACCOUNTABILITY</w:t>
      </w:r>
    </w:p>
    <w:p w:rsidR="007C167B" w:rsidRPr="009E7D4E" w:rsidRDefault="007C167B" w:rsidP="00D65E7E">
      <w:pPr>
        <w:rPr>
          <w:rFonts w:ascii="Arial Unicode MS" w:eastAsia="Arial Unicode MS" w:hAnsi="Arial Unicode MS" w:cs="Arial Unicode MS"/>
        </w:rPr>
      </w:pPr>
    </w:p>
    <w:p w:rsidR="00D65E7E" w:rsidRPr="009E7D4E" w:rsidRDefault="00C953DD" w:rsidP="00D65E7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lastRenderedPageBreak/>
        <w:t>Предложение CWG-Stewardship зависит от процесса CCWG-Accountability и явно обусловлено им. В частности, предложение подразумевает подотчетность ICANN в указанных ниже аспектах.</w:t>
      </w:r>
    </w:p>
    <w:p w:rsidR="007C167B" w:rsidRPr="009E7D4E" w:rsidRDefault="007C167B" w:rsidP="00D65E7E">
      <w:pPr>
        <w:rPr>
          <w:rFonts w:ascii="Arial Unicode MS" w:eastAsia="Arial Unicode MS" w:hAnsi="Arial Unicode MS" w:cs="Arial Unicode MS"/>
        </w:rPr>
      </w:pPr>
    </w:p>
    <w:p w:rsidR="00D65E7E" w:rsidRPr="009E7D4E" w:rsidRDefault="00D65E7E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Предоставление сообществу большего количества прав при разработке и рассмотрении бюджета ICANN.</w:t>
      </w:r>
    </w:p>
    <w:p w:rsidR="007C167B" w:rsidRPr="009E7D4E" w:rsidRDefault="007C167B" w:rsidP="007C167B">
      <w:pPr>
        <w:rPr>
          <w:rFonts w:ascii="Arial Unicode MS" w:eastAsia="Arial Unicode MS" w:hAnsi="Arial Unicode MS" w:cs="Arial Unicode MS"/>
        </w:rPr>
      </w:pPr>
    </w:p>
    <w:p w:rsidR="00D65E7E" w:rsidRPr="009E7D4E" w:rsidRDefault="007C167B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Предоставление сообществу нескольких заинтересованных сторон определенных прав в Правлении ICANN, включая права на надзор за операциями IANA. В частности, это подразумевает возможность назначать и исключать членов Правления ICANN, а также отзывать все Правление. </w:t>
      </w:r>
    </w:p>
    <w:p w:rsidR="007C167B" w:rsidRPr="009E7D4E" w:rsidRDefault="007C167B" w:rsidP="007C167B">
      <w:pPr>
        <w:rPr>
          <w:rFonts w:ascii="Arial Unicode MS" w:eastAsia="Arial Unicode MS" w:hAnsi="Arial Unicode MS" w:cs="Arial Unicode MS"/>
        </w:rPr>
      </w:pPr>
    </w:p>
    <w:p w:rsidR="00D65E7E" w:rsidRPr="009E7D4E" w:rsidRDefault="007C167B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В устав ICANN необходимо включить сведения о Комитете по проверкам функций IANA, созданном для выполнения периодических и особых проверок функций IANA. </w:t>
      </w:r>
    </w:p>
    <w:p w:rsidR="007C167B" w:rsidRPr="009E7D4E" w:rsidRDefault="007C167B" w:rsidP="007C167B">
      <w:pPr>
        <w:rPr>
          <w:rFonts w:ascii="Arial Unicode MS" w:eastAsia="Arial Unicode MS" w:hAnsi="Arial Unicode MS" w:cs="Arial Unicode MS"/>
        </w:rPr>
      </w:pPr>
    </w:p>
    <w:p w:rsidR="007C167B" w:rsidRPr="009E7D4E" w:rsidRDefault="007C167B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В устав ICANN необходимо включить сведения о CSC, созданном для отслеживания выполнения функций IANA и передачи нерешенных проблем в Организацию поддержки национальных доменов и Организацию поддержки родовых имен.</w:t>
      </w:r>
      <w:r w:rsidRPr="009E7D4E">
        <w:rPr>
          <w:rStyle w:val="FootnoteReference"/>
          <w:rFonts w:ascii="Arial Unicode MS" w:eastAsia="Arial Unicode MS" w:hAnsi="Arial Unicode MS" w:cs="Arial Unicode MS"/>
        </w:rPr>
        <w:footnoteReference w:id="9"/>
      </w:r>
      <w:r w:rsidRPr="009E7D4E">
        <w:rPr>
          <w:rFonts w:ascii="Arial Unicode MS" w:eastAsia="Arial Unicode MS" w:hAnsi="Arial Unicode MS" w:cs="Arial Unicode MS"/>
        </w:rPr>
        <w:t xml:space="preserve"> </w:t>
      </w:r>
    </w:p>
    <w:p w:rsidR="007C167B" w:rsidRPr="009E7D4E" w:rsidRDefault="007C167B" w:rsidP="007C167B">
      <w:pPr>
        <w:rPr>
          <w:rFonts w:ascii="Arial Unicode MS" w:eastAsia="Arial Unicode MS" w:hAnsi="Arial Unicode MS" w:cs="Arial Unicode MS"/>
        </w:rPr>
      </w:pPr>
    </w:p>
    <w:p w:rsidR="00D65E7E" w:rsidRPr="009E7D4E" w:rsidRDefault="00B44C15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Процессы и органы контроля подотчетности, разрабатываемые CCWG-Accountability, например Независимая контрольная комиссия, должны быть применимы к функциям IANA и доступны управляющим доменами верхнего уровня, если те хотят использовать такие механизмы. </w:t>
      </w:r>
    </w:p>
    <w:p w:rsidR="007C167B" w:rsidRPr="009E7D4E" w:rsidRDefault="007C167B" w:rsidP="007C167B">
      <w:pPr>
        <w:rPr>
          <w:rFonts w:ascii="Arial Unicode MS" w:eastAsia="Arial Unicode MS" w:hAnsi="Arial Unicode MS" w:cs="Arial Unicode MS"/>
        </w:rPr>
      </w:pPr>
    </w:p>
    <w:p w:rsidR="00D65E7E" w:rsidRPr="009E7D4E" w:rsidRDefault="00D65E7E" w:rsidP="008F0A37">
      <w:pPr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>Все вышеупомянутые механизмы должны быть указаны в уставе ICANN в виде «фундаментальных положений», требующих увеличения объема прав сообщества при внесении изменений.</w:t>
      </w:r>
    </w:p>
    <w:p w:rsidR="00D65E7E" w:rsidRPr="009E7D4E" w:rsidRDefault="00D65E7E" w:rsidP="005E5A9E">
      <w:pPr>
        <w:rPr>
          <w:rFonts w:ascii="Arial Unicode MS" w:eastAsia="Arial Unicode MS" w:hAnsi="Arial Unicode MS" w:cs="Arial Unicode MS"/>
        </w:rPr>
      </w:pPr>
    </w:p>
    <w:p w:rsidR="00A55417" w:rsidRPr="009E7D4E" w:rsidRDefault="00A55417" w:rsidP="005E5A9E">
      <w:pPr>
        <w:rPr>
          <w:rFonts w:ascii="Arial Unicode MS" w:eastAsia="Arial Unicode MS" w:hAnsi="Arial Unicode MS" w:cs="Arial Unicode MS"/>
        </w:rPr>
      </w:pPr>
    </w:p>
    <w:p w:rsidR="00A55417" w:rsidRPr="009E7D4E" w:rsidRDefault="00A55417" w:rsidP="005E5A9E">
      <w:pPr>
        <w:rPr>
          <w:rFonts w:ascii="Arial Unicode MS" w:eastAsia="Arial Unicode MS" w:hAnsi="Arial Unicode MS" w:cs="Arial Unicode MS"/>
          <w:b/>
        </w:rPr>
      </w:pPr>
      <w:r w:rsidRPr="009E7D4E">
        <w:rPr>
          <w:rFonts w:ascii="Arial Unicode MS" w:eastAsia="Arial Unicode MS" w:hAnsi="Arial Unicode MS" w:cs="Arial Unicode MS"/>
          <w:b/>
        </w:rPr>
        <w:t xml:space="preserve">ДАЛЬНЕЙШАЯ РАБОТА </w:t>
      </w:r>
    </w:p>
    <w:p w:rsidR="00A55417" w:rsidRPr="009E7D4E" w:rsidRDefault="00A55417" w:rsidP="005E5A9E">
      <w:pPr>
        <w:rPr>
          <w:rFonts w:ascii="Arial Unicode MS" w:eastAsia="Arial Unicode MS" w:hAnsi="Arial Unicode MS" w:cs="Arial Unicode MS"/>
        </w:rPr>
      </w:pPr>
    </w:p>
    <w:p w:rsidR="00D65E7E" w:rsidRPr="009E7D4E" w:rsidRDefault="00A55417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За последние шесть месяцев CWG-Stewardship достигла значительного прогресса и будет продолжать неустанную работу до момента предоставления ICG своего окончательного предложения в июне 2015 г. До той поры необходимо пройти несколько этапов, включая тщательный анализ результатов общественного </w:t>
      </w:r>
      <w:r w:rsidRPr="009E7D4E">
        <w:rPr>
          <w:rFonts w:ascii="Arial Unicode MS" w:eastAsia="Arial Unicode MS" w:hAnsi="Arial Unicode MS" w:cs="Arial Unicode MS"/>
        </w:rPr>
        <w:lastRenderedPageBreak/>
        <w:t xml:space="preserve">обсуждения второго чернового варианта предложения, выработку окончательного варианта предложения в CWG-Stewardship и передачу его на утверждение в организации поддержки и консультативные комитеты. </w:t>
      </w:r>
    </w:p>
    <w:p w:rsidR="00D65E7E" w:rsidRPr="009E7D4E" w:rsidRDefault="00D65E7E" w:rsidP="005E5A9E">
      <w:pPr>
        <w:rPr>
          <w:rFonts w:ascii="Arial Unicode MS" w:eastAsia="Arial Unicode MS" w:hAnsi="Arial Unicode MS" w:cs="Arial Unicode MS"/>
        </w:rPr>
      </w:pPr>
    </w:p>
    <w:p w:rsidR="00A55417" w:rsidRPr="009E7D4E" w:rsidRDefault="00A55417" w:rsidP="005E5A9E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Во время общественного обсуждения чернового варианта предложения CWG-Stewardship по-прежнему будет оценивать возможные последствия использования предложенной постпереходной структуры (раздел IV) и выполнения требований NTIA (раздел V). Для разработки этих разделов необходимо завершить работу над разделом III, поэтому в настоящее время они находятся только в состоянии проекта. </w:t>
      </w:r>
    </w:p>
    <w:p w:rsidR="00D65E7E" w:rsidRPr="009E7D4E" w:rsidRDefault="00D65E7E" w:rsidP="005E5A9E">
      <w:pPr>
        <w:rPr>
          <w:rFonts w:ascii="Arial Unicode MS" w:eastAsia="Arial Unicode MS" w:hAnsi="Arial Unicode MS" w:cs="Arial Unicode MS"/>
        </w:rPr>
      </w:pPr>
    </w:p>
    <w:p w:rsidR="005E5A9E" w:rsidRPr="009E7D4E" w:rsidRDefault="00D65E7E" w:rsidP="001F5647">
      <w:pPr>
        <w:rPr>
          <w:rFonts w:ascii="Arial Unicode MS" w:eastAsia="Arial Unicode MS" w:hAnsi="Arial Unicode MS" w:cs="Arial Unicode MS"/>
        </w:rPr>
      </w:pPr>
      <w:r w:rsidRPr="009E7D4E">
        <w:rPr>
          <w:rFonts w:ascii="Arial Unicode MS" w:eastAsia="Arial Unicode MS" w:hAnsi="Arial Unicode MS" w:cs="Arial Unicode MS"/>
        </w:rPr>
        <w:t xml:space="preserve">Кроме того, CWG-Stewardship по-прежнему будет координировать свои действия с CCWG-Accountability, чтобы адекватно разрабатывать зависимости, влияющие на предложение CWG-Stewardship. </w:t>
      </w:r>
    </w:p>
    <w:sectPr w:rsidR="005E5A9E" w:rsidRPr="009E7D4E" w:rsidSect="00D22B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9" w:rsidRDefault="00E21739" w:rsidP="004273E2">
      <w:r>
        <w:separator/>
      </w:r>
    </w:p>
  </w:endnote>
  <w:endnote w:type="continuationSeparator" w:id="0">
    <w:p w:rsidR="00E21739" w:rsidRDefault="00E21739" w:rsidP="0042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9" w:rsidRDefault="00E21739" w:rsidP="004273E2">
      <w:r>
        <w:separator/>
      </w:r>
    </w:p>
  </w:footnote>
  <w:footnote w:type="continuationSeparator" w:id="0">
    <w:p w:rsidR="00E21739" w:rsidRDefault="00E21739" w:rsidP="004273E2">
      <w:r>
        <w:continuationSeparator/>
      </w:r>
    </w:p>
  </w:footnote>
  <w:footnote w:id="1">
    <w:p w:rsidR="00082590" w:rsidRPr="00D65E7E" w:rsidRDefault="00082590" w:rsidP="00BB5AE5">
      <w:pPr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В марте 2014 г. Национальное управление по телекоммуникациям и информации (NTIA) Министерства торговли США объявило о намерении снять с себя координирующую роль в осуществлении функций IANA и связанную с ней функцию управления корневой зоной. К этому процессу была привлечена организация ICANN. В июне 2014 г. после ряда консультаций в сообществе ICANN объявила о создании координационной группы по передаче координирующей роли в осуществлении функций IANA (ICG), отвечающей за подготовку предложения по передаче функций IANA, отражающего потребности различных задействованных сторон. В сентябре 2014 г. ICG опубликовала свой запрос на предложения, доступный по следующему адресу: </w:t>
      </w:r>
      <w:hyperlink r:id="rId1">
        <w:r>
          <w:rPr>
            <w:rStyle w:val="Hyperlink"/>
            <w:rFonts w:ascii="Arial" w:hAnsi="Arial"/>
            <w:sz w:val="20"/>
          </w:rPr>
          <w:t>https://www.icann.org/news/announcement-3-2014-09-03-en</w:t>
        </w:r>
      </w:hyperlink>
      <w:r>
        <w:rPr>
          <w:rFonts w:ascii="Arial" w:hAnsi="Arial"/>
          <w:sz w:val="20"/>
        </w:rPr>
        <w:t xml:space="preserve">.  </w:t>
      </w:r>
    </w:p>
  </w:footnote>
  <w:footnote w:id="2">
    <w:p w:rsidR="00082590" w:rsidRPr="00D65E7E" w:rsidRDefault="00082590" w:rsidP="00D65E7E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На первом заседании CWG-Stewardship присутствовало 19 членов из организаций поддержки и консультативных комитетов и 57 индивидуальных участников. Сегодня количество индивидуальных участников достигло 131. Полный список членов и участников доступен по следующему адресу: </w:t>
      </w:r>
      <w:hyperlink r:id="rId2">
        <w:r>
          <w:rPr>
            <w:rStyle w:val="Hyperlink"/>
            <w:rFonts w:ascii="Arial" w:hAnsi="Arial"/>
            <w:sz w:val="20"/>
          </w:rPr>
          <w:t>https://community.icann.org/x/1QrxAg</w:t>
        </w:r>
      </w:hyperlink>
      <w:r>
        <w:rPr>
          <w:rFonts w:ascii="Arial" w:hAnsi="Arial"/>
          <w:sz w:val="20"/>
        </w:rPr>
        <w:t xml:space="preserve">.  </w:t>
      </w:r>
    </w:p>
  </w:footnote>
  <w:footnote w:id="3">
    <w:p w:rsidR="00082590" w:rsidRPr="00D65E7E" w:rsidRDefault="00082590" w:rsidP="00D65E7E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В первый раз ICG попросила предоставить ответы на свой запрос к 15 января 2015 г.   </w:t>
      </w:r>
    </w:p>
  </w:footnote>
  <w:footnote w:id="4">
    <w:p w:rsidR="00082590" w:rsidRPr="00D65E7E" w:rsidRDefault="00082590" w:rsidP="000E2D8B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Рассматривались следующие семь моделей: две полностью внешние (представленные организациями Contract Co. и External Trust), две полностью внутренние (модель, предоставленная организацией Internal Trust, и модель ICANN с расширенными возможностями подотчетности и управления), а также три варианта интегрированной модели (независимая организация, некорпоративная ассоциация и филиал). Подробные сведения об обсуждении моделей см. в материалах заседаний № 31 и № 32, проведенных в Стамбуле, по следующей ссылке: </w:t>
      </w:r>
      <w:hyperlink r:id="rId3">
        <w:r>
          <w:rPr>
            <w:rStyle w:val="Hyperlink"/>
            <w:rFonts w:ascii="Arial" w:hAnsi="Arial"/>
            <w:sz w:val="20"/>
          </w:rPr>
          <w:t>https://community.icann.org/x/1QonAw</w:t>
        </w:r>
      </w:hyperlink>
      <w:r>
        <w:rPr>
          <w:rFonts w:ascii="Arial" w:hAnsi="Arial"/>
          <w:sz w:val="20"/>
        </w:rPr>
        <w:t>.</w:t>
      </w:r>
    </w:p>
  </w:footnote>
  <w:footnote w:id="5">
    <w:p w:rsidR="00082590" w:rsidRPr="00D65E7E" w:rsidRDefault="00082590" w:rsidP="00D65E7E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15 января CWG-Stewardship начала поиск независимого совета юристов, не связанного с ICANN. В результате 6 марта 2015г. было принято решение продолжить работу с компанией Sidley Austin LLP. Дополнительные сведения о работе с этой компанией см. по следующей ссылке: </w:t>
      </w:r>
      <w:hyperlink r:id="rId4">
        <w:r>
          <w:rPr>
            <w:rStyle w:val="Hyperlink"/>
            <w:rFonts w:ascii="Arial" w:hAnsi="Arial"/>
            <w:sz w:val="20"/>
          </w:rPr>
          <w:t>https://community.icann.org/x/8g8nAw</w:t>
        </w:r>
      </w:hyperlink>
      <w:r>
        <w:rPr>
          <w:rFonts w:ascii="Arial" w:hAnsi="Arial"/>
          <w:sz w:val="20"/>
        </w:rPr>
        <w:t xml:space="preserve">. </w:t>
      </w:r>
    </w:p>
  </w:footnote>
  <w:footnote w:id="6">
    <w:p w:rsidR="00082590" w:rsidRPr="00D65E7E" w:rsidRDefault="00082590" w:rsidP="00D65E7E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Подробный список участников проектных групп и сведения об областях их работы см. по следующей ссылке: </w:t>
      </w:r>
      <w:hyperlink r:id="rId5">
        <w:r>
          <w:rPr>
            <w:rStyle w:val="Hyperlink"/>
            <w:rFonts w:ascii="Arial" w:hAnsi="Arial"/>
            <w:sz w:val="20"/>
          </w:rPr>
          <w:t>https://community.icann.org/x/qgwnAw</w:t>
        </w:r>
      </w:hyperlink>
      <w:r>
        <w:rPr>
          <w:rFonts w:ascii="Arial" w:hAnsi="Arial"/>
          <w:sz w:val="20"/>
        </w:rPr>
        <w:t xml:space="preserve">. </w:t>
      </w:r>
    </w:p>
  </w:footnote>
  <w:footnote w:id="7">
    <w:p w:rsidR="00082590" w:rsidRPr="008F0A37" w:rsidRDefault="00082590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Необязательно, чтобы CSC был юридическим лицом. Его можно организовать согласно основополагающим документам ICANN или в рамках контракта на осуществление функций IANA, заключенного между ICANN и PTI.</w:t>
      </w:r>
    </w:p>
  </w:footnote>
  <w:footnote w:id="8">
    <w:p w:rsidR="00082590" w:rsidRPr="002151F7" w:rsidRDefault="00082590" w:rsidP="00BE4DF8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Комитет по проверкам функций IANA будет созываться на периодической основе (первая проверка будет выполнена через два года после завершения перехода, а затем она будет выполняться не реже одного раза в пять лет). Кроме того, в определенных обстоятельствах могут проводиться особые проверки. Комитет может быть создан как согласно основополагающим документам ICANN, так и в рамках контракта на осуществление функций IANA, заключенного между ICANN и PTI.</w:t>
      </w:r>
    </w:p>
  </w:footnote>
  <w:footnote w:id="9">
    <w:p w:rsidR="00082590" w:rsidRPr="007C167B" w:rsidRDefault="00082590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Если возможны ситуации, когда Организация поддержки национальных имен и Организация поддержки родовых имен не имеют права решать проблемы, переданные им CSC, то такие ситуации должны быть учтены в уставе ICANN.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BB1"/>
    <w:multiLevelType w:val="hybridMultilevel"/>
    <w:tmpl w:val="6A7C9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1CCC"/>
    <w:multiLevelType w:val="hybridMultilevel"/>
    <w:tmpl w:val="06A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5D68"/>
    <w:multiLevelType w:val="hybridMultilevel"/>
    <w:tmpl w:val="6EC846F8"/>
    <w:lvl w:ilvl="0" w:tplc="DCA68696">
      <w:start w:val="1"/>
      <w:numFmt w:val="lowerLetter"/>
      <w:lvlText w:val="(%1)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742"/>
    <w:multiLevelType w:val="multilevel"/>
    <w:tmpl w:val="CF3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F52AC"/>
    <w:multiLevelType w:val="hybridMultilevel"/>
    <w:tmpl w:val="EFA40A8C"/>
    <w:lvl w:ilvl="0" w:tplc="95AC6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CA68696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4449"/>
    <w:multiLevelType w:val="hybridMultilevel"/>
    <w:tmpl w:val="6EC846F8"/>
    <w:lvl w:ilvl="0" w:tplc="DCA68696">
      <w:start w:val="1"/>
      <w:numFmt w:val="lowerLetter"/>
      <w:lvlText w:val="(%1)"/>
      <w:lvlJc w:val="left"/>
      <w:pPr>
        <w:ind w:left="25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0C47"/>
    <w:multiLevelType w:val="hybridMultilevel"/>
    <w:tmpl w:val="ABB6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D2BA26">
      <w:start w:val="1"/>
      <w:numFmt w:val="lowerLetter"/>
      <w:lvlText w:val="%2."/>
      <w:lvlJc w:val="left"/>
      <w:pPr>
        <w:ind w:left="252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3B2"/>
    <w:multiLevelType w:val="hybridMultilevel"/>
    <w:tmpl w:val="C632E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7D2C"/>
    <w:multiLevelType w:val="hybridMultilevel"/>
    <w:tmpl w:val="CBD4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5507"/>
    <w:multiLevelType w:val="hybridMultilevel"/>
    <w:tmpl w:val="6EC846F8"/>
    <w:lvl w:ilvl="0" w:tplc="DCA68696">
      <w:start w:val="1"/>
      <w:numFmt w:val="lowerLetter"/>
      <w:lvlText w:val="(%1)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338"/>
    <w:multiLevelType w:val="hybridMultilevel"/>
    <w:tmpl w:val="1B66A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66D31"/>
    <w:multiLevelType w:val="hybridMultilevel"/>
    <w:tmpl w:val="6EC846F8"/>
    <w:lvl w:ilvl="0" w:tplc="DCA68696">
      <w:start w:val="1"/>
      <w:numFmt w:val="lowerLetter"/>
      <w:lvlText w:val="(%1)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0C86"/>
    <w:multiLevelType w:val="hybridMultilevel"/>
    <w:tmpl w:val="2B5E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8696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7"/>
    <w:rsid w:val="00064460"/>
    <w:rsid w:val="00082590"/>
    <w:rsid w:val="000B6573"/>
    <w:rsid w:val="000D26BB"/>
    <w:rsid w:val="000E2D8B"/>
    <w:rsid w:val="00106065"/>
    <w:rsid w:val="00106B56"/>
    <w:rsid w:val="001351C5"/>
    <w:rsid w:val="001505F3"/>
    <w:rsid w:val="0017761F"/>
    <w:rsid w:val="001F5647"/>
    <w:rsid w:val="002151F7"/>
    <w:rsid w:val="00233BD5"/>
    <w:rsid w:val="002907FA"/>
    <w:rsid w:val="002A3E25"/>
    <w:rsid w:val="002B6191"/>
    <w:rsid w:val="00341CCA"/>
    <w:rsid w:val="00372F0F"/>
    <w:rsid w:val="003906DD"/>
    <w:rsid w:val="003D3F32"/>
    <w:rsid w:val="003F084C"/>
    <w:rsid w:val="004273E2"/>
    <w:rsid w:val="00502C6B"/>
    <w:rsid w:val="00516C72"/>
    <w:rsid w:val="005D48E5"/>
    <w:rsid w:val="005E5A9E"/>
    <w:rsid w:val="00605B5A"/>
    <w:rsid w:val="0065334C"/>
    <w:rsid w:val="00660FF2"/>
    <w:rsid w:val="00690190"/>
    <w:rsid w:val="0069547C"/>
    <w:rsid w:val="007141A4"/>
    <w:rsid w:val="00726262"/>
    <w:rsid w:val="00780089"/>
    <w:rsid w:val="00786865"/>
    <w:rsid w:val="007A47A6"/>
    <w:rsid w:val="007C167B"/>
    <w:rsid w:val="007E6FEA"/>
    <w:rsid w:val="00801530"/>
    <w:rsid w:val="008E0C59"/>
    <w:rsid w:val="008F0A37"/>
    <w:rsid w:val="008F3C12"/>
    <w:rsid w:val="00913F8E"/>
    <w:rsid w:val="00922A27"/>
    <w:rsid w:val="00933758"/>
    <w:rsid w:val="00997F0F"/>
    <w:rsid w:val="009E7D4E"/>
    <w:rsid w:val="009F5957"/>
    <w:rsid w:val="00A55417"/>
    <w:rsid w:val="00A96AB4"/>
    <w:rsid w:val="00B034DB"/>
    <w:rsid w:val="00B44C15"/>
    <w:rsid w:val="00B7721B"/>
    <w:rsid w:val="00B77ADC"/>
    <w:rsid w:val="00B85751"/>
    <w:rsid w:val="00B91EB3"/>
    <w:rsid w:val="00BB5AE5"/>
    <w:rsid w:val="00BD5428"/>
    <w:rsid w:val="00BE2CC0"/>
    <w:rsid w:val="00BE4DF8"/>
    <w:rsid w:val="00C20F22"/>
    <w:rsid w:val="00C319C3"/>
    <w:rsid w:val="00C63137"/>
    <w:rsid w:val="00C652A8"/>
    <w:rsid w:val="00C72801"/>
    <w:rsid w:val="00C953DD"/>
    <w:rsid w:val="00C96623"/>
    <w:rsid w:val="00D22B09"/>
    <w:rsid w:val="00D465DA"/>
    <w:rsid w:val="00D63BB0"/>
    <w:rsid w:val="00D65E7E"/>
    <w:rsid w:val="00D83791"/>
    <w:rsid w:val="00D84D1D"/>
    <w:rsid w:val="00D9295F"/>
    <w:rsid w:val="00DC0138"/>
    <w:rsid w:val="00DD32EB"/>
    <w:rsid w:val="00DF2BFC"/>
    <w:rsid w:val="00E21739"/>
    <w:rsid w:val="00E55A79"/>
    <w:rsid w:val="00E7557C"/>
    <w:rsid w:val="00F9151C"/>
    <w:rsid w:val="00FC47F4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73E2"/>
  </w:style>
  <w:style w:type="character" w:customStyle="1" w:styleId="FootnoteTextChar">
    <w:name w:val="Footnote Text Char"/>
    <w:basedOn w:val="DefaultParagraphFont"/>
    <w:link w:val="FootnoteText"/>
    <w:uiPriority w:val="99"/>
    <w:rsid w:val="004273E2"/>
  </w:style>
  <w:style w:type="character" w:styleId="FootnoteReference">
    <w:name w:val="footnote reference"/>
    <w:basedOn w:val="DefaultParagraphFont"/>
    <w:uiPriority w:val="99"/>
    <w:unhideWhenUsed/>
    <w:rsid w:val="004273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3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B56"/>
    <w:pPr>
      <w:ind w:left="720"/>
      <w:contextualSpacing/>
    </w:pPr>
  </w:style>
  <w:style w:type="paragraph" w:styleId="Revision">
    <w:name w:val="Revision"/>
    <w:hidden/>
    <w:uiPriority w:val="99"/>
    <w:semiHidden/>
    <w:rsid w:val="008F3C12"/>
  </w:style>
  <w:style w:type="paragraph" w:styleId="Header">
    <w:name w:val="header"/>
    <w:basedOn w:val="Normal"/>
    <w:link w:val="HeaderChar"/>
    <w:uiPriority w:val="99"/>
    <w:semiHidden/>
    <w:unhideWhenUsed/>
    <w:rsid w:val="009E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7D4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E7D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7D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73E2"/>
  </w:style>
  <w:style w:type="character" w:customStyle="1" w:styleId="FootnoteTextChar">
    <w:name w:val="Footnote Text Char"/>
    <w:basedOn w:val="DefaultParagraphFont"/>
    <w:link w:val="FootnoteText"/>
    <w:uiPriority w:val="99"/>
    <w:rsid w:val="004273E2"/>
  </w:style>
  <w:style w:type="character" w:styleId="FootnoteReference">
    <w:name w:val="footnote reference"/>
    <w:basedOn w:val="DefaultParagraphFont"/>
    <w:uiPriority w:val="99"/>
    <w:unhideWhenUsed/>
    <w:rsid w:val="004273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3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B56"/>
    <w:pPr>
      <w:ind w:left="720"/>
      <w:contextualSpacing/>
    </w:pPr>
  </w:style>
  <w:style w:type="paragraph" w:styleId="Revision">
    <w:name w:val="Revision"/>
    <w:hidden/>
    <w:uiPriority w:val="99"/>
    <w:semiHidden/>
    <w:rsid w:val="008F3C12"/>
  </w:style>
  <w:style w:type="paragraph" w:styleId="Header">
    <w:name w:val="header"/>
    <w:basedOn w:val="Normal"/>
    <w:link w:val="HeaderChar"/>
    <w:uiPriority w:val="99"/>
    <w:semiHidden/>
    <w:unhideWhenUsed/>
    <w:rsid w:val="009E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7D4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E7D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7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unity.icann.org/x/1QonAw" TargetMode="External"/><Relationship Id="rId4" Type="http://schemas.openxmlformats.org/officeDocument/2006/relationships/hyperlink" Target="https://community.icann.org/x/8g8nAw" TargetMode="External"/><Relationship Id="rId5" Type="http://schemas.openxmlformats.org/officeDocument/2006/relationships/hyperlink" Target="https://community.icann.org/x/qgwnAw" TargetMode="External"/><Relationship Id="rId1" Type="http://schemas.openxmlformats.org/officeDocument/2006/relationships/hyperlink" Target="https://www.icann.org/news/announcement-3-2014-09-03-en" TargetMode="External"/><Relationship Id="rId2" Type="http://schemas.openxmlformats.org/officeDocument/2006/relationships/hyperlink" Target="https://community.icann.org/x/1Qr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0F4A0-28AD-8042-A364-A6B79EE6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1598</Words>
  <Characters>9115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Grace Abuhamad</cp:lastModifiedBy>
  <cp:revision>2</cp:revision>
  <dcterms:created xsi:type="dcterms:W3CDTF">2015-05-17T21:21:00Z</dcterms:created>
  <dcterms:modified xsi:type="dcterms:W3CDTF">2015-05-17T21:21:00Z</dcterms:modified>
</cp:coreProperties>
</file>