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988"/>
        <w:gridCol w:w="5868"/>
      </w:tblGrid>
      <w:tr w:rsidR="00060B98" w:rsidRPr="0061556B" w:rsidTr="00B44569">
        <w:tc>
          <w:tcPr>
            <w:tcW w:w="2988" w:type="dxa"/>
            <w:shd w:val="clear" w:color="auto" w:fill="B3B3B3"/>
          </w:tcPr>
          <w:p w:rsidR="00060B98" w:rsidRPr="00B264C4" w:rsidRDefault="00B264C4" w:rsidP="00B264C4">
            <w:pPr>
              <w:widowControl w:val="0"/>
              <w:autoSpaceDE w:val="0"/>
              <w:autoSpaceDN w:val="0"/>
              <w:adjustRightInd w:val="0"/>
              <w:rPr>
                <w:rFonts w:ascii="Calibri" w:hAnsi="Calibri" w:cs="Calibri"/>
                <w:b/>
                <w:bCs/>
                <w:sz w:val="22"/>
                <w:szCs w:val="22"/>
              </w:rPr>
            </w:pPr>
            <w:r>
              <w:rPr>
                <w:rFonts w:ascii="Calibri" w:hAnsi="Calibri" w:cs="Calibri"/>
                <w:b/>
                <w:bCs/>
                <w:sz w:val="22"/>
                <w:szCs w:val="22"/>
              </w:rPr>
              <w:t>Design Team F</w:t>
            </w:r>
          </w:p>
        </w:tc>
        <w:tc>
          <w:tcPr>
            <w:tcW w:w="5868" w:type="dxa"/>
            <w:shd w:val="clear" w:color="auto" w:fill="B3B3B3"/>
          </w:tcPr>
          <w:p w:rsidR="00060B98" w:rsidRPr="0061556B" w:rsidRDefault="00060B98" w:rsidP="00B44569">
            <w:pPr>
              <w:widowControl w:val="0"/>
              <w:autoSpaceDE w:val="0"/>
              <w:autoSpaceDN w:val="0"/>
              <w:adjustRightInd w:val="0"/>
              <w:rPr>
                <w:rFonts w:asciiTheme="majorHAnsi" w:hAnsiTheme="majorHAnsi" w:cs="Calibri"/>
                <w:b/>
                <w:bCs/>
                <w:sz w:val="22"/>
                <w:szCs w:val="22"/>
              </w:rPr>
            </w:pPr>
            <w:r>
              <w:rPr>
                <w:rFonts w:ascii="Calibri" w:hAnsi="Calibri"/>
                <w:b/>
                <w:color w:val="000000"/>
                <w:sz w:val="22"/>
                <w:szCs w:val="22"/>
              </w:rPr>
              <w:t>Relationship between the NTIA, IANA and the Root Zone Maintainer</w:t>
            </w:r>
          </w:p>
        </w:tc>
      </w:tr>
      <w:tr w:rsidR="00060B98" w:rsidRPr="00A65974" w:rsidTr="00B44569">
        <w:tc>
          <w:tcPr>
            <w:tcW w:w="2988" w:type="dxa"/>
          </w:tcPr>
          <w:p w:rsidR="00060B98" w:rsidRPr="00353B19" w:rsidRDefault="00060B98" w:rsidP="00B44569">
            <w:pPr>
              <w:widowControl w:val="0"/>
              <w:autoSpaceDE w:val="0"/>
              <w:autoSpaceDN w:val="0"/>
              <w:adjustRightInd w:val="0"/>
              <w:rPr>
                <w:rFonts w:ascii="Calibri" w:hAnsi="Calibri" w:cs="Calibri"/>
                <w:b/>
                <w:bCs/>
                <w:sz w:val="22"/>
                <w:szCs w:val="22"/>
              </w:rPr>
            </w:pPr>
            <w:r>
              <w:rPr>
                <w:rFonts w:ascii="Calibri" w:hAnsi="Calibri" w:cs="Calibri"/>
                <w:b/>
                <w:bCs/>
                <w:sz w:val="22"/>
                <w:szCs w:val="22"/>
              </w:rPr>
              <w:t>Draft Transition Proposal Reference</w:t>
            </w:r>
          </w:p>
        </w:tc>
        <w:tc>
          <w:tcPr>
            <w:tcW w:w="5868" w:type="dxa"/>
          </w:tcPr>
          <w:p w:rsidR="00060B98" w:rsidRPr="00A65974" w:rsidRDefault="00060B98" w:rsidP="00B44569">
            <w:pPr>
              <w:widowControl w:val="0"/>
              <w:autoSpaceDE w:val="0"/>
              <w:autoSpaceDN w:val="0"/>
              <w:adjustRightInd w:val="0"/>
              <w:rPr>
                <w:rFonts w:asciiTheme="majorHAnsi" w:hAnsiTheme="majorHAnsi" w:cs="Calibri"/>
                <w:sz w:val="22"/>
                <w:szCs w:val="22"/>
              </w:rPr>
            </w:pPr>
            <w:r w:rsidRPr="007150D1">
              <w:rPr>
                <w:rFonts w:ascii="Calibri" w:hAnsi="Calibri" w:cs="Calibri"/>
                <w:sz w:val="22"/>
                <w:szCs w:val="22"/>
              </w:rPr>
              <w:t>III.A.1.2.1</w:t>
            </w:r>
          </w:p>
        </w:tc>
      </w:tr>
      <w:tr w:rsidR="00060B98" w:rsidRPr="00353B19" w:rsidTr="00B44569">
        <w:tc>
          <w:tcPr>
            <w:tcW w:w="2988" w:type="dxa"/>
          </w:tcPr>
          <w:p w:rsidR="00060B98" w:rsidRPr="00353B19" w:rsidRDefault="00060B98" w:rsidP="00B44569">
            <w:pPr>
              <w:widowControl w:val="0"/>
              <w:autoSpaceDE w:val="0"/>
              <w:autoSpaceDN w:val="0"/>
              <w:adjustRightInd w:val="0"/>
              <w:rPr>
                <w:rFonts w:ascii="Calibri" w:hAnsi="Calibri" w:cs="Calibri"/>
                <w:b/>
                <w:bCs/>
                <w:sz w:val="22"/>
                <w:szCs w:val="22"/>
              </w:rPr>
            </w:pPr>
            <w:r w:rsidRPr="00353B19">
              <w:rPr>
                <w:rFonts w:ascii="Calibri" w:hAnsi="Calibri" w:cs="Calibri"/>
                <w:b/>
                <w:bCs/>
                <w:sz w:val="22"/>
                <w:szCs w:val="22"/>
              </w:rPr>
              <w:t>Summary Description</w:t>
            </w:r>
          </w:p>
        </w:tc>
        <w:tc>
          <w:tcPr>
            <w:tcW w:w="5868" w:type="dxa"/>
          </w:tcPr>
          <w:p w:rsidR="00060B98" w:rsidRPr="00353B19" w:rsidRDefault="00060B98" w:rsidP="00B44569">
            <w:pPr>
              <w:widowControl w:val="0"/>
              <w:autoSpaceDE w:val="0"/>
              <w:autoSpaceDN w:val="0"/>
              <w:adjustRightInd w:val="0"/>
              <w:rPr>
                <w:rFonts w:ascii="Calibri" w:hAnsi="Calibri" w:cs="Calibri"/>
                <w:sz w:val="22"/>
                <w:szCs w:val="22"/>
              </w:rPr>
            </w:pPr>
            <w:r w:rsidRPr="007150D1">
              <w:rPr>
                <w:rFonts w:ascii="Calibri" w:hAnsi="Calibri"/>
                <w:color w:val="000000"/>
                <w:sz w:val="22"/>
                <w:szCs w:val="22"/>
              </w:rPr>
              <w:t>The IANA functions contract describes and uses the current tri-party arrangement to get changes to the root zone and its WHOIS database implemented. A revised mechanism for getting these changes implemented post transition will have to be developed assuming that the NTIA is no longer part of the process and that the Root Zone Maintainer, currently Verisign, continues to perform that function.</w:t>
            </w:r>
          </w:p>
        </w:tc>
      </w:tr>
      <w:tr w:rsidR="00060B98" w:rsidRPr="00353B19" w:rsidTr="00B44569">
        <w:tc>
          <w:tcPr>
            <w:tcW w:w="2988" w:type="dxa"/>
          </w:tcPr>
          <w:p w:rsidR="00060B98" w:rsidRPr="00353B19" w:rsidRDefault="00060B98" w:rsidP="00B44569">
            <w:pPr>
              <w:widowControl w:val="0"/>
              <w:autoSpaceDE w:val="0"/>
              <w:autoSpaceDN w:val="0"/>
              <w:adjustRightInd w:val="0"/>
              <w:rPr>
                <w:rFonts w:ascii="Calibri" w:hAnsi="Calibri" w:cs="Calibri"/>
                <w:b/>
                <w:bCs/>
                <w:sz w:val="22"/>
                <w:szCs w:val="22"/>
              </w:rPr>
            </w:pPr>
            <w:r w:rsidRPr="00353B19">
              <w:rPr>
                <w:rFonts w:ascii="Calibri" w:hAnsi="Calibri" w:cs="Calibri"/>
                <w:b/>
                <w:bCs/>
                <w:sz w:val="22"/>
                <w:szCs w:val="22"/>
              </w:rPr>
              <w:t>Detailed description</w:t>
            </w:r>
          </w:p>
        </w:tc>
        <w:tc>
          <w:tcPr>
            <w:tcW w:w="5868" w:type="dxa"/>
          </w:tcPr>
          <w:p w:rsidR="00274916" w:rsidRPr="00274916" w:rsidRDefault="00274916" w:rsidP="00274916">
            <w:pPr>
              <w:widowControl w:val="0"/>
              <w:autoSpaceDE w:val="0"/>
              <w:autoSpaceDN w:val="0"/>
              <w:adjustRightInd w:val="0"/>
              <w:rPr>
                <w:rFonts w:ascii="Calibri" w:hAnsi="Calibri" w:cs="Calibri"/>
                <w:bCs/>
                <w:sz w:val="22"/>
                <w:szCs w:val="22"/>
              </w:rPr>
            </w:pPr>
            <w:r w:rsidRPr="00274916">
              <w:rPr>
                <w:rFonts w:ascii="Calibri" w:hAnsi="Calibri" w:cs="Calibri"/>
                <w:bCs/>
                <w:sz w:val="22"/>
                <w:szCs w:val="22"/>
              </w:rPr>
              <w:t xml:space="preserve">Removing the authorization function as per the recommendations of DT-D implies changing the architecture of systems and processes for making changes to the Root Zone and the Root Zone </w:t>
            </w:r>
            <w:proofErr w:type="spellStart"/>
            <w:r w:rsidRPr="00274916">
              <w:rPr>
                <w:rFonts w:ascii="Calibri" w:hAnsi="Calibri" w:cs="Calibri"/>
                <w:bCs/>
                <w:sz w:val="22"/>
                <w:szCs w:val="22"/>
              </w:rPr>
              <w:t>Whois</w:t>
            </w:r>
            <w:proofErr w:type="spellEnd"/>
            <w:r w:rsidRPr="00274916">
              <w:rPr>
                <w:rFonts w:ascii="Calibri" w:hAnsi="Calibri" w:cs="Calibri"/>
                <w:bCs/>
                <w:sz w:val="22"/>
                <w:szCs w:val="22"/>
              </w:rPr>
              <w:t xml:space="preserve"> database which are at the heart of all key IANA functions. </w:t>
            </w:r>
          </w:p>
          <w:p w:rsidR="00274916" w:rsidRPr="00274916" w:rsidRDefault="00274916" w:rsidP="00274916">
            <w:pPr>
              <w:widowControl w:val="0"/>
              <w:autoSpaceDE w:val="0"/>
              <w:autoSpaceDN w:val="0"/>
              <w:adjustRightInd w:val="0"/>
              <w:rPr>
                <w:rFonts w:ascii="Calibri" w:hAnsi="Calibri" w:cs="Calibri"/>
                <w:bCs/>
                <w:sz w:val="22"/>
                <w:szCs w:val="22"/>
              </w:rPr>
            </w:pPr>
          </w:p>
          <w:p w:rsidR="00B264C4" w:rsidRPr="00FE352B" w:rsidRDefault="00FC2D54" w:rsidP="00274916">
            <w:pPr>
              <w:widowControl w:val="0"/>
              <w:autoSpaceDE w:val="0"/>
              <w:autoSpaceDN w:val="0"/>
              <w:adjustRightInd w:val="0"/>
              <w:rPr>
                <w:rFonts w:ascii="Calibri" w:hAnsi="Calibri" w:cs="Calibri"/>
                <w:bCs/>
                <w:sz w:val="22"/>
                <w:szCs w:val="22"/>
              </w:rPr>
            </w:pPr>
            <w:r w:rsidRPr="00FC2D54">
              <w:rPr>
                <w:rFonts w:ascii="Calibri" w:hAnsi="Calibri" w:cs="Calibri"/>
                <w:bCs/>
                <w:sz w:val="22"/>
                <w:szCs w:val="22"/>
              </w:rPr>
              <w:t xml:space="preserve">As such DT-F should review the high level architecture of the processes and systems for making changes to the Root Zone, the Root Zone </w:t>
            </w:r>
            <w:proofErr w:type="spellStart"/>
            <w:r w:rsidRPr="00FC2D54">
              <w:rPr>
                <w:rFonts w:ascii="Calibri" w:hAnsi="Calibri" w:cs="Calibri"/>
                <w:bCs/>
                <w:sz w:val="22"/>
                <w:szCs w:val="22"/>
              </w:rPr>
              <w:t>Whois</w:t>
            </w:r>
            <w:proofErr w:type="spellEnd"/>
            <w:r w:rsidRPr="00FC2D54">
              <w:rPr>
                <w:rFonts w:ascii="Calibri" w:hAnsi="Calibri" w:cs="Calibri"/>
                <w:bCs/>
                <w:sz w:val="22"/>
                <w:szCs w:val="22"/>
              </w:rPr>
              <w:t xml:space="preserve"> database, and the Root Zone DNSSEC key management architecture, to identify any issues, and if they exist, recommend solutions. Such solutions should be aligned with the overall objectives and recommendations of the CWG and in particular, the removal of the authorization function while both maintaining the security, stability, and resiliency as well as improving the transparency and accountability of Root Zone management.</w:t>
            </w:r>
            <w:bookmarkStart w:id="0" w:name="_GoBack"/>
            <w:bookmarkEnd w:id="0"/>
          </w:p>
        </w:tc>
      </w:tr>
      <w:tr w:rsidR="00060B98" w:rsidRPr="00353B19" w:rsidTr="00B44569">
        <w:tc>
          <w:tcPr>
            <w:tcW w:w="2988" w:type="dxa"/>
          </w:tcPr>
          <w:p w:rsidR="00060B98" w:rsidRPr="00353B19" w:rsidRDefault="00060B98" w:rsidP="00B44569">
            <w:pPr>
              <w:widowControl w:val="0"/>
              <w:autoSpaceDE w:val="0"/>
              <w:autoSpaceDN w:val="0"/>
              <w:adjustRightInd w:val="0"/>
              <w:rPr>
                <w:rFonts w:ascii="Calibri" w:hAnsi="Calibri" w:cs="Calibri"/>
                <w:b/>
                <w:bCs/>
                <w:sz w:val="22"/>
                <w:szCs w:val="22"/>
              </w:rPr>
            </w:pPr>
            <w:r w:rsidRPr="00353B19">
              <w:rPr>
                <w:rFonts w:ascii="Calibri" w:hAnsi="Calibri" w:cs="Calibri"/>
                <w:b/>
                <w:bCs/>
                <w:sz w:val="22"/>
                <w:szCs w:val="22"/>
              </w:rPr>
              <w:t>Proposed Membership</w:t>
            </w:r>
          </w:p>
        </w:tc>
        <w:tc>
          <w:tcPr>
            <w:tcW w:w="5868" w:type="dxa"/>
          </w:tcPr>
          <w:p w:rsidR="00060B98" w:rsidRPr="00353B19" w:rsidRDefault="00060B98" w:rsidP="00B44569">
            <w:pPr>
              <w:widowControl w:val="0"/>
              <w:autoSpaceDE w:val="0"/>
              <w:autoSpaceDN w:val="0"/>
              <w:adjustRightInd w:val="0"/>
              <w:rPr>
                <w:rFonts w:ascii="Calibri" w:hAnsi="Calibri" w:cs="Calibri"/>
                <w:b/>
                <w:bCs/>
                <w:sz w:val="22"/>
                <w:szCs w:val="22"/>
              </w:rPr>
            </w:pPr>
          </w:p>
        </w:tc>
      </w:tr>
      <w:tr w:rsidR="00060B98" w:rsidRPr="00353B19" w:rsidTr="00B44569">
        <w:tc>
          <w:tcPr>
            <w:tcW w:w="2988" w:type="dxa"/>
          </w:tcPr>
          <w:p w:rsidR="00060B98" w:rsidRPr="00353B19" w:rsidRDefault="00060B98" w:rsidP="00B44569">
            <w:pPr>
              <w:widowControl w:val="0"/>
              <w:autoSpaceDE w:val="0"/>
              <w:autoSpaceDN w:val="0"/>
              <w:adjustRightInd w:val="0"/>
              <w:rPr>
                <w:rFonts w:ascii="Calibri" w:hAnsi="Calibri" w:cs="Calibri"/>
                <w:b/>
                <w:bCs/>
                <w:sz w:val="22"/>
                <w:szCs w:val="22"/>
              </w:rPr>
            </w:pPr>
            <w:r w:rsidRPr="00353B19">
              <w:rPr>
                <w:rFonts w:ascii="Calibri" w:hAnsi="Calibri" w:cs="Calibri"/>
                <w:b/>
                <w:bCs/>
                <w:sz w:val="22"/>
                <w:szCs w:val="22"/>
              </w:rPr>
              <w:t>Proposed by</w:t>
            </w:r>
            <w:r>
              <w:rPr>
                <w:rFonts w:ascii="Calibri" w:hAnsi="Calibri" w:cs="Calibri"/>
                <w:b/>
                <w:bCs/>
                <w:sz w:val="22"/>
                <w:szCs w:val="22"/>
              </w:rPr>
              <w:t xml:space="preserve"> / Lead</w:t>
            </w:r>
          </w:p>
        </w:tc>
        <w:tc>
          <w:tcPr>
            <w:tcW w:w="5868" w:type="dxa"/>
          </w:tcPr>
          <w:p w:rsidR="00060B98" w:rsidRPr="00353B19" w:rsidRDefault="00060B98" w:rsidP="00B44569">
            <w:pPr>
              <w:widowControl w:val="0"/>
              <w:autoSpaceDE w:val="0"/>
              <w:autoSpaceDN w:val="0"/>
              <w:adjustRightInd w:val="0"/>
              <w:rPr>
                <w:rFonts w:ascii="Calibri" w:hAnsi="Calibri" w:cs="Calibri"/>
                <w:bCs/>
                <w:sz w:val="22"/>
                <w:szCs w:val="22"/>
              </w:rPr>
            </w:pPr>
            <w:r>
              <w:rPr>
                <w:rFonts w:ascii="Calibri" w:hAnsi="Calibri" w:cs="Calibri"/>
                <w:bCs/>
                <w:sz w:val="22"/>
                <w:szCs w:val="22"/>
              </w:rPr>
              <w:t>Alan Greenberg</w:t>
            </w:r>
          </w:p>
        </w:tc>
      </w:tr>
      <w:tr w:rsidR="00060B98" w:rsidTr="00B44569">
        <w:tc>
          <w:tcPr>
            <w:tcW w:w="2988" w:type="dxa"/>
          </w:tcPr>
          <w:p w:rsidR="00060B98" w:rsidRDefault="00060B98" w:rsidP="00B44569">
            <w:pPr>
              <w:widowControl w:val="0"/>
              <w:autoSpaceDE w:val="0"/>
              <w:autoSpaceDN w:val="0"/>
              <w:adjustRightInd w:val="0"/>
              <w:rPr>
                <w:rFonts w:ascii="Calibri" w:hAnsi="Calibri" w:cs="Calibri"/>
                <w:b/>
                <w:bCs/>
                <w:sz w:val="22"/>
                <w:szCs w:val="22"/>
              </w:rPr>
            </w:pPr>
            <w:r>
              <w:rPr>
                <w:rFonts w:ascii="Calibri" w:hAnsi="Calibri" w:cs="Calibri"/>
                <w:b/>
                <w:bCs/>
                <w:sz w:val="22"/>
                <w:szCs w:val="22"/>
              </w:rPr>
              <w:t>Staff Support</w:t>
            </w:r>
          </w:p>
        </w:tc>
        <w:tc>
          <w:tcPr>
            <w:tcW w:w="5868" w:type="dxa"/>
          </w:tcPr>
          <w:p w:rsidR="00060B98" w:rsidRDefault="00060B98" w:rsidP="00B44569">
            <w:pPr>
              <w:widowControl w:val="0"/>
              <w:autoSpaceDE w:val="0"/>
              <w:autoSpaceDN w:val="0"/>
              <w:adjustRightInd w:val="0"/>
              <w:rPr>
                <w:rFonts w:ascii="Calibri" w:hAnsi="Calibri" w:cs="Calibri"/>
                <w:bCs/>
                <w:sz w:val="22"/>
                <w:szCs w:val="22"/>
              </w:rPr>
            </w:pPr>
            <w:r>
              <w:rPr>
                <w:rFonts w:ascii="Calibri" w:hAnsi="Calibri" w:cs="Calibri"/>
                <w:bCs/>
                <w:sz w:val="22"/>
                <w:szCs w:val="22"/>
              </w:rPr>
              <w:t xml:space="preserve">Bernie </w:t>
            </w:r>
            <w:proofErr w:type="spellStart"/>
            <w:r>
              <w:rPr>
                <w:rFonts w:ascii="Calibri" w:hAnsi="Calibri" w:cs="Calibri"/>
                <w:bCs/>
                <w:sz w:val="22"/>
                <w:szCs w:val="22"/>
              </w:rPr>
              <w:t>Turcotte</w:t>
            </w:r>
            <w:proofErr w:type="spellEnd"/>
            <w:r>
              <w:rPr>
                <w:rFonts w:ascii="Calibri" w:hAnsi="Calibri" w:cs="Calibri"/>
                <w:bCs/>
                <w:sz w:val="22"/>
                <w:szCs w:val="22"/>
              </w:rPr>
              <w:t xml:space="preserve"> (lead) / Grace </w:t>
            </w:r>
            <w:proofErr w:type="spellStart"/>
            <w:r>
              <w:rPr>
                <w:rFonts w:ascii="Calibri" w:hAnsi="Calibri" w:cs="Calibri"/>
                <w:bCs/>
                <w:sz w:val="22"/>
                <w:szCs w:val="22"/>
              </w:rPr>
              <w:t>Abuhamad</w:t>
            </w:r>
            <w:proofErr w:type="spellEnd"/>
          </w:p>
        </w:tc>
      </w:tr>
      <w:tr w:rsidR="00060B98" w:rsidTr="00B44569">
        <w:tc>
          <w:tcPr>
            <w:tcW w:w="2988" w:type="dxa"/>
          </w:tcPr>
          <w:p w:rsidR="00060B98" w:rsidRPr="00353B19" w:rsidRDefault="00060B98" w:rsidP="00B44569">
            <w:pPr>
              <w:widowControl w:val="0"/>
              <w:autoSpaceDE w:val="0"/>
              <w:autoSpaceDN w:val="0"/>
              <w:adjustRightInd w:val="0"/>
              <w:rPr>
                <w:rFonts w:ascii="Calibri" w:hAnsi="Calibri" w:cs="Calibri"/>
                <w:b/>
                <w:bCs/>
                <w:sz w:val="22"/>
                <w:szCs w:val="22"/>
              </w:rPr>
            </w:pPr>
            <w:r>
              <w:rPr>
                <w:rFonts w:ascii="Calibri" w:hAnsi="Calibri" w:cs="Calibri"/>
                <w:b/>
                <w:bCs/>
                <w:sz w:val="22"/>
                <w:szCs w:val="22"/>
              </w:rPr>
              <w:t>Expressions of Interest Received</w:t>
            </w:r>
          </w:p>
        </w:tc>
        <w:tc>
          <w:tcPr>
            <w:tcW w:w="5868" w:type="dxa"/>
          </w:tcPr>
          <w:p w:rsidR="00060B98" w:rsidRDefault="00060B98" w:rsidP="00B44569">
            <w:pPr>
              <w:widowControl w:val="0"/>
              <w:autoSpaceDE w:val="0"/>
              <w:autoSpaceDN w:val="0"/>
              <w:adjustRightInd w:val="0"/>
              <w:rPr>
                <w:rFonts w:ascii="Calibri" w:hAnsi="Calibri" w:cs="Calibri"/>
                <w:bCs/>
                <w:sz w:val="22"/>
                <w:szCs w:val="22"/>
              </w:rPr>
            </w:pPr>
            <w:proofErr w:type="spellStart"/>
            <w:r>
              <w:rPr>
                <w:rFonts w:ascii="Calibri" w:hAnsi="Calibri" w:cs="Calibri"/>
                <w:bCs/>
                <w:sz w:val="22"/>
                <w:szCs w:val="22"/>
              </w:rPr>
              <w:t>Jaap</w:t>
            </w:r>
            <w:proofErr w:type="spellEnd"/>
            <w:r>
              <w:rPr>
                <w:rFonts w:ascii="Calibri" w:hAnsi="Calibri" w:cs="Calibri"/>
                <w:bCs/>
                <w:sz w:val="22"/>
                <w:szCs w:val="22"/>
              </w:rPr>
              <w:t xml:space="preserve"> </w:t>
            </w:r>
            <w:proofErr w:type="spellStart"/>
            <w:r>
              <w:rPr>
                <w:rFonts w:ascii="Calibri" w:hAnsi="Calibri" w:cs="Calibri"/>
                <w:bCs/>
                <w:sz w:val="22"/>
                <w:szCs w:val="22"/>
              </w:rPr>
              <w:t>Akkerhuis</w:t>
            </w:r>
            <w:proofErr w:type="spellEnd"/>
            <w:r>
              <w:rPr>
                <w:rFonts w:ascii="Calibri" w:hAnsi="Calibri" w:cs="Calibri"/>
                <w:bCs/>
                <w:sz w:val="22"/>
                <w:szCs w:val="22"/>
              </w:rPr>
              <w:t xml:space="preserve">, Gary Campbell, Milton Mueller, Rudi </w:t>
            </w:r>
            <w:proofErr w:type="spellStart"/>
            <w:r>
              <w:rPr>
                <w:rFonts w:ascii="Calibri" w:hAnsi="Calibri" w:cs="Calibri"/>
                <w:bCs/>
                <w:sz w:val="22"/>
                <w:szCs w:val="22"/>
              </w:rPr>
              <w:t>Vansnick</w:t>
            </w:r>
            <w:proofErr w:type="spellEnd"/>
            <w:r>
              <w:rPr>
                <w:rFonts w:ascii="Calibri" w:hAnsi="Calibri" w:cs="Calibri"/>
                <w:bCs/>
                <w:sz w:val="22"/>
                <w:szCs w:val="22"/>
              </w:rPr>
              <w:t>, Jordan Carter</w:t>
            </w:r>
          </w:p>
        </w:tc>
      </w:tr>
      <w:tr w:rsidR="00060B98" w:rsidRPr="00353B19" w:rsidTr="00B44569">
        <w:tc>
          <w:tcPr>
            <w:tcW w:w="2988" w:type="dxa"/>
          </w:tcPr>
          <w:p w:rsidR="00060B98" w:rsidRPr="00353B19" w:rsidRDefault="00060B98" w:rsidP="00B44569">
            <w:pPr>
              <w:widowControl w:val="0"/>
              <w:autoSpaceDE w:val="0"/>
              <w:autoSpaceDN w:val="0"/>
              <w:adjustRightInd w:val="0"/>
              <w:rPr>
                <w:rFonts w:ascii="Calibri" w:hAnsi="Calibri" w:cs="Calibri"/>
                <w:b/>
                <w:bCs/>
                <w:sz w:val="22"/>
                <w:szCs w:val="22"/>
              </w:rPr>
            </w:pPr>
            <w:r w:rsidRPr="00353B19">
              <w:rPr>
                <w:rFonts w:ascii="Calibri" w:hAnsi="Calibri" w:cs="Calibri"/>
                <w:b/>
                <w:bCs/>
                <w:sz w:val="22"/>
                <w:szCs w:val="22"/>
              </w:rPr>
              <w:t>Status</w:t>
            </w:r>
          </w:p>
        </w:tc>
        <w:tc>
          <w:tcPr>
            <w:tcW w:w="5868" w:type="dxa"/>
          </w:tcPr>
          <w:p w:rsidR="00060B98" w:rsidRPr="00353B19" w:rsidRDefault="00060B98" w:rsidP="00B44569">
            <w:pPr>
              <w:widowControl w:val="0"/>
              <w:autoSpaceDE w:val="0"/>
              <w:autoSpaceDN w:val="0"/>
              <w:adjustRightInd w:val="0"/>
              <w:rPr>
                <w:rFonts w:ascii="Calibri" w:hAnsi="Calibri" w:cs="Calibri"/>
                <w:b/>
                <w:bCs/>
                <w:sz w:val="22"/>
                <w:szCs w:val="22"/>
              </w:rPr>
            </w:pPr>
            <w:r>
              <w:rPr>
                <w:rFonts w:ascii="Calibri" w:hAnsi="Calibri" w:cs="Calibri"/>
                <w:b/>
                <w:bCs/>
                <w:sz w:val="22"/>
                <w:szCs w:val="22"/>
              </w:rPr>
              <w:t>Step 0</w:t>
            </w:r>
          </w:p>
        </w:tc>
      </w:tr>
      <w:tr w:rsidR="00060B98" w:rsidRPr="00353B19" w:rsidTr="00B44569">
        <w:tc>
          <w:tcPr>
            <w:tcW w:w="2988" w:type="dxa"/>
          </w:tcPr>
          <w:p w:rsidR="00060B98" w:rsidRPr="00353B19" w:rsidRDefault="00060B98" w:rsidP="00B44569">
            <w:pPr>
              <w:widowControl w:val="0"/>
              <w:autoSpaceDE w:val="0"/>
              <w:autoSpaceDN w:val="0"/>
              <w:adjustRightInd w:val="0"/>
              <w:rPr>
                <w:rFonts w:ascii="Calibri" w:hAnsi="Calibri" w:cs="Calibri"/>
                <w:b/>
                <w:bCs/>
                <w:sz w:val="22"/>
                <w:szCs w:val="22"/>
              </w:rPr>
            </w:pPr>
            <w:r>
              <w:rPr>
                <w:rFonts w:ascii="Calibri" w:hAnsi="Calibri" w:cs="Calibri"/>
                <w:b/>
                <w:bCs/>
                <w:sz w:val="22"/>
                <w:szCs w:val="22"/>
              </w:rPr>
              <w:t>Determination by CWG Chairs</w:t>
            </w:r>
          </w:p>
        </w:tc>
        <w:tc>
          <w:tcPr>
            <w:tcW w:w="5868" w:type="dxa"/>
          </w:tcPr>
          <w:p w:rsidR="00060B98" w:rsidRPr="00353B19" w:rsidRDefault="00060B98" w:rsidP="00B44569">
            <w:pPr>
              <w:widowControl w:val="0"/>
              <w:autoSpaceDE w:val="0"/>
              <w:autoSpaceDN w:val="0"/>
              <w:adjustRightInd w:val="0"/>
              <w:rPr>
                <w:rFonts w:ascii="Calibri" w:hAnsi="Calibri" w:cs="Calibri"/>
                <w:b/>
                <w:bCs/>
                <w:sz w:val="22"/>
                <w:szCs w:val="22"/>
              </w:rPr>
            </w:pPr>
            <w:r>
              <w:rPr>
                <w:rFonts w:ascii="Calibri" w:hAnsi="Calibri" w:cs="Calibri"/>
                <w:b/>
                <w:bCs/>
                <w:sz w:val="22"/>
                <w:szCs w:val="22"/>
              </w:rPr>
              <w:t>Priority 1 (Provisional)</w:t>
            </w:r>
          </w:p>
        </w:tc>
      </w:tr>
      <w:tr w:rsidR="00060B98" w:rsidRPr="001B12CC" w:rsidTr="00B44569">
        <w:tc>
          <w:tcPr>
            <w:tcW w:w="2988" w:type="dxa"/>
          </w:tcPr>
          <w:p w:rsidR="00060B98" w:rsidRDefault="00060B98" w:rsidP="00B44569">
            <w:pPr>
              <w:widowControl w:val="0"/>
              <w:autoSpaceDE w:val="0"/>
              <w:autoSpaceDN w:val="0"/>
              <w:adjustRightInd w:val="0"/>
              <w:rPr>
                <w:rFonts w:ascii="Calibri" w:hAnsi="Calibri" w:cs="Calibri"/>
                <w:b/>
                <w:bCs/>
                <w:sz w:val="22"/>
                <w:szCs w:val="22"/>
              </w:rPr>
            </w:pPr>
            <w:r>
              <w:rPr>
                <w:rFonts w:ascii="Calibri" w:hAnsi="Calibri" w:cs="Calibri"/>
                <w:b/>
                <w:bCs/>
                <w:sz w:val="22"/>
                <w:szCs w:val="22"/>
              </w:rPr>
              <w:t>Mailing list archives</w:t>
            </w:r>
          </w:p>
        </w:tc>
        <w:tc>
          <w:tcPr>
            <w:tcW w:w="5868" w:type="dxa"/>
          </w:tcPr>
          <w:p w:rsidR="00060B98" w:rsidRPr="001B12CC" w:rsidRDefault="00FC2D54" w:rsidP="00B44569">
            <w:pPr>
              <w:widowControl w:val="0"/>
              <w:autoSpaceDE w:val="0"/>
              <w:autoSpaceDN w:val="0"/>
              <w:adjustRightInd w:val="0"/>
              <w:rPr>
                <w:rFonts w:ascii="Calibri" w:hAnsi="Calibri" w:cs="Calibri"/>
                <w:bCs/>
                <w:sz w:val="22"/>
                <w:szCs w:val="22"/>
              </w:rPr>
            </w:pPr>
            <w:hyperlink r:id="rId6" w:history="1">
              <w:r w:rsidR="00060B98" w:rsidRPr="001B12CC">
                <w:rPr>
                  <w:rStyle w:val="Hyperlink"/>
                  <w:rFonts w:ascii="Calibri" w:hAnsi="Calibri" w:cs="Calibri"/>
                  <w:bCs/>
                  <w:sz w:val="22"/>
                  <w:szCs w:val="22"/>
                </w:rPr>
                <w:t>http://mm.icann.org/pipermail/cwg-dtf/</w:t>
              </w:r>
            </w:hyperlink>
            <w:r w:rsidR="00060B98" w:rsidRPr="001B12CC">
              <w:rPr>
                <w:rFonts w:ascii="Calibri" w:hAnsi="Calibri" w:cs="Calibri"/>
                <w:bCs/>
                <w:sz w:val="22"/>
                <w:szCs w:val="22"/>
              </w:rPr>
              <w:t xml:space="preserve"> </w:t>
            </w:r>
          </w:p>
        </w:tc>
      </w:tr>
    </w:tbl>
    <w:p w:rsidR="00455060" w:rsidRDefault="00455060"/>
    <w:sectPr w:rsidR="0045506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B3B9B"/>
    <w:multiLevelType w:val="hybridMultilevel"/>
    <w:tmpl w:val="B03686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5A290E9D"/>
    <w:multiLevelType w:val="hybridMultilevel"/>
    <w:tmpl w:val="42D8DF14"/>
    <w:lvl w:ilvl="0" w:tplc="42182008">
      <w:start w:val="1"/>
      <w:numFmt w:val="upperLetter"/>
      <w:lvlText w:val="Design Team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B98"/>
    <w:rsid w:val="00060B98"/>
    <w:rsid w:val="00274916"/>
    <w:rsid w:val="00335960"/>
    <w:rsid w:val="00455060"/>
    <w:rsid w:val="00837DC8"/>
    <w:rsid w:val="00B264C4"/>
    <w:rsid w:val="00FC2D54"/>
    <w:rsid w:val="00FE352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B98"/>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0B98"/>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60B98"/>
    <w:pPr>
      <w:ind w:left="720"/>
      <w:contextualSpacing/>
    </w:pPr>
  </w:style>
  <w:style w:type="character" w:styleId="Hyperlink">
    <w:name w:val="Hyperlink"/>
    <w:basedOn w:val="DefaultParagraphFont"/>
    <w:uiPriority w:val="99"/>
    <w:unhideWhenUsed/>
    <w:rsid w:val="00060B9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B98"/>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0B98"/>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60B98"/>
    <w:pPr>
      <w:ind w:left="720"/>
      <w:contextualSpacing/>
    </w:pPr>
  </w:style>
  <w:style w:type="character" w:styleId="Hyperlink">
    <w:name w:val="Hyperlink"/>
    <w:basedOn w:val="DefaultParagraphFont"/>
    <w:uiPriority w:val="99"/>
    <w:unhideWhenUsed/>
    <w:rsid w:val="00060B9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m.icann.org/pipermail/cwg-dt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268</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dc:creator>
  <cp:lastModifiedBy>Bernard</cp:lastModifiedBy>
  <cp:revision>4</cp:revision>
  <dcterms:created xsi:type="dcterms:W3CDTF">2015-04-01T12:04:00Z</dcterms:created>
  <dcterms:modified xsi:type="dcterms:W3CDTF">2015-04-01T22:31:00Z</dcterms:modified>
</cp:coreProperties>
</file>