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1413"/>
        <w:gridCol w:w="2880"/>
        <w:gridCol w:w="5400"/>
        <w:gridCol w:w="3870"/>
      </w:tblGrid>
      <w:tr w:rsidR="00E403C5" w:rsidRPr="009203EA" w:rsidTr="00DF2B43">
        <w:trPr>
          <w:cantSplit/>
          <w:tblHeader/>
        </w:trPr>
        <w:tc>
          <w:tcPr>
            <w:tcW w:w="675" w:type="dxa"/>
            <w:shd w:val="clear" w:color="auto" w:fill="CCCCCC"/>
          </w:tcPr>
          <w:p w:rsidR="00E403C5" w:rsidRPr="009203EA" w:rsidRDefault="00E403C5" w:rsidP="00DF2B43">
            <w:pPr>
              <w:contextualSpacing/>
              <w:rPr>
                <w:rFonts w:ascii="Calibri" w:hAnsi="Calibri"/>
                <w:b/>
                <w:sz w:val="22"/>
              </w:rPr>
            </w:pPr>
            <w:bookmarkStart w:id="0" w:name="_GoBack"/>
            <w:bookmarkEnd w:id="0"/>
            <w:r w:rsidRPr="009203EA">
              <w:rPr>
                <w:rFonts w:ascii="Calibri" w:hAnsi="Calibri"/>
                <w:b/>
                <w:sz w:val="22"/>
              </w:rPr>
              <w:t>#</w:t>
            </w:r>
          </w:p>
        </w:tc>
        <w:tc>
          <w:tcPr>
            <w:tcW w:w="1413" w:type="dxa"/>
            <w:shd w:val="clear" w:color="auto" w:fill="CCCCCC"/>
          </w:tcPr>
          <w:p w:rsidR="00E403C5" w:rsidRPr="009203EA" w:rsidRDefault="00E403C5" w:rsidP="00DF2B43">
            <w:pPr>
              <w:contextualSpacing/>
              <w:rPr>
                <w:rFonts w:ascii="Calibri" w:hAnsi="Calibri"/>
                <w:b/>
                <w:sz w:val="22"/>
              </w:rPr>
            </w:pPr>
            <w:r>
              <w:rPr>
                <w:rFonts w:ascii="Calibri" w:hAnsi="Calibri"/>
                <w:b/>
                <w:sz w:val="22"/>
              </w:rPr>
              <w:t>Who  / Affiliation</w:t>
            </w:r>
          </w:p>
        </w:tc>
        <w:tc>
          <w:tcPr>
            <w:tcW w:w="2880" w:type="dxa"/>
            <w:shd w:val="clear" w:color="auto" w:fill="CCCCCC"/>
          </w:tcPr>
          <w:p w:rsidR="00E403C5" w:rsidRDefault="00E403C5" w:rsidP="00DF2B43">
            <w:pPr>
              <w:contextualSpacing/>
              <w:rPr>
                <w:rFonts w:ascii="Calibri" w:hAnsi="Calibri"/>
                <w:b/>
                <w:sz w:val="22"/>
              </w:rPr>
            </w:pPr>
            <w:r>
              <w:rPr>
                <w:rFonts w:ascii="Calibri" w:hAnsi="Calibri"/>
                <w:b/>
                <w:sz w:val="22"/>
              </w:rPr>
              <w:t>General Direction (supportive of the mechanism or not)</w:t>
            </w:r>
            <w:r w:rsidRPr="009203EA">
              <w:rPr>
                <w:rFonts w:ascii="Calibri" w:hAnsi="Calibri"/>
                <w:b/>
                <w:sz w:val="22"/>
              </w:rPr>
              <w:t xml:space="preserve"> </w:t>
            </w:r>
            <w:r>
              <w:rPr>
                <w:rFonts w:ascii="Calibri" w:hAnsi="Calibri"/>
                <w:b/>
                <w:sz w:val="22"/>
              </w:rPr>
              <w:t xml:space="preserve"> / Suggested Changes</w:t>
            </w:r>
          </w:p>
        </w:tc>
        <w:tc>
          <w:tcPr>
            <w:tcW w:w="5400" w:type="dxa"/>
            <w:shd w:val="clear" w:color="auto" w:fill="CCCCCC"/>
          </w:tcPr>
          <w:p w:rsidR="00E403C5" w:rsidRDefault="00E403C5" w:rsidP="00DF2B43">
            <w:pPr>
              <w:contextualSpacing/>
              <w:rPr>
                <w:rFonts w:ascii="Calibri" w:hAnsi="Calibri"/>
                <w:b/>
                <w:sz w:val="22"/>
              </w:rPr>
            </w:pPr>
            <w:r w:rsidRPr="00E52EDA">
              <w:rPr>
                <w:rFonts w:ascii="Calibri" w:hAnsi="Calibri"/>
                <w:b/>
                <w:bCs/>
                <w:sz w:val="22"/>
              </w:rPr>
              <w:t>Concerns/ considerations/ rationale/ new issues</w:t>
            </w:r>
          </w:p>
        </w:tc>
        <w:tc>
          <w:tcPr>
            <w:tcW w:w="3870" w:type="dxa"/>
            <w:shd w:val="clear" w:color="auto" w:fill="CCCCCC"/>
          </w:tcPr>
          <w:p w:rsidR="00E403C5" w:rsidRPr="009203EA" w:rsidRDefault="00E403C5" w:rsidP="00DF2B43">
            <w:pPr>
              <w:contextualSpacing/>
              <w:rPr>
                <w:rFonts w:ascii="Calibri" w:hAnsi="Calibri"/>
                <w:b/>
                <w:sz w:val="22"/>
              </w:rPr>
            </w:pPr>
            <w:r>
              <w:rPr>
                <w:rFonts w:ascii="Calibri" w:hAnsi="Calibri"/>
                <w:b/>
                <w:sz w:val="22"/>
              </w:rPr>
              <w:t>C</w:t>
            </w:r>
            <w:r w:rsidRPr="009203EA">
              <w:rPr>
                <w:rFonts w:ascii="Calibri" w:hAnsi="Calibri"/>
                <w:b/>
                <w:sz w:val="22"/>
              </w:rPr>
              <w:t>WG</w:t>
            </w:r>
            <w:r>
              <w:rPr>
                <w:rFonts w:ascii="Calibri" w:hAnsi="Calibri"/>
                <w:b/>
                <w:sz w:val="22"/>
              </w:rPr>
              <w:t>-Stewardship</w:t>
            </w:r>
            <w:r w:rsidRPr="009203EA">
              <w:rPr>
                <w:rFonts w:ascii="Calibri" w:hAnsi="Calibri"/>
                <w:b/>
                <w:sz w:val="22"/>
              </w:rPr>
              <w:t xml:space="preserve"> Response</w:t>
            </w:r>
            <w:r>
              <w:rPr>
                <w:rFonts w:ascii="Calibri" w:hAnsi="Calibri"/>
                <w:b/>
                <w:sz w:val="22"/>
              </w:rPr>
              <w:t xml:space="preserve"> (which may include new information as a result of the continued discussions) / Recommended action</w:t>
            </w:r>
          </w:p>
        </w:tc>
      </w:tr>
      <w:tr w:rsidR="00E403C5" w:rsidRPr="009203EA" w:rsidTr="00DF2B43">
        <w:tc>
          <w:tcPr>
            <w:tcW w:w="675" w:type="dxa"/>
            <w:shd w:val="clear" w:color="auto" w:fill="FFFF99"/>
          </w:tcPr>
          <w:p w:rsidR="00E403C5" w:rsidRPr="009203EA" w:rsidRDefault="00E403C5" w:rsidP="00DF2B43">
            <w:pPr>
              <w:contextualSpacing/>
              <w:rPr>
                <w:rFonts w:ascii="Calibri" w:hAnsi="Calibri"/>
                <w:b/>
                <w:sz w:val="22"/>
              </w:rPr>
            </w:pPr>
            <w:r>
              <w:rPr>
                <w:rFonts w:ascii="Calibri" w:hAnsi="Calibri"/>
                <w:b/>
                <w:sz w:val="22"/>
              </w:rPr>
              <w:t>246.</w:t>
            </w:r>
          </w:p>
        </w:tc>
        <w:tc>
          <w:tcPr>
            <w:tcW w:w="1413" w:type="dxa"/>
            <w:shd w:val="clear" w:color="auto" w:fill="FFFF99"/>
          </w:tcPr>
          <w:p w:rsidR="00E403C5" w:rsidRDefault="00E403C5" w:rsidP="00DF2B43">
            <w:pPr>
              <w:pStyle w:val="ListParagraph"/>
              <w:ind w:left="0"/>
              <w:rPr>
                <w:rFonts w:ascii="Calibri" w:hAnsi="Calibri"/>
                <w:sz w:val="22"/>
              </w:rPr>
            </w:pPr>
            <w:r>
              <w:rPr>
                <w:rFonts w:ascii="Calibri" w:hAnsi="Calibri"/>
                <w:sz w:val="22"/>
              </w:rPr>
              <w:t>AFRALO</w:t>
            </w:r>
          </w:p>
        </w:tc>
        <w:tc>
          <w:tcPr>
            <w:tcW w:w="2880" w:type="dxa"/>
            <w:shd w:val="clear" w:color="auto" w:fill="FFFF99"/>
          </w:tcPr>
          <w:p w:rsidR="00E403C5" w:rsidRDefault="00E403C5" w:rsidP="00DF2B43">
            <w:pPr>
              <w:contextualSpacing/>
              <w:rPr>
                <w:rFonts w:ascii="Calibri" w:hAnsi="Calibri"/>
                <w:sz w:val="22"/>
              </w:rPr>
            </w:pPr>
            <w:r>
              <w:rPr>
                <w:rFonts w:ascii="Calibri" w:hAnsi="Calibri"/>
                <w:sz w:val="22"/>
              </w:rPr>
              <w:t>Suggestion for alternative escalation path</w:t>
            </w:r>
          </w:p>
        </w:tc>
        <w:tc>
          <w:tcPr>
            <w:tcW w:w="5400" w:type="dxa"/>
            <w:shd w:val="clear" w:color="auto" w:fill="FFFF99"/>
          </w:tcPr>
          <w:p w:rsidR="00E403C5" w:rsidRPr="00F90761" w:rsidRDefault="00E403C5" w:rsidP="00DF2B43">
            <w:pPr>
              <w:widowControl w:val="0"/>
              <w:autoSpaceDE w:val="0"/>
              <w:autoSpaceDN w:val="0"/>
              <w:adjustRightInd w:val="0"/>
              <w:rPr>
                <w:rFonts w:ascii="Calibri" w:hAnsi="Calibri"/>
                <w:sz w:val="22"/>
                <w:szCs w:val="22"/>
              </w:rPr>
            </w:pPr>
            <w:r w:rsidRPr="00D836CF">
              <w:rPr>
                <w:rFonts w:ascii="Calibri" w:hAnsi="Calibri"/>
                <w:sz w:val="22"/>
                <w:szCs w:val="22"/>
              </w:rPr>
              <w:t>We are concerned about the escalation path of the CSC as currently proposed and we suggest that CSC escalates to PTI Board who may ask for a review (from the IFR) or any other action they judge appropriate than the “direct customers” of IANA</w:t>
            </w:r>
          </w:p>
        </w:tc>
        <w:tc>
          <w:tcPr>
            <w:tcW w:w="3870" w:type="dxa"/>
            <w:shd w:val="clear" w:color="auto" w:fill="FFFF99"/>
          </w:tcPr>
          <w:p w:rsidR="00E403C5" w:rsidRDefault="00E403C5" w:rsidP="00DF2B43">
            <w:pPr>
              <w:contextualSpacing/>
              <w:rPr>
                <w:rFonts w:ascii="Calibri" w:hAnsi="Calibri"/>
                <w:b/>
                <w:i/>
                <w:sz w:val="22"/>
              </w:rPr>
            </w:pPr>
            <w:r w:rsidRPr="00B74932">
              <w:rPr>
                <w:rFonts w:ascii="Calibri" w:hAnsi="Calibri"/>
                <w:b/>
                <w:i/>
                <w:sz w:val="22"/>
              </w:rPr>
              <w:t>The CWG</w:t>
            </w:r>
            <w:r>
              <w:rPr>
                <w:rFonts w:ascii="Calibri" w:hAnsi="Calibri"/>
                <w:b/>
                <w:i/>
                <w:sz w:val="22"/>
              </w:rPr>
              <w:t>-Stewardship</w:t>
            </w:r>
            <w:r w:rsidRPr="00B74932">
              <w:rPr>
                <w:rFonts w:ascii="Calibri" w:hAnsi="Calibri"/>
                <w:b/>
                <w:i/>
                <w:sz w:val="22"/>
              </w:rPr>
              <w:t xml:space="preserve"> appreciates your feedback</w:t>
            </w:r>
            <w:r>
              <w:rPr>
                <w:rFonts w:ascii="Calibri" w:hAnsi="Calibri"/>
                <w:b/>
                <w:i/>
                <w:sz w:val="22"/>
              </w:rPr>
              <w:t xml:space="preserve"> and will factor this into its subsequent deliberations.</w:t>
            </w:r>
          </w:p>
          <w:p w:rsidR="00E403C5" w:rsidRDefault="00E403C5" w:rsidP="00DF2B43">
            <w:pPr>
              <w:contextualSpacing/>
              <w:rPr>
                <w:rFonts w:ascii="Calibri" w:hAnsi="Calibri"/>
                <w:b/>
                <w:i/>
                <w:sz w:val="22"/>
              </w:rPr>
            </w:pPr>
          </w:p>
          <w:p w:rsidR="00E403C5" w:rsidRPr="00B74932" w:rsidRDefault="00E403C5" w:rsidP="00DF2B43">
            <w:pPr>
              <w:contextualSpacing/>
              <w:rPr>
                <w:rFonts w:ascii="Calibri" w:hAnsi="Calibri"/>
                <w:b/>
                <w:i/>
                <w:sz w:val="22"/>
              </w:rPr>
            </w:pPr>
            <w:r w:rsidRPr="00381EAF">
              <w:rPr>
                <w:rFonts w:ascii="Calibri" w:hAnsi="Calibri"/>
                <w:b/>
                <w:i/>
                <w:sz w:val="22"/>
                <w:highlight w:val="cyan"/>
              </w:rPr>
              <w:t>Action: CWG-Stewardship (DT-M/DT-C) to consider alternative escalation path.</w:t>
            </w:r>
            <w:r>
              <w:rPr>
                <w:rFonts w:ascii="Calibri" w:hAnsi="Calibri"/>
                <w:b/>
                <w:i/>
                <w:sz w:val="22"/>
              </w:rPr>
              <w:t xml:space="preserve"> </w:t>
            </w:r>
          </w:p>
        </w:tc>
      </w:tr>
      <w:tr w:rsidR="00E403C5" w:rsidRPr="009203EA" w:rsidTr="00DF2B43">
        <w:tc>
          <w:tcPr>
            <w:tcW w:w="675" w:type="dxa"/>
            <w:shd w:val="clear" w:color="auto" w:fill="FFFF99"/>
          </w:tcPr>
          <w:p w:rsidR="00E403C5" w:rsidRPr="009203EA" w:rsidRDefault="00E403C5" w:rsidP="00DF2B43">
            <w:pPr>
              <w:contextualSpacing/>
              <w:rPr>
                <w:rFonts w:ascii="Calibri" w:hAnsi="Calibri"/>
                <w:b/>
                <w:sz w:val="22"/>
              </w:rPr>
            </w:pPr>
            <w:r>
              <w:rPr>
                <w:rFonts w:ascii="Calibri" w:hAnsi="Calibri"/>
                <w:b/>
                <w:sz w:val="22"/>
              </w:rPr>
              <w:t>255.</w:t>
            </w:r>
          </w:p>
        </w:tc>
        <w:tc>
          <w:tcPr>
            <w:tcW w:w="1413" w:type="dxa"/>
            <w:shd w:val="clear" w:color="auto" w:fill="FFFF99"/>
          </w:tcPr>
          <w:p w:rsidR="00E403C5" w:rsidRDefault="00E403C5" w:rsidP="00DF2B43">
            <w:pPr>
              <w:contextualSpacing/>
              <w:rPr>
                <w:rFonts w:ascii="Calibri" w:hAnsi="Calibri"/>
                <w:sz w:val="22"/>
              </w:rPr>
            </w:pPr>
            <w:r>
              <w:rPr>
                <w:rFonts w:ascii="Calibri" w:hAnsi="Calibri"/>
                <w:sz w:val="22"/>
              </w:rPr>
              <w:t>Centre for Democracy &amp; Technology</w:t>
            </w:r>
          </w:p>
        </w:tc>
        <w:tc>
          <w:tcPr>
            <w:tcW w:w="2880" w:type="dxa"/>
            <w:shd w:val="clear" w:color="auto" w:fill="FFFF99"/>
          </w:tcPr>
          <w:p w:rsidR="00E403C5" w:rsidRDefault="00E403C5" w:rsidP="00DF2B43">
            <w:pPr>
              <w:contextualSpacing/>
              <w:rPr>
                <w:rFonts w:ascii="Calibri" w:hAnsi="Calibri"/>
                <w:sz w:val="22"/>
              </w:rPr>
            </w:pPr>
            <w:r>
              <w:rPr>
                <w:rFonts w:ascii="Calibri" w:hAnsi="Calibri"/>
                <w:sz w:val="22"/>
              </w:rPr>
              <w:t>Concerns re. step 3 of problem management and lack of detail</w:t>
            </w:r>
          </w:p>
        </w:tc>
        <w:tc>
          <w:tcPr>
            <w:tcW w:w="5400" w:type="dxa"/>
            <w:shd w:val="clear" w:color="auto" w:fill="FFFF99"/>
          </w:tcPr>
          <w:p w:rsidR="00E403C5" w:rsidRPr="00E616AD" w:rsidRDefault="00E403C5" w:rsidP="00DF2B43">
            <w:pPr>
              <w:rPr>
                <w:rFonts w:ascii="Calibri" w:eastAsia="SimSun" w:hAnsi="Calibri"/>
                <w:sz w:val="22"/>
                <w:szCs w:val="22"/>
                <w:lang w:eastAsia="zh-CN"/>
              </w:rPr>
            </w:pPr>
            <w:r w:rsidRPr="00E616AD">
              <w:rPr>
                <w:rFonts w:ascii="Calibri" w:eastAsia="SimSun" w:hAnsi="Calibri"/>
                <w:sz w:val="22"/>
                <w:szCs w:val="22"/>
                <w:lang w:eastAsia="zh-CN"/>
              </w:rPr>
              <w:t>We have some concerns that Problem Management step 3 on page 68 - where it is suggested that the CSC escalates to the ccNSO/GNSO - is adding a layer of escalation that may not be necessary.</w:t>
            </w:r>
            <w:r>
              <w:rPr>
                <w:rFonts w:ascii="Calibri" w:eastAsia="SimSun" w:hAnsi="Calibri"/>
                <w:sz w:val="22"/>
                <w:szCs w:val="22"/>
                <w:lang w:eastAsia="zh-CN"/>
              </w:rPr>
              <w:t xml:space="preserve"> </w:t>
            </w:r>
            <w:r w:rsidRPr="00E616AD">
              <w:rPr>
                <w:rFonts w:ascii="Calibri" w:eastAsia="SimSun" w:hAnsi="Calibri"/>
                <w:sz w:val="22"/>
                <w:szCs w:val="22"/>
                <w:lang w:eastAsia="zh-CN"/>
              </w:rPr>
              <w:t>If requests for remedial actions are not being addressed by the IANA functions operator then there is, one must accept, a breakdown in the relationship and trust between the customers and the IANA functions operator. If this is the case, and remedy is not possible, it would seem appropriate for the CSC to call for a SIFR. A trusted relationship between the CSC and the IANA functions operator is absolutely essential to the stability, security and resiliency of the DNS.</w:t>
            </w:r>
          </w:p>
          <w:p w:rsidR="00E403C5" w:rsidRPr="00E616AD" w:rsidRDefault="00E403C5" w:rsidP="00DF2B43">
            <w:pPr>
              <w:rPr>
                <w:rFonts w:ascii="Calibri" w:eastAsia="SimSun" w:hAnsi="Calibri"/>
                <w:sz w:val="22"/>
                <w:szCs w:val="22"/>
                <w:lang w:eastAsia="zh-CN"/>
              </w:rPr>
            </w:pPr>
          </w:p>
          <w:p w:rsidR="00E403C5" w:rsidRPr="000B6C52" w:rsidRDefault="00E403C5" w:rsidP="00DF2B43">
            <w:pPr>
              <w:rPr>
                <w:rFonts w:ascii="Calibri" w:eastAsia="SimSun" w:hAnsi="Calibri"/>
                <w:sz w:val="22"/>
                <w:szCs w:val="22"/>
                <w:lang w:eastAsia="zh-CN"/>
              </w:rPr>
            </w:pPr>
            <w:r w:rsidRPr="00E616AD">
              <w:rPr>
                <w:rFonts w:ascii="Calibri" w:eastAsia="SimSun" w:hAnsi="Calibri"/>
                <w:sz w:val="22"/>
                <w:szCs w:val="22"/>
                <w:lang w:eastAsia="zh-CN"/>
              </w:rPr>
              <w:t>Further, the lack of detail relating to how systemic problems will be addressed is concerning. We would suggest that systemic issues/problems should be subject to an SIFR and not just left to the 5 year IFR. Again, the stability, security and reliability of the DNS are paramount, and systemic problems - which are precisely the potential issues this stewardship framework is designed to address - must be dealt with as soon as they are identified.</w:t>
            </w:r>
          </w:p>
        </w:tc>
        <w:tc>
          <w:tcPr>
            <w:tcW w:w="3870" w:type="dxa"/>
            <w:shd w:val="clear" w:color="auto" w:fill="FFFF99"/>
          </w:tcPr>
          <w:p w:rsidR="00E403C5" w:rsidRDefault="00E403C5" w:rsidP="00DF2B43">
            <w:pPr>
              <w:contextualSpacing/>
              <w:rPr>
                <w:rFonts w:ascii="Calibri" w:hAnsi="Calibri"/>
                <w:b/>
                <w:i/>
                <w:sz w:val="22"/>
              </w:rPr>
            </w:pPr>
            <w:r w:rsidRPr="00B74932">
              <w:rPr>
                <w:rFonts w:ascii="Calibri" w:hAnsi="Calibri"/>
                <w:b/>
                <w:i/>
                <w:sz w:val="22"/>
              </w:rPr>
              <w:t>The CWG</w:t>
            </w:r>
            <w:r>
              <w:rPr>
                <w:rFonts w:ascii="Calibri" w:hAnsi="Calibri"/>
                <w:b/>
                <w:i/>
                <w:sz w:val="22"/>
              </w:rPr>
              <w:t>-Stewardship</w:t>
            </w:r>
            <w:r w:rsidRPr="00B74932">
              <w:rPr>
                <w:rFonts w:ascii="Calibri" w:hAnsi="Calibri"/>
                <w:b/>
                <w:i/>
                <w:sz w:val="22"/>
              </w:rPr>
              <w:t xml:space="preserve"> appreciates your feedback</w:t>
            </w:r>
            <w:r>
              <w:rPr>
                <w:rFonts w:ascii="Calibri" w:hAnsi="Calibri"/>
                <w:b/>
                <w:i/>
                <w:sz w:val="22"/>
              </w:rPr>
              <w:t xml:space="preserve"> and will factor this into its subsequent deliberations.</w:t>
            </w:r>
          </w:p>
          <w:p w:rsidR="00E403C5" w:rsidRDefault="00E403C5" w:rsidP="00DF2B43">
            <w:pPr>
              <w:contextualSpacing/>
              <w:rPr>
                <w:rFonts w:ascii="Calibri" w:hAnsi="Calibri"/>
                <w:b/>
                <w:i/>
                <w:sz w:val="22"/>
              </w:rPr>
            </w:pPr>
          </w:p>
          <w:p w:rsidR="00E403C5" w:rsidRDefault="00E403C5" w:rsidP="00DF2B43">
            <w:pPr>
              <w:contextualSpacing/>
              <w:rPr>
                <w:rFonts w:ascii="Calibri" w:hAnsi="Calibri"/>
                <w:b/>
                <w:i/>
                <w:sz w:val="22"/>
                <w:highlight w:val="yellow"/>
              </w:rPr>
            </w:pPr>
            <w:r w:rsidRPr="00381EAF">
              <w:rPr>
                <w:rFonts w:ascii="Calibri" w:hAnsi="Calibri"/>
                <w:b/>
                <w:i/>
                <w:sz w:val="22"/>
                <w:highlight w:val="cyan"/>
              </w:rPr>
              <w:t xml:space="preserve">Action: CWG-Stewardship (DT-M) to consider </w:t>
            </w:r>
            <w:r>
              <w:rPr>
                <w:rFonts w:ascii="Calibri" w:hAnsi="Calibri"/>
                <w:b/>
                <w:i/>
                <w:sz w:val="22"/>
                <w:highlight w:val="cyan"/>
              </w:rPr>
              <w:t xml:space="preserve">concerns re. </w:t>
            </w:r>
            <w:proofErr w:type="gramStart"/>
            <w:r>
              <w:rPr>
                <w:rFonts w:ascii="Calibri" w:hAnsi="Calibri"/>
                <w:b/>
                <w:i/>
                <w:sz w:val="22"/>
                <w:highlight w:val="cyan"/>
              </w:rPr>
              <w:t>step</w:t>
            </w:r>
            <w:proofErr w:type="gramEnd"/>
            <w:r>
              <w:rPr>
                <w:rFonts w:ascii="Calibri" w:hAnsi="Calibri"/>
                <w:b/>
                <w:i/>
                <w:sz w:val="22"/>
                <w:highlight w:val="cyan"/>
              </w:rPr>
              <w:t xml:space="preserve"> 3 and address lack of detail</w:t>
            </w:r>
            <w:r w:rsidRPr="00381EAF">
              <w:rPr>
                <w:rFonts w:ascii="Calibri" w:hAnsi="Calibri"/>
                <w:b/>
                <w:i/>
                <w:sz w:val="22"/>
                <w:highlight w:val="cyan"/>
              </w:rPr>
              <w:t>.</w:t>
            </w:r>
          </w:p>
        </w:tc>
      </w:tr>
      <w:tr w:rsidR="00E403C5" w:rsidRPr="009203EA" w:rsidTr="00DF2B43">
        <w:tc>
          <w:tcPr>
            <w:tcW w:w="675" w:type="dxa"/>
            <w:shd w:val="clear" w:color="auto" w:fill="FFFF99"/>
          </w:tcPr>
          <w:p w:rsidR="00E403C5" w:rsidRPr="009203EA" w:rsidRDefault="00E403C5" w:rsidP="00DF2B43">
            <w:pPr>
              <w:contextualSpacing/>
              <w:rPr>
                <w:rFonts w:ascii="Calibri" w:hAnsi="Calibri"/>
                <w:b/>
                <w:sz w:val="22"/>
              </w:rPr>
            </w:pPr>
            <w:r>
              <w:rPr>
                <w:rFonts w:ascii="Calibri" w:hAnsi="Calibri"/>
                <w:b/>
                <w:sz w:val="22"/>
              </w:rPr>
              <w:t>256.</w:t>
            </w:r>
          </w:p>
        </w:tc>
        <w:tc>
          <w:tcPr>
            <w:tcW w:w="1413" w:type="dxa"/>
            <w:shd w:val="clear" w:color="auto" w:fill="FFFF99"/>
          </w:tcPr>
          <w:p w:rsidR="00E403C5" w:rsidRDefault="00E403C5" w:rsidP="00DF2B43">
            <w:pPr>
              <w:rPr>
                <w:rFonts w:ascii="Calibri" w:eastAsia="Times New Roman" w:hAnsi="Calibri"/>
                <w:sz w:val="22"/>
                <w:szCs w:val="22"/>
              </w:rPr>
            </w:pPr>
            <w:r>
              <w:rPr>
                <w:rFonts w:ascii="Calibri" w:eastAsia="Times New Roman" w:hAnsi="Calibri"/>
                <w:sz w:val="22"/>
                <w:szCs w:val="22"/>
              </w:rPr>
              <w:t>NCSG</w:t>
            </w:r>
          </w:p>
        </w:tc>
        <w:tc>
          <w:tcPr>
            <w:tcW w:w="2880" w:type="dxa"/>
            <w:shd w:val="clear" w:color="auto" w:fill="FFFF99"/>
          </w:tcPr>
          <w:p w:rsidR="00E403C5" w:rsidRDefault="00E403C5" w:rsidP="00DF2B43">
            <w:pPr>
              <w:contextualSpacing/>
              <w:rPr>
                <w:rFonts w:ascii="Calibri" w:hAnsi="Calibri"/>
                <w:sz w:val="22"/>
              </w:rPr>
            </w:pPr>
            <w:r>
              <w:rPr>
                <w:rFonts w:ascii="Calibri" w:hAnsi="Calibri"/>
                <w:sz w:val="22"/>
              </w:rPr>
              <w:t xml:space="preserve">Concerned about </w:t>
            </w:r>
            <w:r>
              <w:rPr>
                <w:rFonts w:ascii="Calibri" w:hAnsi="Calibri"/>
                <w:sz w:val="22"/>
              </w:rPr>
              <w:lastRenderedPageBreak/>
              <w:t>inconsistencies and lack of detail</w:t>
            </w:r>
          </w:p>
        </w:tc>
        <w:tc>
          <w:tcPr>
            <w:tcW w:w="5400" w:type="dxa"/>
            <w:shd w:val="clear" w:color="auto" w:fill="FFFF99"/>
          </w:tcPr>
          <w:p w:rsidR="00E403C5" w:rsidRPr="006C7CAE" w:rsidRDefault="00E403C5" w:rsidP="00DF2B43">
            <w:pPr>
              <w:pStyle w:val="Normal1"/>
              <w:contextualSpacing w:val="0"/>
              <w:rPr>
                <w:sz w:val="22"/>
                <w:szCs w:val="22"/>
              </w:rPr>
            </w:pPr>
            <w:r w:rsidRPr="006C7CAE">
              <w:rPr>
                <w:rFonts w:ascii="Calibri" w:eastAsia="Calibri" w:hAnsi="Calibri" w:cs="Calibri"/>
                <w:sz w:val="22"/>
                <w:szCs w:val="22"/>
              </w:rPr>
              <w:lastRenderedPageBreak/>
              <w:t xml:space="preserve">While we agree that the CSC should address issues of </w:t>
            </w:r>
            <w:r w:rsidRPr="006C7CAE">
              <w:rPr>
                <w:rFonts w:ascii="Calibri" w:eastAsia="Calibri" w:hAnsi="Calibri" w:cs="Calibri"/>
                <w:sz w:val="22"/>
                <w:szCs w:val="22"/>
              </w:rPr>
              <w:lastRenderedPageBreak/>
              <w:t>concern related to performance directly with the IFO, there may be inconsistencies between the review processes related to the CSC and its responsibilities and the IFR.  According to the consultation document p. 58  “in the event that a material change in the IANA naming services or operations would be beneficial, the CSC reserves the right to call for a community consultation…</w:t>
            </w:r>
            <w:proofErr w:type="gramStart"/>
            <w:r w:rsidRPr="006C7CAE">
              <w:rPr>
                <w:rFonts w:ascii="Calibri" w:eastAsia="Calibri" w:hAnsi="Calibri" w:cs="Calibri"/>
                <w:sz w:val="22"/>
                <w:szCs w:val="22"/>
              </w:rPr>
              <w:t>”  seems</w:t>
            </w:r>
            <w:proofErr w:type="gramEnd"/>
            <w:r w:rsidRPr="006C7CAE">
              <w:rPr>
                <w:rFonts w:ascii="Calibri" w:eastAsia="Calibri" w:hAnsi="Calibri" w:cs="Calibri"/>
                <w:sz w:val="22"/>
                <w:szCs w:val="22"/>
              </w:rPr>
              <w:t xml:space="preserve"> to be duplicative of the IFR and in particular the special review th</w:t>
            </w:r>
            <w:r>
              <w:rPr>
                <w:rFonts w:ascii="Calibri" w:eastAsia="Calibri" w:hAnsi="Calibri" w:cs="Calibri"/>
                <w:sz w:val="22"/>
                <w:szCs w:val="22"/>
              </w:rPr>
              <w:t xml:space="preserve">at is a component of the IFR.  </w:t>
            </w:r>
            <w:r w:rsidRPr="006C7CAE">
              <w:rPr>
                <w:rFonts w:ascii="Calibri" w:eastAsia="Calibri" w:hAnsi="Calibri" w:cs="Calibri"/>
                <w:sz w:val="22"/>
                <w:szCs w:val="22"/>
              </w:rPr>
              <w:t>In addition the proposed CSC consultation process seems at odds with the IFR in that any result of the consultation would be approved by the ccNSO and RySG, a much smaller subset of the com</w:t>
            </w:r>
            <w:r>
              <w:rPr>
                <w:rFonts w:ascii="Calibri" w:eastAsia="Calibri" w:hAnsi="Calibri" w:cs="Calibri"/>
                <w:sz w:val="22"/>
                <w:szCs w:val="22"/>
              </w:rPr>
              <w:t>munity than involved in an IFR.</w:t>
            </w:r>
            <w:r w:rsidRPr="006C7CAE">
              <w:rPr>
                <w:rFonts w:ascii="Calibri" w:eastAsia="Calibri" w:hAnsi="Calibri" w:cs="Calibri"/>
                <w:sz w:val="22"/>
                <w:szCs w:val="22"/>
              </w:rPr>
              <w:t xml:space="preserve"> Our preference would be for any such material changes </w:t>
            </w:r>
            <w:proofErr w:type="gramStart"/>
            <w:r w:rsidRPr="006C7CAE">
              <w:rPr>
                <w:rFonts w:ascii="Calibri" w:eastAsia="Calibri" w:hAnsi="Calibri" w:cs="Calibri"/>
                <w:sz w:val="22"/>
                <w:szCs w:val="22"/>
              </w:rPr>
              <w:t>be</w:t>
            </w:r>
            <w:proofErr w:type="gramEnd"/>
            <w:r w:rsidRPr="006C7CAE">
              <w:rPr>
                <w:rFonts w:ascii="Calibri" w:eastAsia="Calibri" w:hAnsi="Calibri" w:cs="Calibri"/>
                <w:sz w:val="22"/>
                <w:szCs w:val="22"/>
              </w:rPr>
              <w:t xml:space="preserve"> reviewed as a part of the IFR special review process.</w:t>
            </w:r>
          </w:p>
          <w:p w:rsidR="00E403C5" w:rsidRPr="006C7CAE" w:rsidRDefault="00E403C5" w:rsidP="00DF2B43">
            <w:pPr>
              <w:pStyle w:val="Normal1"/>
              <w:contextualSpacing w:val="0"/>
              <w:rPr>
                <w:sz w:val="22"/>
                <w:szCs w:val="22"/>
              </w:rPr>
            </w:pPr>
          </w:p>
          <w:p w:rsidR="00E403C5" w:rsidRPr="00306669" w:rsidRDefault="00E403C5" w:rsidP="00DF2B43">
            <w:pPr>
              <w:rPr>
                <w:rFonts w:ascii="Calibri" w:eastAsia="SimSun" w:hAnsi="Calibri"/>
                <w:sz w:val="22"/>
                <w:szCs w:val="22"/>
                <w:lang w:eastAsia="zh-CN"/>
              </w:rPr>
            </w:pPr>
            <w:r w:rsidRPr="006C7CAE">
              <w:rPr>
                <w:rFonts w:ascii="Calibri" w:eastAsia="Calibri" w:hAnsi="Calibri" w:cs="Calibri"/>
                <w:sz w:val="22"/>
                <w:szCs w:val="22"/>
              </w:rPr>
              <w:t>The process for addressing “systemic problems” on p 68 needs to be further elaborated as this is a key part of any escalation process.  While it may be convenient to footnote to “IRP and CCWG Accountability WS 1 mechanisms”, filling this escalation gap with a fully spelled out and credible community based process that is proven and effective will be essential prior to the finalization of the proposal.</w:t>
            </w:r>
          </w:p>
        </w:tc>
        <w:tc>
          <w:tcPr>
            <w:tcW w:w="3870" w:type="dxa"/>
            <w:shd w:val="clear" w:color="auto" w:fill="FFFF99"/>
          </w:tcPr>
          <w:p w:rsidR="00E403C5" w:rsidRDefault="00E403C5" w:rsidP="00DF2B43">
            <w:pPr>
              <w:contextualSpacing/>
              <w:rPr>
                <w:rFonts w:ascii="Calibri" w:hAnsi="Calibri"/>
                <w:b/>
                <w:i/>
                <w:sz w:val="22"/>
              </w:rPr>
            </w:pPr>
            <w:r w:rsidRPr="00B74932">
              <w:rPr>
                <w:rFonts w:ascii="Calibri" w:hAnsi="Calibri"/>
                <w:b/>
                <w:i/>
                <w:sz w:val="22"/>
              </w:rPr>
              <w:lastRenderedPageBreak/>
              <w:t>The CWG</w:t>
            </w:r>
            <w:r>
              <w:rPr>
                <w:rFonts w:ascii="Calibri" w:hAnsi="Calibri"/>
                <w:b/>
                <w:i/>
                <w:sz w:val="22"/>
              </w:rPr>
              <w:t>-Stewardship</w:t>
            </w:r>
            <w:r w:rsidRPr="00B74932">
              <w:rPr>
                <w:rFonts w:ascii="Calibri" w:hAnsi="Calibri"/>
                <w:b/>
                <w:i/>
                <w:sz w:val="22"/>
              </w:rPr>
              <w:t xml:space="preserve"> appreciates your </w:t>
            </w:r>
            <w:r w:rsidRPr="00B74932">
              <w:rPr>
                <w:rFonts w:ascii="Calibri" w:hAnsi="Calibri"/>
                <w:b/>
                <w:i/>
                <w:sz w:val="22"/>
              </w:rPr>
              <w:lastRenderedPageBreak/>
              <w:t>feedback</w:t>
            </w:r>
            <w:r>
              <w:rPr>
                <w:rFonts w:ascii="Calibri" w:hAnsi="Calibri"/>
                <w:b/>
                <w:i/>
                <w:sz w:val="22"/>
              </w:rPr>
              <w:t xml:space="preserve"> and will factor this into its subsequent deliberations.</w:t>
            </w:r>
          </w:p>
          <w:p w:rsidR="00E403C5" w:rsidRDefault="00E403C5" w:rsidP="00DF2B43">
            <w:pPr>
              <w:contextualSpacing/>
              <w:rPr>
                <w:rFonts w:ascii="Calibri" w:hAnsi="Calibri"/>
                <w:b/>
                <w:i/>
                <w:sz w:val="22"/>
              </w:rPr>
            </w:pPr>
          </w:p>
          <w:p w:rsidR="00E403C5" w:rsidRPr="0038742D" w:rsidRDefault="00E403C5" w:rsidP="00DF2B43">
            <w:pPr>
              <w:contextualSpacing/>
              <w:rPr>
                <w:rFonts w:ascii="Calibri" w:hAnsi="Calibri"/>
                <w:b/>
                <w:i/>
                <w:sz w:val="22"/>
              </w:rPr>
            </w:pPr>
            <w:r w:rsidRPr="00381EAF">
              <w:rPr>
                <w:rFonts w:ascii="Calibri" w:hAnsi="Calibri"/>
                <w:b/>
                <w:i/>
                <w:sz w:val="22"/>
                <w:highlight w:val="cyan"/>
              </w:rPr>
              <w:t xml:space="preserve">Action: CWG-Stewardship (DT-M) to </w:t>
            </w:r>
            <w:r>
              <w:rPr>
                <w:rFonts w:ascii="Calibri" w:hAnsi="Calibri"/>
                <w:b/>
                <w:i/>
                <w:sz w:val="22"/>
                <w:highlight w:val="cyan"/>
              </w:rPr>
              <w:t>review suggested inconsistencies and address lack of detail</w:t>
            </w:r>
            <w:r w:rsidRPr="00381EAF">
              <w:rPr>
                <w:rFonts w:ascii="Calibri" w:hAnsi="Calibri"/>
                <w:b/>
                <w:i/>
                <w:sz w:val="22"/>
                <w:highlight w:val="cyan"/>
              </w:rPr>
              <w:t>.</w:t>
            </w:r>
          </w:p>
        </w:tc>
      </w:tr>
    </w:tbl>
    <w:p w:rsidR="007B38F0" w:rsidRDefault="00DC5F32"/>
    <w:sectPr w:rsidR="007B38F0" w:rsidSect="00E403C5">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0000012" w:usb3="00000000" w:csb0="0002009F" w:csb1="00000000"/>
  </w:font>
  <w:font w:name="SimSun">
    <w:altName w:val="宋体"/>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03C5"/>
    <w:rsid w:val="003A2AD3"/>
    <w:rsid w:val="008E050D"/>
    <w:rsid w:val="00D07108"/>
    <w:rsid w:val="00DC5F32"/>
    <w:rsid w:val="00E403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03C5"/>
    <w:pPr>
      <w:spacing w:after="0" w:line="240" w:lineRule="auto"/>
    </w:pPr>
    <w:rPr>
      <w:rFonts w:ascii="Cambria" w:eastAsia="MS Mincho"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E403C5"/>
    <w:pPr>
      <w:ind w:left="720"/>
      <w:contextualSpacing/>
    </w:pPr>
    <w:rPr>
      <w:rFonts w:eastAsia="Cambria"/>
    </w:rPr>
  </w:style>
  <w:style w:type="paragraph" w:customStyle="1" w:styleId="Normal1">
    <w:name w:val="Normal1"/>
    <w:rsid w:val="00E403C5"/>
    <w:pPr>
      <w:widowControl w:val="0"/>
      <w:spacing w:after="0" w:line="240" w:lineRule="auto"/>
      <w:contextualSpacing/>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03C5"/>
    <w:pPr>
      <w:spacing w:after="0" w:line="240" w:lineRule="auto"/>
    </w:pPr>
    <w:rPr>
      <w:rFonts w:ascii="Cambria" w:eastAsia="MS Mincho"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E403C5"/>
    <w:pPr>
      <w:ind w:left="720"/>
      <w:contextualSpacing/>
    </w:pPr>
    <w:rPr>
      <w:rFonts w:eastAsia="Cambria"/>
    </w:rPr>
  </w:style>
  <w:style w:type="paragraph" w:customStyle="1" w:styleId="Normal1">
    <w:name w:val="Normal1"/>
    <w:rsid w:val="00E403C5"/>
    <w:pPr>
      <w:widowControl w:val="0"/>
      <w:spacing w:after="0" w:line="240" w:lineRule="auto"/>
      <w:contextualSpacing/>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551</Words>
  <Characters>3145</Characters>
  <Application>Microsoft Macintosh Word</Application>
  <DocSecurity>4</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Verisign Inc</Company>
  <LinksUpToDate>false</LinksUpToDate>
  <CharactersWithSpaces>3689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Chuck Gomes</dc:creator>
  <cp:lastModifiedBy>Grace Abuhamad</cp:lastModifiedBy>
  <cp:revision>2</cp:revision>
  <dcterms:created xsi:type="dcterms:W3CDTF">2015-06-16T01:19:00Z</dcterms:created>
  <dcterms:modified xsi:type="dcterms:W3CDTF">2015-06-16T01:19:00Z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-856418020</vt:i4>
  </property>
  <property fmtid="{D5CDD505-2E9C-101B-9397-08002B2CF9AE}" pid="3" name="_NewReviewCycle">
    <vt:lpwstr/>
  </property>
  <property fmtid="{D5CDD505-2E9C-101B-9397-08002B2CF9AE}" pid="4" name="_EmailSubject">
    <vt:lpwstr>DT-M Public Comment Action Items</vt:lpwstr>
  </property>
  <property fmtid="{D5CDD505-2E9C-101B-9397-08002B2CF9AE}" pid="5" name="_AuthorEmail">
    <vt:lpwstr>cgomes@verisign.com</vt:lpwstr>
  </property>
  <property fmtid="{D5CDD505-2E9C-101B-9397-08002B2CF9AE}" pid="6" name="_AuthorEmailDisplayName">
    <vt:lpwstr>Gomes, Chuck</vt:lpwstr>
  </property>
</Properties>
</file>