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Ind w:w="462" w:type="dxa"/>
        <w:tblLayout w:type="fixed"/>
        <w:tblLook w:val="04A0" w:firstRow="1" w:lastRow="0" w:firstColumn="1" w:lastColumn="0" w:noHBand="0" w:noVBand="1"/>
      </w:tblPr>
      <w:tblGrid>
        <w:gridCol w:w="3876"/>
        <w:gridCol w:w="3596"/>
      </w:tblGrid>
      <w:tr w:rsidR="00B024E0" w:rsidRPr="00B024E0" w14:paraId="38073F0F" w14:textId="77777777" w:rsidTr="003363E9">
        <w:trPr>
          <w:jc w:val="center"/>
        </w:trPr>
        <w:tc>
          <w:tcPr>
            <w:tcW w:w="7472" w:type="dxa"/>
            <w:gridSpan w:val="2"/>
            <w:tcBorders>
              <w:bottom w:val="single" w:sz="4" w:space="0" w:color="auto"/>
            </w:tcBorders>
            <w:shd w:val="clear" w:color="auto" w:fill="8C8C8C"/>
          </w:tcPr>
          <w:p w14:paraId="2EB6DB49" w14:textId="33FB4610" w:rsidR="00B024E0" w:rsidRPr="00B024E0" w:rsidRDefault="00402A1A" w:rsidP="00B024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</w:rPr>
            </w:pPr>
            <w:bookmarkStart w:id="0" w:name="_GoBack"/>
            <w:bookmarkEnd w:id="0"/>
            <w:r w:rsidRPr="00402A1A">
              <w:rPr>
                <w:rFonts w:asciiTheme="majorHAnsi" w:hAnsiTheme="majorHAnsi"/>
                <w:b/>
                <w:sz w:val="20"/>
                <w:szCs w:val="20"/>
              </w:rPr>
              <w:t>III.A.2 Oversight and Accountability - NTIA acting as Root Zone Management Process Administrator</w:t>
            </w:r>
          </w:p>
        </w:tc>
      </w:tr>
      <w:tr w:rsidR="00B024E0" w:rsidRPr="00B024E0" w14:paraId="05AB727D" w14:textId="77777777" w:rsidTr="003363E9">
        <w:trPr>
          <w:trHeight w:val="233"/>
          <w:jc w:val="center"/>
        </w:trPr>
        <w:tc>
          <w:tcPr>
            <w:tcW w:w="7472" w:type="dxa"/>
            <w:gridSpan w:val="2"/>
            <w:tcBorders>
              <w:bottom w:val="single" w:sz="4" w:space="0" w:color="auto"/>
            </w:tcBorders>
            <w:shd w:val="clear" w:color="auto" w:fill="B3B3B3"/>
          </w:tcPr>
          <w:p w14:paraId="090AFD7E" w14:textId="77777777" w:rsidR="00B024E0" w:rsidRPr="00B024E0" w:rsidRDefault="00B024E0" w:rsidP="00B024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B024E0">
              <w:rPr>
                <w:rFonts w:asciiTheme="majorHAnsi" w:hAnsiTheme="majorHAnsi"/>
                <w:b/>
                <w:sz w:val="20"/>
                <w:szCs w:val="20"/>
              </w:rPr>
              <w:t>Background / Current State</w:t>
            </w:r>
          </w:p>
        </w:tc>
      </w:tr>
      <w:tr w:rsidR="00B024E0" w:rsidRPr="00B024E0" w14:paraId="3640FC4A" w14:textId="77777777" w:rsidTr="003363E9">
        <w:trPr>
          <w:jc w:val="center"/>
        </w:trPr>
        <w:tc>
          <w:tcPr>
            <w:tcW w:w="7472" w:type="dxa"/>
            <w:gridSpan w:val="2"/>
            <w:tcBorders>
              <w:bottom w:val="single" w:sz="4" w:space="0" w:color="auto"/>
            </w:tcBorders>
          </w:tcPr>
          <w:p w14:paraId="587B1EE3" w14:textId="5E188549" w:rsidR="00B024E0" w:rsidRPr="003363E9" w:rsidRDefault="00402A1A" w:rsidP="00402A1A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3363E9">
              <w:rPr>
                <w:rFonts w:asciiTheme="majorHAnsi" w:hAnsiTheme="majorHAnsi"/>
                <w:sz w:val="20"/>
                <w:szCs w:val="20"/>
              </w:rPr>
              <w:t xml:space="preserve">Currently the NTIA acting as the Root Zone Management Process Administrator must approve all changes to the Root Zone itself or the Root Zone </w:t>
            </w:r>
            <w:proofErr w:type="spellStart"/>
            <w:r w:rsidRPr="003363E9">
              <w:rPr>
                <w:rFonts w:asciiTheme="majorHAnsi" w:hAnsiTheme="majorHAnsi"/>
                <w:sz w:val="20"/>
                <w:szCs w:val="20"/>
              </w:rPr>
              <w:t>Whois</w:t>
            </w:r>
            <w:proofErr w:type="spellEnd"/>
            <w:r w:rsidRPr="003363E9">
              <w:rPr>
                <w:rFonts w:asciiTheme="majorHAnsi" w:hAnsiTheme="majorHAnsi"/>
                <w:sz w:val="20"/>
                <w:szCs w:val="20"/>
              </w:rPr>
              <w:t xml:space="preserve"> database that are proposed by IANA before they can be implemented. To the CWG’s knowledge, </w:t>
            </w:r>
            <w:r w:rsidR="00212BD1" w:rsidRPr="003363E9">
              <w:rPr>
                <w:rFonts w:asciiTheme="majorHAnsi" w:hAnsiTheme="majorHAnsi"/>
                <w:sz w:val="20"/>
                <w:szCs w:val="20"/>
              </w:rPr>
              <w:t>t</w:t>
            </w:r>
            <w:r w:rsidRPr="003363E9">
              <w:rPr>
                <w:rFonts w:ascii="Calibri" w:hAnsi="Calibri" w:cs="Calibri"/>
                <w:sz w:val="20"/>
                <w:szCs w:val="20"/>
                <w:lang w:val="en-US" w:eastAsia="en-US"/>
              </w:rPr>
              <w:t>here has never been a case where NTIA did not authorize a change</w:t>
            </w:r>
            <w:r w:rsidR="003363E9">
              <w:rPr>
                <w:rFonts w:ascii="Calibri" w:hAnsi="Calibri" w:cs="Calibri"/>
                <w:sz w:val="20"/>
                <w:szCs w:val="20"/>
                <w:lang w:val="en-US" w:eastAsia="en-US"/>
              </w:rPr>
              <w:t xml:space="preserve"> request. As documented by NTIA </w:t>
            </w:r>
            <w:r w:rsidRPr="003363E9">
              <w:rPr>
                <w:rFonts w:ascii="Calibri" w:hAnsi="Calibri" w:cs="Calibri"/>
                <w:sz w:val="20"/>
                <w:szCs w:val="20"/>
                <w:lang w:val="en-US" w:eastAsia="en-US"/>
              </w:rPr>
              <w:t>at </w:t>
            </w:r>
            <w:hyperlink r:id="rId6" w:history="1">
              <w:r w:rsidRPr="003363E9">
                <w:rPr>
                  <w:rFonts w:ascii="Calibri" w:hAnsi="Calibri" w:cs="Calibri"/>
                  <w:color w:val="0000E9"/>
                  <w:sz w:val="20"/>
                  <w:szCs w:val="20"/>
                  <w:u w:val="single" w:color="0000E9"/>
                  <w:lang w:val="en-US" w:eastAsia="en-US"/>
                </w:rPr>
                <w:t>http://www.ntia.doc.gov/files/ntia/publications/ntias_role_root_zone_management_12162014.pdf</w:t>
              </w:r>
            </w:hyperlink>
            <w:r w:rsidRPr="003363E9">
              <w:rPr>
                <w:rFonts w:ascii="Calibri" w:hAnsi="Calibri" w:cs="Calibri"/>
                <w:sz w:val="20"/>
                <w:szCs w:val="20"/>
                <w:lang w:val="en-US" w:eastAsia="en-US"/>
              </w:rPr>
              <w:t xml:space="preserve">, what NTIA largely does is to verify the change request is correctly formatted (see page 8) </w:t>
            </w:r>
            <w:r w:rsidR="00212BD1" w:rsidRPr="003363E9">
              <w:rPr>
                <w:rFonts w:ascii="Calibri" w:hAnsi="Calibri" w:cs="Calibri"/>
                <w:sz w:val="20"/>
                <w:szCs w:val="20"/>
                <w:lang w:val="en-US" w:eastAsia="en-US"/>
              </w:rPr>
              <w:t xml:space="preserve">(note, these change requests are now automated). </w:t>
            </w:r>
            <w:r w:rsidRPr="003363E9">
              <w:rPr>
                <w:rFonts w:asciiTheme="majorHAnsi" w:hAnsiTheme="majorHAnsi"/>
                <w:sz w:val="20"/>
                <w:szCs w:val="20"/>
              </w:rPr>
              <w:t>The CWG needs to decide if this function needs to be replaced post-transition and if so how.</w:t>
            </w:r>
            <w:r w:rsidR="00CD5306" w:rsidRPr="003363E9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212BD1" w:rsidRPr="003363E9">
              <w:rPr>
                <w:rFonts w:asciiTheme="majorHAnsi" w:hAnsiTheme="majorHAnsi"/>
                <w:sz w:val="20"/>
                <w:szCs w:val="20"/>
              </w:rPr>
              <w:t>In doing so, the CWG considered the following three options:</w:t>
            </w:r>
          </w:p>
          <w:p w14:paraId="1E53356C" w14:textId="496132E4" w:rsidR="00212BD1" w:rsidRPr="003363E9" w:rsidRDefault="00212BD1" w:rsidP="00CD5306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363E9">
              <w:rPr>
                <w:rFonts w:ascii="Calibri" w:hAnsi="Calibri" w:cs="Calibri"/>
                <w:sz w:val="20"/>
                <w:szCs w:val="20"/>
                <w:lang w:val="en-US"/>
              </w:rPr>
              <w:t>R</w:t>
            </w:r>
            <w:r w:rsidR="00CD5306" w:rsidRPr="003363E9">
              <w:rPr>
                <w:rFonts w:ascii="Calibri" w:hAnsi="Calibri" w:cs="Calibri"/>
                <w:sz w:val="20"/>
                <w:szCs w:val="20"/>
                <w:lang w:val="en-US"/>
              </w:rPr>
              <w:t>emove the authorization requirement;</w:t>
            </w:r>
          </w:p>
          <w:p w14:paraId="165C769E" w14:textId="77777777" w:rsidR="00212BD1" w:rsidRPr="003363E9" w:rsidRDefault="00212BD1" w:rsidP="00212BD1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363E9">
              <w:rPr>
                <w:rFonts w:ascii="Calibri" w:hAnsi="Calibri" w:cs="Calibri"/>
                <w:sz w:val="20"/>
                <w:szCs w:val="20"/>
                <w:lang w:val="en-US"/>
              </w:rPr>
              <w:t>R</w:t>
            </w:r>
            <w:r w:rsidR="00CD5306" w:rsidRPr="003363E9">
              <w:rPr>
                <w:rFonts w:ascii="Calibri" w:hAnsi="Calibri" w:cs="Calibri"/>
                <w:sz w:val="20"/>
                <w:szCs w:val="20"/>
                <w:lang w:val="en-US"/>
              </w:rPr>
              <w:t>eplace NTIA with a single authorizer; or</w:t>
            </w:r>
          </w:p>
          <w:p w14:paraId="1D53E33A" w14:textId="743F3CC6" w:rsidR="00CD5306" w:rsidRPr="00212BD1" w:rsidRDefault="00212BD1" w:rsidP="00212BD1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3363E9">
              <w:rPr>
                <w:rFonts w:ascii="Calibri" w:hAnsi="Calibri" w:cs="Calibri"/>
                <w:sz w:val="20"/>
                <w:szCs w:val="20"/>
                <w:lang w:val="en-US"/>
              </w:rPr>
              <w:t>R</w:t>
            </w:r>
            <w:r w:rsidR="00CD5306" w:rsidRPr="003363E9">
              <w:rPr>
                <w:rFonts w:ascii="Calibri" w:hAnsi="Calibri" w:cs="Calibri"/>
                <w:sz w:val="20"/>
                <w:szCs w:val="20"/>
                <w:lang w:val="en-US"/>
              </w:rPr>
              <w:t>eplace NTIA with multiple authorizers.</w:t>
            </w:r>
          </w:p>
        </w:tc>
      </w:tr>
      <w:tr w:rsidR="00B024E0" w:rsidRPr="00B024E0" w14:paraId="187E0C05" w14:textId="77777777" w:rsidTr="003363E9">
        <w:trPr>
          <w:jc w:val="center"/>
        </w:trPr>
        <w:tc>
          <w:tcPr>
            <w:tcW w:w="7472" w:type="dxa"/>
            <w:gridSpan w:val="2"/>
            <w:shd w:val="clear" w:color="auto" w:fill="B3B3B3"/>
          </w:tcPr>
          <w:p w14:paraId="761B8303" w14:textId="77777777" w:rsidR="00B024E0" w:rsidRPr="00B024E0" w:rsidRDefault="00B024E0" w:rsidP="00B024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</w:rPr>
            </w:pPr>
            <w:r w:rsidRPr="00B024E0">
              <w:rPr>
                <w:rFonts w:asciiTheme="majorHAnsi" w:hAnsiTheme="majorHAnsi"/>
                <w:b/>
                <w:sz w:val="20"/>
                <w:szCs w:val="20"/>
              </w:rPr>
              <w:t>Issues Identified &amp; Rationale for Changes, if any</w:t>
            </w:r>
          </w:p>
        </w:tc>
      </w:tr>
      <w:tr w:rsidR="00B024E0" w:rsidRPr="00B024E0" w14:paraId="2BB243FD" w14:textId="77777777" w:rsidTr="003363E9">
        <w:trPr>
          <w:jc w:val="center"/>
        </w:trPr>
        <w:tc>
          <w:tcPr>
            <w:tcW w:w="7472" w:type="dxa"/>
            <w:gridSpan w:val="2"/>
            <w:tcBorders>
              <w:bottom w:val="single" w:sz="4" w:space="0" w:color="auto"/>
            </w:tcBorders>
          </w:tcPr>
          <w:p w14:paraId="437AA460" w14:textId="69380905" w:rsidR="00CD5306" w:rsidRPr="003363E9" w:rsidRDefault="00212BD1" w:rsidP="00CD5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 w:eastAsia="en-US"/>
              </w:rPr>
            </w:pPr>
            <w:r w:rsidRPr="003363E9">
              <w:rPr>
                <w:rFonts w:ascii="Calibri" w:hAnsi="Calibri" w:cs="Calibri"/>
                <w:sz w:val="20"/>
                <w:szCs w:val="20"/>
                <w:lang w:val="en-US" w:eastAsia="en-US"/>
              </w:rPr>
              <w:t>In its deliberations, the</w:t>
            </w:r>
            <w:r w:rsidR="00CD5306" w:rsidRPr="003363E9">
              <w:rPr>
                <w:rFonts w:ascii="Calibri" w:hAnsi="Calibri" w:cs="Calibri"/>
                <w:sz w:val="20"/>
                <w:szCs w:val="20"/>
                <w:lang w:val="en-US" w:eastAsia="en-US"/>
              </w:rPr>
              <w:t xml:space="preserve"> CWG noted </w:t>
            </w:r>
            <w:r w:rsidRPr="003363E9">
              <w:rPr>
                <w:rFonts w:ascii="Calibri" w:hAnsi="Calibri" w:cs="Calibri"/>
                <w:sz w:val="20"/>
                <w:szCs w:val="20"/>
                <w:lang w:val="en-US" w:eastAsia="en-US"/>
              </w:rPr>
              <w:t>that</w:t>
            </w:r>
            <w:r w:rsidR="00CD5306" w:rsidRPr="003363E9">
              <w:rPr>
                <w:rFonts w:ascii="Calibri" w:hAnsi="Calibri" w:cs="Calibri"/>
                <w:sz w:val="20"/>
                <w:szCs w:val="20"/>
                <w:lang w:val="en-US" w:eastAsia="en-US"/>
              </w:rPr>
              <w:t>:</w:t>
            </w:r>
          </w:p>
          <w:p w14:paraId="361A87EB" w14:textId="77777777" w:rsidR="00212BD1" w:rsidRPr="003363E9" w:rsidRDefault="00CD5306" w:rsidP="00212BD1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363E9">
              <w:rPr>
                <w:rFonts w:ascii="Calibri" w:hAnsi="Calibri" w:cs="Calibri"/>
                <w:sz w:val="20"/>
                <w:szCs w:val="20"/>
                <w:lang w:val="en-US"/>
              </w:rPr>
              <w:t>There is the need for robust and secure procedures that should eliminate the risk of any mistakes as far as possible;</w:t>
            </w:r>
          </w:p>
          <w:p w14:paraId="6E1AA470" w14:textId="5F04C7EC" w:rsidR="00212BD1" w:rsidRPr="003363E9" w:rsidRDefault="00212BD1" w:rsidP="00212BD1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363E9">
              <w:rPr>
                <w:rFonts w:ascii="Calibri" w:hAnsi="Calibri" w:cs="Calibri"/>
                <w:sz w:val="20"/>
                <w:szCs w:val="20"/>
                <w:lang w:val="en-US"/>
              </w:rPr>
              <w:t xml:space="preserve">At the same time, what is currently reviewed by NTIA is 1) Did ICANN </w:t>
            </w:r>
            <w:proofErr w:type="gramStart"/>
            <w:r w:rsidRPr="003363E9">
              <w:rPr>
                <w:rFonts w:ascii="Calibri" w:hAnsi="Calibri" w:cs="Calibri"/>
                <w:sz w:val="20"/>
                <w:szCs w:val="20"/>
                <w:lang w:val="en-US"/>
              </w:rPr>
              <w:t>follow</w:t>
            </w:r>
            <w:proofErr w:type="gramEnd"/>
            <w:r w:rsidRPr="003363E9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the change notification process correctly? 2) Transmitted securely? 3) Includes the standard set of information (i.e., summary of requested changes)? 4) Self-certification from ICANN that processes followed? 4) Request for authorization? – NTIA does not verify or have access to any information about the circumstances under which the request was lodged</w:t>
            </w:r>
            <w:r w:rsidR="003363E9" w:rsidRPr="003363E9">
              <w:rPr>
                <w:rFonts w:ascii="Calibri" w:hAnsi="Calibri" w:cs="Calibri"/>
                <w:sz w:val="20"/>
                <w:szCs w:val="20"/>
                <w:lang w:val="en-US"/>
              </w:rPr>
              <w:t>;</w:t>
            </w:r>
          </w:p>
          <w:p w14:paraId="5B790814" w14:textId="3F16E21E" w:rsidR="00212BD1" w:rsidRPr="003363E9" w:rsidRDefault="00212BD1" w:rsidP="00CD5306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363E9">
              <w:rPr>
                <w:rFonts w:ascii="Calibri" w:hAnsi="Calibri" w:cs="Calibri"/>
                <w:sz w:val="20"/>
                <w:szCs w:val="20"/>
                <w:lang w:val="en-US"/>
              </w:rPr>
              <w:t>Change requests are now</w:t>
            </w:r>
            <w:r w:rsidR="003363E9" w:rsidRPr="003363E9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automated which appears to eliminate the need for verification of whether all information has been entered and correctly formatted;</w:t>
            </w:r>
          </w:p>
          <w:p w14:paraId="65AB66C6" w14:textId="7FAF5F60" w:rsidR="00CD5306" w:rsidRPr="003363E9" w:rsidRDefault="00CD5306" w:rsidP="00CD5306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363E9">
              <w:rPr>
                <w:rFonts w:ascii="Calibri" w:hAnsi="Calibri" w:cs="Calibri"/>
                <w:sz w:val="20"/>
                <w:szCs w:val="20"/>
                <w:lang w:val="en-US"/>
              </w:rPr>
              <w:t xml:space="preserve">There is the need to </w:t>
            </w:r>
            <w:r w:rsidR="003363E9" w:rsidRPr="003363E9">
              <w:rPr>
                <w:rFonts w:ascii="Calibri" w:hAnsi="Calibri" w:cs="Calibri"/>
                <w:sz w:val="20"/>
                <w:szCs w:val="20"/>
                <w:lang w:val="en-US"/>
              </w:rPr>
              <w:t xml:space="preserve">not </w:t>
            </w:r>
            <w:r w:rsidRPr="003363E9">
              <w:rPr>
                <w:rFonts w:ascii="Calibri" w:hAnsi="Calibri" w:cs="Calibri"/>
                <w:sz w:val="20"/>
                <w:szCs w:val="20"/>
                <w:lang w:val="en-US"/>
              </w:rPr>
              <w:t xml:space="preserve">have </w:t>
            </w:r>
            <w:r w:rsidR="003363E9" w:rsidRPr="003363E9">
              <w:rPr>
                <w:rFonts w:ascii="Calibri" w:hAnsi="Calibri" w:cs="Calibri"/>
                <w:sz w:val="20"/>
                <w:szCs w:val="20"/>
                <w:lang w:val="en-US"/>
              </w:rPr>
              <w:t>any</w:t>
            </w:r>
            <w:r w:rsidRPr="003363E9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other entity have any powers on IANA</w:t>
            </w:r>
            <w:r w:rsidR="003363E9" w:rsidRPr="003363E9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when all the </w:t>
            </w:r>
            <w:r w:rsidR="002112E5">
              <w:rPr>
                <w:rFonts w:ascii="Calibri" w:hAnsi="Calibri" w:cs="Calibri"/>
                <w:sz w:val="20"/>
                <w:szCs w:val="20"/>
                <w:lang w:val="en-US"/>
              </w:rPr>
              <w:t xml:space="preserve">policies and </w:t>
            </w:r>
            <w:r w:rsidR="003363E9" w:rsidRPr="003363E9">
              <w:rPr>
                <w:rFonts w:ascii="Calibri" w:hAnsi="Calibri" w:cs="Calibri"/>
                <w:sz w:val="20"/>
                <w:szCs w:val="20"/>
                <w:lang w:val="en-US"/>
              </w:rPr>
              <w:t xml:space="preserve">processes have been followed, </w:t>
            </w:r>
            <w:r w:rsidR="002112E5">
              <w:rPr>
                <w:rFonts w:ascii="Calibri" w:hAnsi="Calibri" w:cs="Calibri"/>
                <w:sz w:val="20"/>
                <w:szCs w:val="20"/>
                <w:lang w:val="en-US"/>
              </w:rPr>
              <w:t>specifically</w:t>
            </w:r>
            <w:r w:rsidRPr="003363E9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not in </w:t>
            </w:r>
            <w:proofErr w:type="spellStart"/>
            <w:r w:rsidR="002112E5">
              <w:rPr>
                <w:rFonts w:ascii="Calibri" w:hAnsi="Calibri" w:cs="Calibri"/>
                <w:sz w:val="20"/>
                <w:szCs w:val="20"/>
                <w:lang w:val="en-US"/>
              </w:rPr>
              <w:t>ccTLD</w:t>
            </w:r>
            <w:proofErr w:type="spellEnd"/>
            <w:r w:rsidR="002112E5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r w:rsidRPr="003363E9">
              <w:rPr>
                <w:rFonts w:ascii="Calibri" w:hAnsi="Calibri" w:cs="Calibri"/>
                <w:sz w:val="20"/>
                <w:szCs w:val="20"/>
                <w:lang w:val="en-US"/>
              </w:rPr>
              <w:t>delegation/redelegation matters. </w:t>
            </w:r>
          </w:p>
          <w:p w14:paraId="0F0C0B5A" w14:textId="77777777" w:rsidR="00B024E0" w:rsidRPr="003363E9" w:rsidRDefault="00B024E0" w:rsidP="00CD5306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 w:eastAsia="en-US"/>
              </w:rPr>
            </w:pPr>
          </w:p>
          <w:p w14:paraId="5C1C365D" w14:textId="415E703E" w:rsidR="003363E9" w:rsidRPr="003363E9" w:rsidRDefault="003363E9" w:rsidP="00CD5306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 w:eastAsia="en-US"/>
              </w:rPr>
            </w:pPr>
            <w:r w:rsidRPr="003363E9">
              <w:rPr>
                <w:rFonts w:ascii="Calibri" w:hAnsi="Calibri" w:cs="Calibri"/>
                <w:sz w:val="20"/>
                <w:szCs w:val="20"/>
                <w:lang w:val="en-US" w:eastAsia="en-US"/>
              </w:rPr>
              <w:t>As a result of these considerations, the CWG recommends that:</w:t>
            </w:r>
          </w:p>
          <w:p w14:paraId="369FCE18" w14:textId="7FA599D9" w:rsidR="003363E9" w:rsidRPr="00B024E0" w:rsidRDefault="003363E9" w:rsidP="00CD5306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3363E9" w:rsidRPr="00B024E0" w14:paraId="32064207" w14:textId="77777777" w:rsidTr="003363E9">
        <w:trPr>
          <w:jc w:val="center"/>
        </w:trPr>
        <w:tc>
          <w:tcPr>
            <w:tcW w:w="3876" w:type="dxa"/>
            <w:shd w:val="clear" w:color="auto" w:fill="B3B3B3"/>
          </w:tcPr>
          <w:p w14:paraId="70E70F82" w14:textId="4EC9C5F1" w:rsidR="00B024E0" w:rsidRPr="00B024E0" w:rsidRDefault="003363E9" w:rsidP="00B024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Appendix 1 -</w:t>
            </w:r>
            <w:r w:rsidRPr="003363E9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A</w:t>
            </w:r>
            <w:r w:rsidRPr="003363E9">
              <w:rPr>
                <w:rFonts w:asciiTheme="majorHAnsi" w:hAnsiTheme="majorHAnsi"/>
                <w:b/>
                <w:sz w:val="20"/>
                <w:szCs w:val="20"/>
              </w:rPr>
              <w:t xml:space="preserve">uthoritative Root Zone Management Process </w:t>
            </w:r>
          </w:p>
        </w:tc>
        <w:tc>
          <w:tcPr>
            <w:tcW w:w="3596" w:type="dxa"/>
            <w:shd w:val="clear" w:color="auto" w:fill="B3B3B3"/>
          </w:tcPr>
          <w:p w14:paraId="6B4ADCD2" w14:textId="77777777" w:rsidR="00B024E0" w:rsidRPr="00B024E0" w:rsidRDefault="00B024E0" w:rsidP="00B024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Proposed Language</w:t>
            </w:r>
          </w:p>
        </w:tc>
      </w:tr>
      <w:tr w:rsidR="003363E9" w:rsidRPr="00B024E0" w14:paraId="0BCFEEAF" w14:textId="77777777" w:rsidTr="003363E9">
        <w:trPr>
          <w:jc w:val="center"/>
        </w:trPr>
        <w:tc>
          <w:tcPr>
            <w:tcW w:w="3876" w:type="dxa"/>
          </w:tcPr>
          <w:p w14:paraId="351FC303" w14:textId="494A0F5E" w:rsidR="00B024E0" w:rsidRPr="00B024E0" w:rsidRDefault="003363E9" w:rsidP="00B024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See page 15 - </w:t>
            </w:r>
            <w:hyperlink r:id="rId7" w:history="1">
              <w:r w:rsidRPr="007D2F3B">
                <w:rPr>
                  <w:rStyle w:val="Hyperlink"/>
                  <w:rFonts w:asciiTheme="majorHAnsi" w:hAnsiTheme="majorHAnsi"/>
                  <w:sz w:val="20"/>
                  <w:szCs w:val="20"/>
                </w:rPr>
                <w:t>http://www.ntia.doc.gov/files/ntia/publications/sf_26_pg_1-2-final_award_and_sacs.pdf</w:t>
              </w:r>
            </w:hyperlink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  <w:tc>
          <w:tcPr>
            <w:tcW w:w="3596" w:type="dxa"/>
          </w:tcPr>
          <w:p w14:paraId="1E8913F9" w14:textId="77777777" w:rsidR="00B024E0" w:rsidRPr="00B024E0" w:rsidRDefault="00B024E0" w:rsidP="00B024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B024E0">
              <w:rPr>
                <w:rFonts w:asciiTheme="majorHAnsi" w:hAnsiTheme="majorHAnsi"/>
                <w:sz w:val="20"/>
                <w:szCs w:val="20"/>
              </w:rPr>
              <w:t>[Provide your recommended language and/or changes to existing language for inclusion in the Statement of Work]</w:t>
            </w:r>
          </w:p>
        </w:tc>
      </w:tr>
    </w:tbl>
    <w:p w14:paraId="43045E08" w14:textId="77777777" w:rsidR="00881DF5" w:rsidRDefault="00881DF5" w:rsidP="00881DF5">
      <w:pPr>
        <w:spacing w:after="0" w:line="240" w:lineRule="auto"/>
      </w:pPr>
    </w:p>
    <w:p w14:paraId="3EEDED12" w14:textId="77777777" w:rsidR="00881DF5" w:rsidRPr="00881DF5" w:rsidRDefault="00881DF5">
      <w:pPr>
        <w:rPr>
          <w:rFonts w:asciiTheme="majorHAnsi" w:hAnsiTheme="majorHAnsi"/>
        </w:rPr>
      </w:pPr>
    </w:p>
    <w:sectPr w:rsidR="00881DF5" w:rsidRPr="00881DF5" w:rsidSect="00C029D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E2A75"/>
    <w:multiLevelType w:val="hybridMultilevel"/>
    <w:tmpl w:val="01C664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93647FB"/>
    <w:multiLevelType w:val="hybridMultilevel"/>
    <w:tmpl w:val="742E90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7D37C7"/>
    <w:multiLevelType w:val="hybridMultilevel"/>
    <w:tmpl w:val="2B3E64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4E0"/>
    <w:rsid w:val="002112E5"/>
    <w:rsid w:val="00212BD1"/>
    <w:rsid w:val="003363E9"/>
    <w:rsid w:val="00402A1A"/>
    <w:rsid w:val="00741F94"/>
    <w:rsid w:val="00881DF5"/>
    <w:rsid w:val="00B024E0"/>
    <w:rsid w:val="00C029D1"/>
    <w:rsid w:val="00CD5306"/>
    <w:rsid w:val="00EE7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25CCB6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4E0"/>
    <w:pPr>
      <w:spacing w:after="200" w:line="276" w:lineRule="auto"/>
    </w:pPr>
    <w:rPr>
      <w:sz w:val="22"/>
      <w:szCs w:val="22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24E0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table" w:styleId="TableGrid">
    <w:name w:val="Table Grid"/>
    <w:basedOn w:val="TableNormal"/>
    <w:uiPriority w:val="59"/>
    <w:rsid w:val="00B024E0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363E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4E0"/>
    <w:pPr>
      <w:spacing w:after="200" w:line="276" w:lineRule="auto"/>
    </w:pPr>
    <w:rPr>
      <w:sz w:val="22"/>
      <w:szCs w:val="22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24E0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table" w:styleId="TableGrid">
    <w:name w:val="Table Grid"/>
    <w:basedOn w:val="TableNormal"/>
    <w:uiPriority w:val="59"/>
    <w:rsid w:val="00B024E0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363E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9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58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ntia.doc.gov/files/ntia/publications/ntias_role_root_zone_management_12162014.pdf" TargetMode="External"/><Relationship Id="rId7" Type="http://schemas.openxmlformats.org/officeDocument/2006/relationships/hyperlink" Target="http://www.ntia.doc.gov/files/ntia/publications/sf_26_pg_1-2-final_award_and_sacs.pdf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377</Words>
  <Characters>2149</Characters>
  <Application>Microsoft Macintosh Word</Application>
  <DocSecurity>4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Marika Konings</dc:creator>
  <cp:lastModifiedBy>Grace Abuhamad</cp:lastModifiedBy>
  <cp:revision>2</cp:revision>
  <dcterms:created xsi:type="dcterms:W3CDTF">2015-03-23T23:26:00Z</dcterms:created>
  <dcterms:modified xsi:type="dcterms:W3CDTF">2015-03-23T23:26:00Z</dcterms:modified>
</cp:coreProperties>
</file>