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1"/>
        <w:gridCol w:w="1224"/>
      </w:tblGrid>
      <w:tr w:rsidR="00830A3F" w:rsidRPr="00830A3F" w:rsidTr="00830A3F">
        <w:trPr>
          <w:tblHeader/>
        </w:trPr>
        <w:tc>
          <w:tcPr>
            <w:tcW w:w="0" w:type="auto"/>
            <w:gridSpan w:val="2"/>
            <w:shd w:val="clear" w:color="auto" w:fill="D2E0F2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Results</w:t>
            </w: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Number of records in this query: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Total records in survey: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177</w:t>
            </w: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</w:rPr>
              <w:t>Percentage of total: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</w:tr>
    </w:tbl>
    <w:p w:rsidR="00830A3F" w:rsidRPr="00830A3F" w:rsidRDefault="00830A3F" w:rsidP="00830A3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30A3F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830A3F" w:rsidRPr="00830A3F" w:rsidRDefault="00830A3F" w:rsidP="00830A3F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830A3F">
        <w:rPr>
          <w:rFonts w:ascii="Verdana" w:eastAsia="Times New Roman" w:hAnsi="Verdana" w:cs="Times New Roman"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2pt;height:22.8pt" o:ole="">
            <v:imagedata r:id="rId5" o:title=""/>
          </v:shape>
          <w:control r:id="rId6" w:name="DefaultOcxName" w:shapeid="_x0000_i1035"/>
        </w:object>
      </w:r>
    </w:p>
    <w:p w:rsidR="00830A3F" w:rsidRPr="00830A3F" w:rsidRDefault="00830A3F" w:rsidP="00830A3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830A3F">
        <w:rPr>
          <w:rFonts w:ascii="Arial" w:eastAsia="Times New Roman" w:hAnsi="Arial" w:cs="Arial"/>
          <w:vanish/>
          <w:sz w:val="16"/>
          <w:szCs w:val="16"/>
        </w:rPr>
        <w:t>Bottom of Form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30A3F" w:rsidRPr="00830A3F" w:rsidTr="00830A3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821</w:t>
            </w:r>
          </w:p>
        </w:tc>
      </w:tr>
      <w:tr w:rsidR="00830A3F" w:rsidRPr="00830A3F" w:rsidTr="00830A3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Assuming these features are fully configurable and not mandatory to operate the system (but rather determined by policy), do you feel that DNRD-DS should have a standardized permissions framework for both DNRD-DS users (those querying the data) and for the data elements itself (meaning certain DNRD-DS users may see more or less data depending on their permission level – i.e. permission level A may see a registrant’s address but permission level C may only see the registrant’s name.)</w:t>
            </w:r>
          </w:p>
        </w:tc>
      </w:tr>
      <w:tr w:rsidR="00830A3F" w:rsidRPr="00830A3F" w:rsidTr="00830A3F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25.00%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58.33%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This "elevated access" idea is a very poor one. I'm against it. 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This question is so confusing that the results may not be reliable. I cannot answer it without knowing more about the policies behind the permissions framework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registrars should have the permission needed. </w:t>
            </w:r>
            <w:proofErr w:type="gramStart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like</w:t>
            </w:r>
            <w:proofErr w:type="gramEnd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.TEL private whois and requiring retrieval of the admin email for transfers. </w:t>
            </w:r>
            <w:proofErr w:type="gramStart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can't</w:t>
            </w:r>
            <w:proofErr w:type="gramEnd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get that with the current whois lookup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Heinrich Himmler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In the IETF. Policy in ICANN, protocol definition in the IETF. Did I mention? Policy in ICANN, protocol definition in the IETF.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Depends on requirements of law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 xml:space="preserve">misuse can be averted. </w:t>
            </w:r>
            <w:proofErr w:type="gramStart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prior</w:t>
            </w:r>
            <w:proofErr w:type="gramEnd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permission through a online mechanism should help 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This should be policy driven and not in the protocol.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lastRenderedPageBreak/>
              <w:drawing>
                <wp:inline distT="0" distB="0" distL="0" distR="0">
                  <wp:extent cx="6576060" cy="3048000"/>
                  <wp:effectExtent l="0" t="0" r="0" b="0"/>
                  <wp:docPr id="4" name="Picture 4" descr="https://limesurvey.icann.org/tmp/46351ff2d1511ebf18fcf144dbff41f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imesurvey.icann.org/tmp/46351ff2d1511ebf18fcf144dbff41f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0A3F" w:rsidRPr="00830A3F" w:rsidRDefault="00830A3F" w:rsidP="00830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30A3F" w:rsidRPr="00830A3F" w:rsidTr="00830A3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822</w:t>
            </w:r>
          </w:p>
        </w:tc>
      </w:tr>
      <w:tr w:rsidR="00830A3F" w:rsidRPr="00830A3F" w:rsidTr="00830A3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Do you believe that it would be technically and operationally useful to have all DNRD-DS users, even in open and anonymized DNRD-DS services have to make use of a login credential during the query process?</w:t>
            </w:r>
          </w:p>
        </w:tc>
      </w:tr>
      <w:tr w:rsidR="00830A3F" w:rsidRPr="00830A3F" w:rsidTr="00830A3F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Indifferent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Only in specific circumstances; please explain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Comments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lastRenderedPageBreak/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66.67%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gridSpan w:val="3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'Other' Responses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There should be no anonymous use of Whois where special access is given. 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There's a balance between securing the data and inconveniencing "normal" users -- I would envision an Anonymous class of users that have access to certain data (perhaps rate-limited) and Authenticated users that would have access to data based on their credentials (and perhaps NOT rate limited, again depending on credentials)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Felix Dzerzhinsky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Possibly. 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users</w:t>
            </w:r>
            <w:proofErr w:type="gramEnd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who mine the whois for email addresses and spam would then be known, as long as the logins are not anonymous. </w:t>
            </w:r>
            <w:proofErr w:type="gramStart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users</w:t>
            </w:r>
            <w:proofErr w:type="gramEnd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(readers) of whois need to identify themselves and be validated just as much as registrants (writers) have to do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Thin WHOIS is operated on thousends of servers. Logins whould be a nightmare. For special access like "updates" oder "member access" a different interface, which needs authentication should be used.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I want the whois as public as possible. It is important to keep it open. 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  <w:t>Publicly available data should not require authentication.</w:t>
            </w: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br/>
            </w:r>
            <w:proofErr w:type="gramStart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in</w:t>
            </w:r>
            <w:proofErr w:type="gramEnd"/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 xml:space="preserve"> case of proxy whois usage.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3" name="Picture 3" descr="https://limesurvey.icann.org/tmp/cf4d5c6f3a375695f1732305bf5bc5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imesurvey.icann.org/tmp/cf4d5c6f3a375695f1732305bf5bc5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0A3F" w:rsidRPr="00830A3F" w:rsidRDefault="00830A3F" w:rsidP="00830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0A3F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830A3F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8F8FF"/>
        </w:rPr>
        <w:t>   </w:t>
      </w: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0"/>
        <w:gridCol w:w="1665"/>
        <w:gridCol w:w="2220"/>
        <w:gridCol w:w="1665"/>
      </w:tblGrid>
      <w:tr w:rsidR="00830A3F" w:rsidRPr="00830A3F" w:rsidTr="00830A3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824</w:t>
            </w:r>
          </w:p>
        </w:tc>
      </w:tr>
      <w:tr w:rsidR="00830A3F" w:rsidRPr="00830A3F" w:rsidTr="00830A3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Where do you see granulated access to DNRD-DS on a 1 to 5 scale of importance? ["1" being the Most Important, "5" being the Least Important]</w:t>
            </w:r>
          </w:p>
        </w:tc>
      </w:tr>
      <w:tr w:rsidR="00830A3F" w:rsidRPr="00830A3F" w:rsidTr="00830A3F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7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0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7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Sum</w:t>
            </w: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 (1)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 (2)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3 (3)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0.60%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0.60%</w:t>
            </w: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 (4)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 (5)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1.19%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1.19%</w:t>
            </w: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Sum (Answers)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100.00%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100.00%</w:t>
            </w: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Number of cases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100.00%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75.00%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Arithmetic mean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4.33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Standard deviation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1.15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 </w:t>
            </w:r>
          </w:p>
        </w:tc>
      </w:tr>
      <w:tr w:rsidR="00830A3F" w:rsidRPr="00830A3F" w:rsidTr="00830A3F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2" name="Picture 2" descr="https://limesurvey.icann.org/tmp/e88a2583736438b6f79b97a08b7cf2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imesurvey.icann.org/tmp/e88a2583736438b6f79b97a08b7cf2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0A3F" w:rsidRPr="00830A3F" w:rsidRDefault="00830A3F" w:rsidP="00830A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EEF6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2"/>
        <w:gridCol w:w="2766"/>
        <w:gridCol w:w="2766"/>
        <w:gridCol w:w="36"/>
      </w:tblGrid>
      <w:tr w:rsidR="00830A3F" w:rsidRPr="00830A3F" w:rsidTr="00830A3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Field summary for 825</w:t>
            </w:r>
          </w:p>
        </w:tc>
      </w:tr>
      <w:tr w:rsidR="00830A3F" w:rsidRPr="00830A3F" w:rsidTr="00830A3F">
        <w:trPr>
          <w:tblHeader/>
        </w:trPr>
        <w:tc>
          <w:tcPr>
            <w:tcW w:w="0" w:type="auto"/>
            <w:gridSpan w:val="4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lastRenderedPageBreak/>
              <w:t>Is granulated access to DNRD-DS data a requirement in support of local laws in your operating jurisdiction?</w:t>
            </w:r>
          </w:p>
        </w:tc>
      </w:tr>
      <w:tr w:rsidR="00830A3F" w:rsidRPr="00830A3F" w:rsidTr="00830A3F">
        <w:trPr>
          <w:tblHeader/>
        </w:trPr>
        <w:tc>
          <w:tcPr>
            <w:tcW w:w="250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Answer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Count</w:t>
            </w:r>
          </w:p>
        </w:tc>
        <w:tc>
          <w:tcPr>
            <w:tcW w:w="1250" w:type="pct"/>
            <w:shd w:val="clear" w:color="auto" w:fill="D2E0F2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b/>
                <w:bCs/>
                <w:color w:val="1D2D45"/>
                <w:sz w:val="20"/>
                <w:szCs w:val="20"/>
              </w:rPr>
              <w:t>Percentage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Yes (Y)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(N)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0.56%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right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No answer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 w:rsidRPr="00830A3F"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  <w:t>5.65%  </w:t>
            </w:r>
          </w:p>
        </w:tc>
        <w:tc>
          <w:tcPr>
            <w:tcW w:w="0" w:type="auto"/>
            <w:shd w:val="clear" w:color="auto" w:fill="EEF6FF"/>
            <w:vAlign w:val="center"/>
            <w:hideMark/>
          </w:tcPr>
          <w:p w:rsidR="00830A3F" w:rsidRPr="00830A3F" w:rsidRDefault="00830A3F" w:rsidP="00830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0A3F" w:rsidRPr="00830A3F" w:rsidTr="00830A3F">
        <w:tc>
          <w:tcPr>
            <w:tcW w:w="0" w:type="auto"/>
            <w:gridSpan w:val="4"/>
            <w:shd w:val="clear" w:color="auto" w:fill="EEF6FF"/>
            <w:tcMar>
              <w:top w:w="45" w:type="dxa"/>
              <w:left w:w="150" w:type="dxa"/>
              <w:bottom w:w="45" w:type="dxa"/>
              <w:right w:w="150" w:type="dxa"/>
            </w:tcMar>
            <w:hideMark/>
          </w:tcPr>
          <w:p w:rsidR="00830A3F" w:rsidRPr="00830A3F" w:rsidRDefault="00830A3F" w:rsidP="00830A3F">
            <w:pPr>
              <w:spacing w:after="300" w:line="240" w:lineRule="auto"/>
              <w:jc w:val="center"/>
              <w:rPr>
                <w:rFonts w:ascii="Verdana" w:eastAsia="Times New Roman" w:hAnsi="Verdana" w:cs="Times New Roman"/>
                <w:color w:val="1D2D45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noProof/>
                <w:color w:val="1D2D45"/>
                <w:sz w:val="20"/>
                <w:szCs w:val="20"/>
              </w:rPr>
              <w:drawing>
                <wp:inline distT="0" distB="0" distL="0" distR="0">
                  <wp:extent cx="6576060" cy="3048000"/>
                  <wp:effectExtent l="0" t="0" r="0" b="0"/>
                  <wp:docPr id="1" name="Picture 1" descr="https://limesurvey.icann.org/tmp/c3133bf2290d9f9b6fcee49ddab755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limesurvey.icann.org/tmp/c3133bf2290d9f9b6fcee49ddab755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6060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1FFF" w:rsidRDefault="00830A3F">
      <w:bookmarkStart w:id="0" w:name="_GoBack"/>
      <w:bookmarkEnd w:id="0"/>
    </w:p>
    <w:sectPr w:rsidR="00941FFF" w:rsidSect="00830A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A3F"/>
    <w:rsid w:val="00830A3F"/>
    <w:rsid w:val="00C54597"/>
    <w:rsid w:val="00DA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30A3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30A3F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30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30A3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30A3F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830A3F"/>
    <w:rPr>
      <w:b/>
      <w:bCs/>
    </w:rPr>
  </w:style>
  <w:style w:type="character" w:customStyle="1" w:styleId="apple-converted-space">
    <w:name w:val="apple-converted-space"/>
    <w:basedOn w:val="DefaultParagraphFont"/>
    <w:rsid w:val="00830A3F"/>
  </w:style>
  <w:style w:type="paragraph" w:styleId="BalloonText">
    <w:name w:val="Balloon Text"/>
    <w:basedOn w:val="Normal"/>
    <w:link w:val="BalloonTextChar"/>
    <w:uiPriority w:val="99"/>
    <w:semiHidden/>
    <w:unhideWhenUsed/>
    <w:rsid w:val="00830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A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30A3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30A3F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30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30A3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30A3F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830A3F"/>
    <w:rPr>
      <w:b/>
      <w:bCs/>
    </w:rPr>
  </w:style>
  <w:style w:type="character" w:customStyle="1" w:styleId="apple-converted-space">
    <w:name w:val="apple-converted-space"/>
    <w:basedOn w:val="DefaultParagraphFont"/>
    <w:rsid w:val="00830A3F"/>
  </w:style>
  <w:style w:type="paragraph" w:styleId="BalloonText">
    <w:name w:val="Balloon Text"/>
    <w:basedOn w:val="Normal"/>
    <w:link w:val="BalloonTextChar"/>
    <w:uiPriority w:val="99"/>
    <w:semiHidden/>
    <w:unhideWhenUsed/>
    <w:rsid w:val="00830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A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2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1652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  <w:div w:id="1130511926">
          <w:marLeft w:val="0"/>
          <w:marRight w:val="0"/>
          <w:marTop w:val="0"/>
          <w:marBottom w:val="0"/>
          <w:divBdr>
            <w:top w:val="single" w:sz="6" w:space="0" w:color="EEEEEE"/>
            <w:left w:val="single" w:sz="6" w:space="0" w:color="EEEEEE"/>
            <w:bottom w:val="single" w:sz="6" w:space="0" w:color="EEEEEE"/>
            <w:right w:val="single" w:sz="6" w:space="0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551</Words>
  <Characters>3144</Characters>
  <Application>Microsoft Office Word</Application>
  <DocSecurity>0</DocSecurity>
  <Lines>26</Lines>
  <Paragraphs>7</Paragraphs>
  <ScaleCrop>false</ScaleCrop>
  <Company>Hewlett-Packard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Berry Cobb</dc:creator>
  <cp:lastModifiedBy>Berry Cobb</cp:lastModifiedBy>
  <cp:revision>1</cp:revision>
  <dcterms:created xsi:type="dcterms:W3CDTF">2012-11-25T23:37:00Z</dcterms:created>
  <dcterms:modified xsi:type="dcterms:W3CDTF">2012-11-25T23:38:00Z</dcterms:modified>
</cp:coreProperties>
</file>