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C1E2" w14:textId="3E672A40" w:rsidR="00914DB8" w:rsidRPr="00914DB8" w:rsidRDefault="00914DB8" w:rsidP="00914DB8">
      <w:pPr>
        <w:rPr>
          <w:rFonts w:asciiTheme="minorHAnsi" w:hAnsiTheme="minorHAnsi" w:cstheme="minorHAnsi"/>
          <w:b/>
          <w:bCs/>
          <w:sz w:val="22"/>
          <w:szCs w:val="22"/>
        </w:rPr>
      </w:pPr>
      <w:r w:rsidRPr="00914DB8">
        <w:rPr>
          <w:rFonts w:asciiTheme="minorHAnsi" w:hAnsiTheme="minorHAnsi" w:cstheme="minorHAnsi"/>
          <w:b/>
          <w:bCs/>
          <w:sz w:val="22"/>
          <w:szCs w:val="22"/>
        </w:rPr>
        <w:t>DRAFT TEXT OF PROPOSED FINAL RECOMMENDATIONS</w:t>
      </w:r>
      <w:r>
        <w:rPr>
          <w:rFonts w:asciiTheme="minorHAnsi" w:hAnsiTheme="minorHAnsi" w:cstheme="minorHAnsi"/>
          <w:b/>
          <w:bCs/>
          <w:sz w:val="22"/>
          <w:szCs w:val="22"/>
        </w:rPr>
        <w:t xml:space="preserve"> (as of 24 February 2021)</w:t>
      </w:r>
    </w:p>
    <w:p w14:paraId="0EAD8400" w14:textId="77777777" w:rsidR="00914DB8" w:rsidRDefault="00914DB8" w:rsidP="00914DB8">
      <w:pPr>
        <w:rPr>
          <w:rFonts w:asciiTheme="minorHAnsi" w:hAnsiTheme="minorHAnsi" w:cstheme="minorHAnsi"/>
          <w:sz w:val="22"/>
          <w:szCs w:val="22"/>
        </w:rPr>
      </w:pPr>
    </w:p>
    <w:p w14:paraId="68CA3F5E" w14:textId="69F9EA69" w:rsidR="00914DB8" w:rsidRDefault="00914DB8" w:rsidP="00B37603">
      <w:pPr>
        <w:rPr>
          <w:rFonts w:asciiTheme="minorHAnsi" w:hAnsiTheme="minorHAnsi" w:cstheme="minorHAnsi"/>
          <w:sz w:val="22"/>
          <w:szCs w:val="22"/>
        </w:rPr>
      </w:pPr>
      <w:commentRangeStart w:id="0"/>
      <w:r w:rsidRPr="00914DB8">
        <w:rPr>
          <w:rFonts w:asciiTheme="minorHAnsi" w:hAnsiTheme="minorHAnsi" w:cstheme="minorHAnsi"/>
          <w:sz w:val="22"/>
          <w:szCs w:val="22"/>
        </w:rPr>
        <w:t>The GNSO Council voted not to approve the original Recommendation #5 from the IGO-INGO Access to Curative Rights Protection Mechanisms PDP. The EPDP Team’s collective understanding is that the GNSO Council thereby rejected the original Recommendation #5 and, instead, tasked the RPM Phase 1 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w:t>
      </w:r>
      <w:commentRangeEnd w:id="0"/>
      <w:r w:rsidR="004D344B">
        <w:rPr>
          <w:rStyle w:val="CommentReference"/>
        </w:rPr>
        <w:commentReference w:id="0"/>
      </w:r>
      <w:r w:rsidR="004D344B">
        <w:rPr>
          <w:rFonts w:asciiTheme="minorHAnsi" w:hAnsiTheme="minorHAnsi" w:cstheme="minorHAnsi"/>
          <w:sz w:val="22"/>
          <w:szCs w:val="22"/>
        </w:rPr>
        <w:t xml:space="preserve">, and that </w:t>
      </w:r>
      <w:commentRangeStart w:id="1"/>
      <w:r w:rsidR="004D344B">
        <w:rPr>
          <w:rFonts w:asciiTheme="minorHAnsi" w:hAnsiTheme="minorHAnsi" w:cstheme="minorHAnsi"/>
          <w:sz w:val="22"/>
          <w:szCs w:val="22"/>
        </w:rPr>
        <w:t>these recommendations are responsive to the GNSO Council’s directions that the proposed policy solution be “generally consistent” with Recommendations #1 - #4 from the IGO-INGO Access to Curative Rights PDP</w:t>
      </w:r>
      <w:r w:rsidRPr="00914DB8">
        <w:rPr>
          <w:rFonts w:asciiTheme="minorHAnsi" w:hAnsiTheme="minorHAnsi" w:cstheme="minorHAnsi"/>
          <w:sz w:val="22"/>
          <w:szCs w:val="22"/>
        </w:rPr>
        <w:t>. As such, the EPDP Team recommends that the GNSO Council approve the following final Recommendations #</w:t>
      </w:r>
      <w:r w:rsidR="004D344B">
        <w:rPr>
          <w:rFonts w:asciiTheme="minorHAnsi" w:hAnsiTheme="minorHAnsi" w:cstheme="minorHAnsi"/>
          <w:sz w:val="22"/>
          <w:szCs w:val="22"/>
        </w:rPr>
        <w:t>1</w:t>
      </w:r>
      <w:r w:rsidRPr="00914DB8">
        <w:rPr>
          <w:rFonts w:asciiTheme="minorHAnsi" w:hAnsiTheme="minorHAnsi" w:cstheme="minorHAnsi"/>
          <w:sz w:val="22"/>
          <w:szCs w:val="22"/>
        </w:rPr>
        <w:t xml:space="preserve"> - #5 from this EPDP.</w:t>
      </w:r>
    </w:p>
    <w:p w14:paraId="0F95599D" w14:textId="77777777" w:rsidR="00914DB8" w:rsidRDefault="00914DB8" w:rsidP="00B37603">
      <w:pPr>
        <w:rPr>
          <w:rFonts w:asciiTheme="minorHAnsi" w:hAnsiTheme="minorHAnsi" w:cstheme="minorHAnsi"/>
          <w:sz w:val="22"/>
          <w:szCs w:val="22"/>
        </w:rPr>
      </w:pPr>
    </w:p>
    <w:p w14:paraId="29E48DEB" w14:textId="45BB863D" w:rsidR="00B37603" w:rsidRPr="00B37603" w:rsidRDefault="00B37603" w:rsidP="00B37603">
      <w:pPr>
        <w:rPr>
          <w:rFonts w:asciiTheme="minorHAnsi" w:hAnsiTheme="minorHAnsi" w:cstheme="minorHAnsi"/>
          <w:sz w:val="22"/>
          <w:szCs w:val="22"/>
        </w:rPr>
      </w:pPr>
      <w:r w:rsidRPr="00B37603">
        <w:rPr>
          <w:rFonts w:asciiTheme="minorHAnsi" w:hAnsiTheme="minorHAnsi" w:cstheme="minorHAnsi"/>
          <w:sz w:val="22"/>
          <w:szCs w:val="22"/>
        </w:rPr>
        <w:t xml:space="preserve">To address the specific issue under Recommendation #5 from the IGO-INGO Access to Curative Rights PDP, the EPDP team </w:t>
      </w:r>
      <w:r w:rsidR="004D344B">
        <w:rPr>
          <w:rFonts w:asciiTheme="minorHAnsi" w:hAnsiTheme="minorHAnsi" w:cstheme="minorHAnsi"/>
          <w:sz w:val="22"/>
          <w:szCs w:val="22"/>
        </w:rPr>
        <w:t xml:space="preserve">is </w:t>
      </w:r>
      <w:r w:rsidRPr="00B37603">
        <w:rPr>
          <w:rFonts w:asciiTheme="minorHAnsi" w:hAnsiTheme="minorHAnsi" w:cstheme="minorHAnsi"/>
          <w:sz w:val="22"/>
          <w:szCs w:val="22"/>
        </w:rPr>
        <w:t>propos</w:t>
      </w:r>
      <w:r w:rsidR="004D344B">
        <w:rPr>
          <w:rFonts w:asciiTheme="minorHAnsi" w:hAnsiTheme="minorHAnsi" w:cstheme="minorHAnsi"/>
          <w:sz w:val="22"/>
          <w:szCs w:val="22"/>
        </w:rPr>
        <w:t>ing</w:t>
      </w:r>
      <w:r w:rsidRPr="00B37603">
        <w:rPr>
          <w:rFonts w:asciiTheme="minorHAnsi" w:hAnsiTheme="minorHAnsi" w:cstheme="minorHAnsi"/>
          <w:sz w:val="22"/>
          <w:szCs w:val="22"/>
        </w:rPr>
        <w:t xml:space="preserve"> a single package of recommendations (</w:t>
      </w:r>
      <w:r w:rsidR="004D344B">
        <w:rPr>
          <w:rFonts w:asciiTheme="minorHAnsi" w:hAnsiTheme="minorHAnsi" w:cstheme="minorHAnsi"/>
          <w:sz w:val="22"/>
          <w:szCs w:val="22"/>
        </w:rPr>
        <w:t>set forth below</w:t>
      </w:r>
      <w:r w:rsidRPr="00B37603">
        <w:rPr>
          <w:rFonts w:asciiTheme="minorHAnsi" w:hAnsiTheme="minorHAnsi" w:cstheme="minorHAnsi"/>
          <w:sz w:val="22"/>
          <w:szCs w:val="22"/>
        </w:rPr>
        <w:t>) that are intended to be “interdependent” (as contemplated by Section 13 of the GNSO’s PDP Manual</w:t>
      </w:r>
      <w:r w:rsidR="00524C99">
        <w:rPr>
          <w:rStyle w:val="FootnoteReference"/>
          <w:rFonts w:cstheme="minorHAnsi"/>
          <w:sz w:val="22"/>
          <w:szCs w:val="22"/>
        </w:rPr>
        <w:footnoteReference w:id="1"/>
      </w:r>
      <w:r w:rsidRPr="00B37603">
        <w:rPr>
          <w:rFonts w:asciiTheme="minorHAnsi" w:hAnsiTheme="minorHAnsi" w:cstheme="minorHAnsi"/>
          <w:sz w:val="22"/>
          <w:szCs w:val="22"/>
        </w:rPr>
        <w:t>)</w:t>
      </w:r>
      <w:r w:rsidR="004D344B">
        <w:rPr>
          <w:rFonts w:asciiTheme="minorHAnsi" w:hAnsiTheme="minorHAnsi" w:cstheme="minorHAnsi"/>
          <w:sz w:val="22"/>
          <w:szCs w:val="22"/>
        </w:rPr>
        <w:t>.</w:t>
      </w:r>
      <w:r w:rsidRPr="00B37603">
        <w:rPr>
          <w:rFonts w:asciiTheme="minorHAnsi" w:hAnsiTheme="minorHAnsi" w:cstheme="minorHAnsi"/>
          <w:sz w:val="22"/>
          <w:szCs w:val="22"/>
        </w:rPr>
        <w:t xml:space="preserve"> </w:t>
      </w:r>
      <w:commentRangeEnd w:id="1"/>
      <w:r w:rsidR="004D344B">
        <w:rPr>
          <w:rStyle w:val="CommentReference"/>
        </w:rPr>
        <w:commentReference w:id="1"/>
      </w:r>
    </w:p>
    <w:p w14:paraId="0768D3A2" w14:textId="46199B97" w:rsidR="00B37603" w:rsidRDefault="00B37603" w:rsidP="002F2C5E">
      <w:pPr>
        <w:rPr>
          <w:rFonts w:asciiTheme="minorHAnsi" w:hAnsiTheme="minorHAnsi" w:cstheme="minorHAnsi"/>
          <w:b/>
          <w:bCs/>
          <w:sz w:val="22"/>
          <w:szCs w:val="22"/>
        </w:rPr>
      </w:pPr>
    </w:p>
    <w:p w14:paraId="064B574D" w14:textId="42AA769C" w:rsidR="00F67857" w:rsidRDefault="004F70F1" w:rsidP="002F2C5E">
      <w:pPr>
        <w:rPr>
          <w:rFonts w:asciiTheme="minorHAnsi" w:hAnsiTheme="minorHAnsi" w:cstheme="minorHAnsi"/>
          <w:sz w:val="22"/>
          <w:szCs w:val="22"/>
        </w:rPr>
      </w:pPr>
      <w:commentRangeStart w:id="2"/>
      <w:r w:rsidRPr="004F70F1">
        <w:rPr>
          <w:rFonts w:asciiTheme="minorHAnsi" w:hAnsiTheme="minorHAnsi" w:cstheme="minorHAnsi"/>
          <w:sz w:val="22"/>
          <w:szCs w:val="22"/>
        </w:rPr>
        <w:t xml:space="preserve">The EPDP team wishes to emphasize that </w:t>
      </w:r>
      <w:r w:rsidR="00F67857">
        <w:rPr>
          <w:rFonts w:asciiTheme="minorHAnsi" w:hAnsiTheme="minorHAnsi" w:cstheme="minorHAnsi"/>
          <w:sz w:val="22"/>
          <w:szCs w:val="22"/>
        </w:rPr>
        <w:t>its recommendations are to</w:t>
      </w:r>
      <w:r w:rsidRPr="004F70F1">
        <w:rPr>
          <w:rFonts w:asciiTheme="minorHAnsi" w:hAnsiTheme="minorHAnsi" w:cstheme="minorHAnsi"/>
          <w:sz w:val="22"/>
          <w:szCs w:val="22"/>
        </w:rPr>
        <w:t xml:space="preserve"> be read in the following context: </w:t>
      </w:r>
    </w:p>
    <w:p w14:paraId="217BE6F2" w14:textId="77777777" w:rsidR="00F67857" w:rsidRDefault="00F67857" w:rsidP="00F67857">
      <w:pPr>
        <w:pStyle w:val="ListParagraph"/>
        <w:numPr>
          <w:ilvl w:val="0"/>
          <w:numId w:val="8"/>
        </w:numPr>
        <w:rPr>
          <w:rFonts w:asciiTheme="minorHAnsi" w:hAnsiTheme="minorHAnsi" w:cstheme="minorHAnsi"/>
          <w:szCs w:val="22"/>
        </w:rPr>
      </w:pPr>
      <w:r>
        <w:rPr>
          <w:rFonts w:asciiTheme="minorHAnsi" w:hAnsiTheme="minorHAnsi" w:cstheme="minorHAnsi"/>
          <w:szCs w:val="22"/>
        </w:rPr>
        <w:t>The i</w:t>
      </w:r>
      <w:r w:rsidR="004F70F1" w:rsidRPr="00F67857">
        <w:rPr>
          <w:rFonts w:asciiTheme="minorHAnsi" w:hAnsiTheme="minorHAnsi" w:cstheme="minorHAnsi"/>
          <w:szCs w:val="22"/>
        </w:rPr>
        <w:t xml:space="preserve">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5F72C9FE" w14:textId="0FCD55DB" w:rsidR="004F70F1" w:rsidRPr="00F67857" w:rsidRDefault="00F67857" w:rsidP="00F67857">
      <w:pPr>
        <w:pStyle w:val="ListParagraph"/>
        <w:numPr>
          <w:ilvl w:val="0"/>
          <w:numId w:val="8"/>
        </w:numPr>
        <w:rPr>
          <w:rFonts w:asciiTheme="minorHAnsi" w:hAnsiTheme="minorHAnsi" w:cstheme="minorHAnsi"/>
          <w:szCs w:val="22"/>
        </w:rPr>
      </w:pPr>
      <w:r>
        <w:rPr>
          <w:rFonts w:asciiTheme="minorHAnsi" w:hAnsiTheme="minorHAnsi" w:cstheme="minorHAnsi"/>
          <w:szCs w:val="22"/>
        </w:rPr>
        <w:t>The i</w:t>
      </w:r>
      <w:r w:rsidR="004F70F1" w:rsidRPr="00F67857">
        <w:rPr>
          <w:rFonts w:asciiTheme="minorHAnsi" w:hAnsiTheme="minorHAnsi" w:cstheme="minorHAnsi"/>
          <w:szCs w:val="22"/>
        </w:rPr>
        <w:t xml:space="preserve">nclusion of an arbitration option in the UDRP and URS does not affect the timelines for filing or for implementing the relevant remedy, unless otherwise </w:t>
      </w:r>
      <w:r>
        <w:rPr>
          <w:rFonts w:asciiTheme="minorHAnsi" w:hAnsiTheme="minorHAnsi" w:cstheme="minorHAnsi"/>
          <w:szCs w:val="22"/>
        </w:rPr>
        <w:t xml:space="preserve">expressly stated in the </w:t>
      </w:r>
      <w:r w:rsidR="004F70F1" w:rsidRPr="00F67857">
        <w:rPr>
          <w:rFonts w:asciiTheme="minorHAnsi" w:hAnsiTheme="minorHAnsi" w:cstheme="minorHAnsi"/>
          <w:szCs w:val="22"/>
        </w:rPr>
        <w:t xml:space="preserve">recommendations below. </w:t>
      </w:r>
      <w:commentRangeEnd w:id="2"/>
      <w:r>
        <w:rPr>
          <w:rStyle w:val="CommentReference"/>
          <w:rFonts w:ascii="Times New Roman" w:eastAsia="Times New Roman" w:hAnsi="Times New Roman" w:cs="Times New Roman"/>
          <w:lang w:eastAsia="zh-CN"/>
        </w:rPr>
        <w:commentReference w:id="2"/>
      </w:r>
    </w:p>
    <w:p w14:paraId="34C4FB32" w14:textId="77777777" w:rsidR="004F70F1" w:rsidRDefault="004F70F1" w:rsidP="002F2C5E">
      <w:pPr>
        <w:rPr>
          <w:rFonts w:asciiTheme="minorHAnsi" w:hAnsiTheme="minorHAnsi" w:cstheme="minorHAnsi"/>
          <w:b/>
          <w:bCs/>
          <w:sz w:val="22"/>
          <w:szCs w:val="22"/>
        </w:rPr>
      </w:pPr>
    </w:p>
    <w:p w14:paraId="2441DB2B" w14:textId="02EE34B6" w:rsidR="002F2C5E" w:rsidRPr="00B37603" w:rsidRDefault="002F2C5E" w:rsidP="002F2C5E">
      <w:pPr>
        <w:rPr>
          <w:rFonts w:asciiTheme="minorHAnsi" w:hAnsiTheme="minorHAnsi" w:cstheme="minorHAnsi"/>
          <w:b/>
          <w:bCs/>
          <w:sz w:val="22"/>
          <w:szCs w:val="22"/>
        </w:rPr>
      </w:pPr>
      <w:r w:rsidRPr="00B37603">
        <w:rPr>
          <w:rFonts w:asciiTheme="minorHAnsi" w:hAnsiTheme="minorHAnsi" w:cstheme="minorHAnsi"/>
          <w:b/>
          <w:bCs/>
          <w:sz w:val="22"/>
          <w:szCs w:val="22"/>
        </w:rPr>
        <w:t>Recommendation #1: Definition of “IGO Complainant”</w:t>
      </w:r>
    </w:p>
    <w:p w14:paraId="0D81B8F8" w14:textId="77777777" w:rsidR="002F2C5E" w:rsidRPr="00B37603" w:rsidRDefault="002F2C5E" w:rsidP="002F2C5E">
      <w:pPr>
        <w:rPr>
          <w:rFonts w:asciiTheme="minorHAnsi" w:hAnsiTheme="minorHAnsi" w:cstheme="minorHAnsi"/>
          <w:bCs/>
          <w:sz w:val="22"/>
          <w:szCs w:val="22"/>
        </w:rPr>
      </w:pPr>
      <w:r w:rsidRPr="00B37603">
        <w:rPr>
          <w:rFonts w:asciiTheme="minorHAnsi" w:hAnsiTheme="minorHAnsi" w:cstheme="minorHAnsi"/>
          <w:bCs/>
          <w:sz w:val="22"/>
          <w:szCs w:val="22"/>
        </w:rPr>
        <w:t>The EPDP team recommends that the UDRP Rules and URS Rules be modified in the following two ways:</w:t>
      </w:r>
    </w:p>
    <w:p w14:paraId="44A1CC59" w14:textId="77777777" w:rsidR="002F2C5E" w:rsidRPr="00B37603" w:rsidRDefault="002F2C5E" w:rsidP="002F2C5E">
      <w:pPr>
        <w:rPr>
          <w:rFonts w:asciiTheme="minorHAnsi" w:hAnsiTheme="minorHAnsi" w:cstheme="minorHAnsi"/>
          <w:bCs/>
          <w:sz w:val="22"/>
          <w:szCs w:val="22"/>
        </w:rPr>
      </w:pPr>
    </w:p>
    <w:p w14:paraId="0E294C66" w14:textId="77777777" w:rsidR="002F2C5E" w:rsidRPr="00B37603" w:rsidRDefault="002F2C5E" w:rsidP="002F2C5E">
      <w:pPr>
        <w:pStyle w:val="ListParagraph"/>
        <w:numPr>
          <w:ilvl w:val="0"/>
          <w:numId w:val="1"/>
        </w:numPr>
        <w:rPr>
          <w:rFonts w:asciiTheme="minorHAnsi" w:hAnsiTheme="minorHAnsi" w:cstheme="minorHAnsi"/>
          <w:bCs/>
          <w:szCs w:val="22"/>
        </w:rPr>
      </w:pPr>
      <w:r w:rsidRPr="00B37603">
        <w:rPr>
          <w:rFonts w:asciiTheme="minorHAnsi" w:hAnsiTheme="minorHAnsi" w:cstheme="minorHAnsi"/>
          <w:bCs/>
          <w:szCs w:val="22"/>
        </w:rPr>
        <w:t>Add a description of “IGO Complainant” to section 1 (i.e., the definitions section of both sets of Rules): </w:t>
      </w:r>
    </w:p>
    <w:p w14:paraId="6164A544" w14:textId="77777777" w:rsidR="002F2C5E" w:rsidRPr="00B37603" w:rsidRDefault="002F2C5E" w:rsidP="002F2C5E">
      <w:pPr>
        <w:rPr>
          <w:rFonts w:asciiTheme="minorHAnsi" w:hAnsiTheme="minorHAnsi" w:cstheme="minorHAnsi"/>
          <w:bCs/>
          <w:sz w:val="22"/>
          <w:szCs w:val="22"/>
        </w:rPr>
      </w:pPr>
    </w:p>
    <w:p w14:paraId="6D251517" w14:textId="77777777" w:rsidR="002F2C5E" w:rsidRPr="00B37603" w:rsidRDefault="002F2C5E" w:rsidP="00145834">
      <w:pPr>
        <w:ind w:left="720"/>
        <w:rPr>
          <w:rFonts w:asciiTheme="minorHAnsi" w:hAnsiTheme="minorHAnsi" w:cstheme="minorHAnsi"/>
          <w:bCs/>
          <w:sz w:val="22"/>
          <w:szCs w:val="22"/>
        </w:rPr>
      </w:pPr>
      <w:r w:rsidRPr="00B37603">
        <w:rPr>
          <w:rFonts w:asciiTheme="minorHAnsi" w:hAnsiTheme="minorHAnsi" w:cstheme="minorHAnsi"/>
          <w:bCs/>
          <w:sz w:val="22"/>
          <w:szCs w:val="22"/>
        </w:rPr>
        <w:t>“‘IGO Complainant’ refers to:</w:t>
      </w:r>
    </w:p>
    <w:p w14:paraId="42A70911" w14:textId="1DD7A5E6" w:rsidR="002F2C5E" w:rsidRPr="00B37603" w:rsidRDefault="002F2C5E" w:rsidP="00145834">
      <w:pPr>
        <w:ind w:left="720"/>
        <w:rPr>
          <w:rFonts w:asciiTheme="minorHAnsi" w:hAnsiTheme="minorHAnsi" w:cstheme="minorHAnsi"/>
          <w:bCs/>
          <w:sz w:val="22"/>
          <w:szCs w:val="22"/>
        </w:rPr>
      </w:pPr>
      <w:r w:rsidRPr="00B37603">
        <w:rPr>
          <w:rFonts w:asciiTheme="minorHAnsi" w:hAnsiTheme="minorHAnsi" w:cstheme="minorHAnsi"/>
          <w:bCs/>
          <w:sz w:val="22"/>
          <w:szCs w:val="22"/>
        </w:rPr>
        <w:t>(</w:t>
      </w:r>
      <w:proofErr w:type="spellStart"/>
      <w:r w:rsidR="000435B5">
        <w:rPr>
          <w:rFonts w:asciiTheme="minorHAnsi" w:hAnsiTheme="minorHAnsi" w:cstheme="minorHAnsi"/>
          <w:bCs/>
          <w:sz w:val="22"/>
          <w:szCs w:val="22"/>
        </w:rPr>
        <w:t>i</w:t>
      </w:r>
      <w:proofErr w:type="spellEnd"/>
      <w:r w:rsidRPr="00B37603">
        <w:rPr>
          <w:rFonts w:asciiTheme="minorHAnsi" w:hAnsiTheme="minorHAnsi" w:cstheme="minorHAnsi"/>
          <w:bCs/>
          <w:sz w:val="22"/>
          <w:szCs w:val="22"/>
        </w:rPr>
        <w:t>) an international organization established by a treaty</w:t>
      </w:r>
      <w:r w:rsidR="00B37603">
        <w:rPr>
          <w:rFonts w:asciiTheme="minorHAnsi" w:hAnsiTheme="minorHAnsi" w:cstheme="minorHAnsi"/>
          <w:bCs/>
          <w:sz w:val="22"/>
          <w:szCs w:val="22"/>
        </w:rPr>
        <w:t>,</w:t>
      </w:r>
      <w:r w:rsidRPr="00B37603">
        <w:rPr>
          <w:rFonts w:asciiTheme="minorHAnsi" w:hAnsiTheme="minorHAnsi" w:cstheme="minorHAnsi"/>
          <w:bCs/>
          <w:sz w:val="22"/>
          <w:szCs w:val="22"/>
        </w:rPr>
        <w:t xml:space="preserve"> and which possesses international legal personality; or</w:t>
      </w:r>
    </w:p>
    <w:p w14:paraId="1671AECE" w14:textId="0587E251" w:rsidR="00205F1B" w:rsidRPr="00B37603" w:rsidRDefault="00205F1B" w:rsidP="00145834">
      <w:pPr>
        <w:ind w:left="720"/>
        <w:rPr>
          <w:rFonts w:asciiTheme="minorHAnsi" w:hAnsiTheme="minorHAnsi" w:cstheme="minorHAnsi"/>
          <w:bCs/>
          <w:sz w:val="22"/>
          <w:szCs w:val="22"/>
        </w:rPr>
      </w:pPr>
      <w:r w:rsidRPr="00B37603">
        <w:rPr>
          <w:rFonts w:asciiTheme="minorHAnsi" w:hAnsiTheme="minorHAnsi" w:cstheme="minorHAnsi"/>
          <w:bCs/>
          <w:sz w:val="22"/>
          <w:szCs w:val="22"/>
        </w:rPr>
        <w:t>(</w:t>
      </w:r>
      <w:r w:rsidR="000435B5">
        <w:rPr>
          <w:rFonts w:asciiTheme="minorHAnsi" w:hAnsiTheme="minorHAnsi" w:cstheme="minorHAnsi"/>
          <w:bCs/>
          <w:sz w:val="22"/>
          <w:szCs w:val="22"/>
        </w:rPr>
        <w:t>ii</w:t>
      </w:r>
      <w:r w:rsidRPr="00B37603">
        <w:rPr>
          <w:rFonts w:asciiTheme="minorHAnsi" w:hAnsiTheme="minorHAnsi" w:cstheme="minorHAnsi"/>
          <w:bCs/>
          <w:sz w:val="22"/>
          <w:szCs w:val="22"/>
        </w:rPr>
        <w:t>) an ‘Intergovernmental organization’ having received a standing invitation</w:t>
      </w:r>
      <w:r w:rsidR="00B37603">
        <w:rPr>
          <w:rFonts w:asciiTheme="minorHAnsi" w:hAnsiTheme="minorHAnsi" w:cstheme="minorHAnsi"/>
          <w:bCs/>
          <w:sz w:val="22"/>
          <w:szCs w:val="22"/>
        </w:rPr>
        <w:t>,</w:t>
      </w:r>
      <w:r w:rsidRPr="00B37603">
        <w:rPr>
          <w:rFonts w:asciiTheme="minorHAnsi" w:hAnsiTheme="minorHAnsi" w:cstheme="minorHAnsi"/>
          <w:bCs/>
          <w:sz w:val="22"/>
          <w:szCs w:val="22"/>
        </w:rPr>
        <w:t xml:space="preserve"> which remains in </w:t>
      </w:r>
      <w:r w:rsidR="00897912" w:rsidRPr="00B37603">
        <w:rPr>
          <w:rFonts w:asciiTheme="minorHAnsi" w:hAnsiTheme="minorHAnsi" w:cstheme="minorHAnsi"/>
          <w:bCs/>
          <w:sz w:val="22"/>
          <w:szCs w:val="22"/>
        </w:rPr>
        <w:t>effect</w:t>
      </w:r>
      <w:r w:rsidR="00B37603">
        <w:rPr>
          <w:rFonts w:asciiTheme="minorHAnsi" w:hAnsiTheme="minorHAnsi" w:cstheme="minorHAnsi"/>
          <w:bCs/>
          <w:sz w:val="22"/>
          <w:szCs w:val="22"/>
        </w:rPr>
        <w:t>,</w:t>
      </w:r>
      <w:r w:rsidRPr="00B37603">
        <w:rPr>
          <w:rFonts w:asciiTheme="minorHAnsi" w:hAnsiTheme="minorHAnsi" w:cstheme="minorHAnsi"/>
          <w:bCs/>
          <w:sz w:val="22"/>
          <w:szCs w:val="22"/>
        </w:rPr>
        <w:t xml:space="preserve"> to participate as an observer in the sessions and the work of the United Nations General Assembly; or</w:t>
      </w:r>
    </w:p>
    <w:p w14:paraId="485057FD" w14:textId="35EAEEE5" w:rsidR="002F2C5E" w:rsidRPr="00B37603" w:rsidRDefault="002F2C5E" w:rsidP="000435B5">
      <w:pPr>
        <w:ind w:left="720"/>
        <w:rPr>
          <w:rFonts w:asciiTheme="minorHAnsi" w:hAnsiTheme="minorHAnsi" w:cstheme="minorHAnsi"/>
          <w:bCs/>
          <w:sz w:val="22"/>
          <w:szCs w:val="22"/>
        </w:rPr>
      </w:pPr>
      <w:r w:rsidRPr="00B37603">
        <w:rPr>
          <w:rFonts w:asciiTheme="minorHAnsi" w:hAnsiTheme="minorHAnsi" w:cstheme="minorHAnsi"/>
          <w:bCs/>
          <w:sz w:val="22"/>
          <w:szCs w:val="22"/>
        </w:rPr>
        <w:lastRenderedPageBreak/>
        <w:t>(</w:t>
      </w:r>
      <w:r w:rsidR="000435B5">
        <w:rPr>
          <w:rFonts w:asciiTheme="minorHAnsi" w:hAnsiTheme="minorHAnsi" w:cstheme="minorHAnsi"/>
          <w:bCs/>
          <w:sz w:val="22"/>
          <w:szCs w:val="22"/>
        </w:rPr>
        <w:t>iii</w:t>
      </w:r>
      <w:r w:rsidRPr="00B37603">
        <w:rPr>
          <w:rFonts w:asciiTheme="minorHAnsi" w:hAnsiTheme="minorHAnsi" w:cstheme="minorHAnsi"/>
          <w:bCs/>
          <w:sz w:val="22"/>
          <w:szCs w:val="22"/>
        </w:rPr>
        <w:t>) a Specialized Agency or distinct entity, organ or program of the United Nations</w:t>
      </w:r>
      <w:r w:rsidRPr="00B37603">
        <w:rPr>
          <w:rFonts w:asciiTheme="minorHAnsi" w:hAnsiTheme="minorHAnsi" w:cstheme="minorHAnsi"/>
          <w:bCs/>
          <w:sz w:val="22"/>
          <w:szCs w:val="22"/>
          <w:vertAlign w:val="superscript"/>
        </w:rPr>
        <w:footnoteReference w:id="2"/>
      </w:r>
      <w:r w:rsidRPr="00B37603">
        <w:rPr>
          <w:rFonts w:asciiTheme="minorHAnsi" w:hAnsiTheme="minorHAnsi" w:cstheme="minorHAnsi"/>
          <w:bCs/>
          <w:sz w:val="22"/>
          <w:szCs w:val="22"/>
        </w:rPr>
        <w:t>.”</w:t>
      </w:r>
    </w:p>
    <w:p w14:paraId="4D4C54DC" w14:textId="77777777" w:rsidR="002F2C5E" w:rsidRPr="00B37603" w:rsidRDefault="002F2C5E" w:rsidP="002F2C5E">
      <w:pPr>
        <w:rPr>
          <w:rFonts w:asciiTheme="minorHAnsi" w:hAnsiTheme="minorHAnsi" w:cstheme="minorHAnsi"/>
          <w:bCs/>
          <w:sz w:val="22"/>
          <w:szCs w:val="22"/>
        </w:rPr>
      </w:pPr>
    </w:p>
    <w:p w14:paraId="04604E7F" w14:textId="77777777" w:rsidR="002F2C5E" w:rsidRPr="00B37603" w:rsidRDefault="002F2C5E" w:rsidP="002F2C5E">
      <w:pPr>
        <w:pStyle w:val="ListParagraph"/>
        <w:numPr>
          <w:ilvl w:val="0"/>
          <w:numId w:val="1"/>
        </w:numPr>
        <w:rPr>
          <w:rFonts w:asciiTheme="minorHAnsi" w:hAnsiTheme="minorHAnsi" w:cstheme="minorHAnsi"/>
          <w:bCs/>
          <w:szCs w:val="22"/>
        </w:rPr>
      </w:pPr>
      <w:r w:rsidRPr="00B37603">
        <w:rPr>
          <w:rFonts w:asciiTheme="minorHAnsi" w:hAnsiTheme="minorHAnsi" w:cstheme="minorHAnsi"/>
          <w:bCs/>
          <w:szCs w:val="22"/>
        </w:rPr>
        <w:t>Add the following explanatory text to UDRP Rules Section 3(b)(viii), URS Section 1.2.6 and URS Rules Section 3(b)(v): </w:t>
      </w:r>
    </w:p>
    <w:p w14:paraId="7DB0180E" w14:textId="77777777" w:rsidR="002F2C5E" w:rsidRPr="00B37603" w:rsidRDefault="002F2C5E" w:rsidP="002F2C5E">
      <w:pPr>
        <w:rPr>
          <w:rFonts w:asciiTheme="minorHAnsi" w:hAnsiTheme="minorHAnsi" w:cstheme="minorHAnsi"/>
          <w:bCs/>
          <w:sz w:val="22"/>
          <w:szCs w:val="22"/>
        </w:rPr>
      </w:pPr>
    </w:p>
    <w:p w14:paraId="6797BA95" w14:textId="70B2DA35" w:rsidR="002F2C5E" w:rsidRPr="00B37603" w:rsidRDefault="002F2C5E" w:rsidP="00145834">
      <w:pPr>
        <w:ind w:left="720"/>
        <w:rPr>
          <w:rFonts w:asciiTheme="minorHAnsi" w:hAnsiTheme="minorHAnsi" w:cstheme="minorHAnsi"/>
          <w:bCs/>
          <w:sz w:val="22"/>
          <w:szCs w:val="22"/>
        </w:rPr>
      </w:pPr>
      <w:r w:rsidRPr="00B37603">
        <w:rPr>
          <w:rFonts w:asciiTheme="minorHAnsi" w:hAnsiTheme="minorHAnsi" w:cstheme="minorHAnsi"/>
          <w:bCs/>
          <w:sz w:val="22"/>
          <w:szCs w:val="22"/>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w:t>
      </w:r>
      <w:r w:rsidR="00694722" w:rsidRPr="00B37603">
        <w:rPr>
          <w:rFonts w:asciiTheme="minorHAnsi" w:hAnsiTheme="minorHAnsi" w:cstheme="minorHAnsi"/>
          <w:bCs/>
          <w:sz w:val="22"/>
          <w:szCs w:val="22"/>
        </w:rPr>
        <w:t>S</w:t>
      </w:r>
      <w:r w:rsidRPr="00B37603">
        <w:rPr>
          <w:rFonts w:asciiTheme="minorHAnsi" w:hAnsiTheme="minorHAnsi" w:cstheme="minorHAnsi"/>
          <w:bCs/>
          <w:sz w:val="22"/>
          <w:szCs w:val="22"/>
        </w:rPr>
        <w:t xml:space="preserve">uch use shall not be a token use.” </w:t>
      </w:r>
    </w:p>
    <w:p w14:paraId="4CB96179" w14:textId="6203A442" w:rsidR="00954077" w:rsidRPr="00B37603" w:rsidRDefault="008C300B">
      <w:pPr>
        <w:rPr>
          <w:rFonts w:asciiTheme="minorHAnsi" w:hAnsiTheme="minorHAnsi" w:cstheme="minorHAnsi"/>
          <w:sz w:val="22"/>
          <w:szCs w:val="22"/>
        </w:rPr>
      </w:pPr>
    </w:p>
    <w:p w14:paraId="40C150C4" w14:textId="06F2FDE4" w:rsidR="000A795E" w:rsidRPr="00914DB8" w:rsidRDefault="00145834" w:rsidP="00914DB8">
      <w:pPr>
        <w:rPr>
          <w:rFonts w:asciiTheme="minorHAnsi" w:hAnsiTheme="minorHAnsi" w:cstheme="minorHAnsi"/>
          <w:sz w:val="22"/>
          <w:szCs w:val="22"/>
        </w:rPr>
      </w:pPr>
      <w:commentRangeStart w:id="3"/>
      <w:r>
        <w:rPr>
          <w:rFonts w:asciiTheme="minorHAnsi" w:hAnsiTheme="minorHAnsi" w:cstheme="minorHAnsi"/>
          <w:sz w:val="22"/>
          <w:szCs w:val="22"/>
        </w:rPr>
        <w:t>[</w:t>
      </w:r>
      <w:r w:rsidR="000A795E" w:rsidRPr="00B37603">
        <w:rPr>
          <w:rFonts w:asciiTheme="minorHAnsi" w:hAnsiTheme="minorHAnsi" w:cstheme="minorHAnsi"/>
          <w:sz w:val="22"/>
          <w:szCs w:val="22"/>
        </w:rPr>
        <w:t xml:space="preserve">For clarity, </w:t>
      </w:r>
      <w:r w:rsidR="0074724F" w:rsidRPr="00B37603">
        <w:rPr>
          <w:rFonts w:asciiTheme="minorHAnsi" w:hAnsiTheme="minorHAnsi" w:cstheme="minorHAnsi"/>
          <w:sz w:val="22"/>
          <w:szCs w:val="22"/>
        </w:rPr>
        <w:t>the EPDP Team emphasizes that</w:t>
      </w:r>
      <w:r w:rsidR="00914DB8">
        <w:rPr>
          <w:rFonts w:asciiTheme="minorHAnsi" w:hAnsiTheme="minorHAnsi" w:cstheme="minorHAnsi"/>
          <w:sz w:val="22"/>
          <w:szCs w:val="22"/>
        </w:rPr>
        <w:t xml:space="preserve"> t</w:t>
      </w:r>
      <w:r w:rsidR="000A795E" w:rsidRPr="00914DB8">
        <w:rPr>
          <w:rFonts w:asciiTheme="minorHAnsi" w:hAnsiTheme="minorHAnsi" w:cstheme="minorHAnsi"/>
          <w:sz w:val="22"/>
          <w:szCs w:val="22"/>
        </w:rPr>
        <w:t xml:space="preserve">his recommendation </w:t>
      </w:r>
      <w:r w:rsidR="00FD3129" w:rsidRPr="00914DB8">
        <w:rPr>
          <w:rFonts w:asciiTheme="minorHAnsi" w:hAnsiTheme="minorHAnsi" w:cstheme="minorHAnsi"/>
          <w:sz w:val="22"/>
          <w:szCs w:val="22"/>
        </w:rPr>
        <w:t>obviates</w:t>
      </w:r>
      <w:r w:rsidR="00694722" w:rsidRPr="00914DB8">
        <w:rPr>
          <w:rFonts w:asciiTheme="minorHAnsi" w:hAnsiTheme="minorHAnsi" w:cstheme="minorHAnsi"/>
          <w:sz w:val="22"/>
          <w:szCs w:val="22"/>
        </w:rPr>
        <w:t xml:space="preserve"> </w:t>
      </w:r>
      <w:r w:rsidR="0074724F" w:rsidRPr="00914DB8">
        <w:rPr>
          <w:rFonts w:asciiTheme="minorHAnsi" w:hAnsiTheme="minorHAnsi" w:cstheme="minorHAnsi"/>
          <w:sz w:val="22"/>
          <w:szCs w:val="22"/>
        </w:rPr>
        <w:t>Recommendation #2</w:t>
      </w:r>
      <w:r w:rsidR="000A795E" w:rsidRPr="00914DB8">
        <w:rPr>
          <w:rFonts w:asciiTheme="minorHAnsi" w:hAnsiTheme="minorHAnsi" w:cstheme="minorHAnsi"/>
          <w:sz w:val="22"/>
          <w:szCs w:val="22"/>
        </w:rPr>
        <w:t xml:space="preserve"> </w:t>
      </w:r>
      <w:r w:rsidR="00FD3129" w:rsidRPr="00914DB8">
        <w:rPr>
          <w:rFonts w:asciiTheme="minorHAnsi" w:hAnsiTheme="minorHAnsi" w:cstheme="minorHAnsi"/>
          <w:sz w:val="22"/>
          <w:szCs w:val="22"/>
        </w:rPr>
        <w:t xml:space="preserve">in </w:t>
      </w:r>
      <w:r w:rsidR="000A795E" w:rsidRPr="00914DB8">
        <w:rPr>
          <w:rFonts w:asciiTheme="minorHAnsi" w:hAnsiTheme="minorHAnsi" w:cstheme="minorHAnsi"/>
          <w:sz w:val="22"/>
          <w:szCs w:val="22"/>
        </w:rPr>
        <w:t xml:space="preserve">the IGO-INGO Access to Curative Rights Protection Mechanisms </w:t>
      </w:r>
      <w:r w:rsidR="003A19F1">
        <w:rPr>
          <w:rFonts w:asciiTheme="minorHAnsi" w:hAnsiTheme="minorHAnsi" w:cstheme="minorHAnsi"/>
          <w:sz w:val="22"/>
          <w:szCs w:val="22"/>
        </w:rPr>
        <w:t>PDP</w:t>
      </w:r>
      <w:r w:rsidR="000A795E" w:rsidRPr="00914DB8">
        <w:rPr>
          <w:rFonts w:asciiTheme="minorHAnsi" w:hAnsiTheme="minorHAnsi" w:cstheme="minorHAnsi"/>
          <w:sz w:val="22"/>
          <w:szCs w:val="22"/>
        </w:rPr>
        <w:t xml:space="preserve"> </w:t>
      </w:r>
      <w:r w:rsidR="0074724F" w:rsidRPr="00914DB8">
        <w:rPr>
          <w:rStyle w:val="FootnoteTextChar"/>
          <w:rFonts w:asciiTheme="minorHAnsi" w:hAnsiTheme="minorHAnsi" w:cstheme="minorHAnsi"/>
          <w:sz w:val="22"/>
          <w:szCs w:val="22"/>
        </w:rPr>
        <w:t xml:space="preserve">that </w:t>
      </w:r>
      <w:r w:rsidR="000A795E" w:rsidRPr="00914DB8">
        <w:rPr>
          <w:rFonts w:asciiTheme="minorHAnsi" w:hAnsiTheme="minorHAnsi" w:cstheme="minorHAnsi"/>
          <w:sz w:val="22"/>
          <w:szCs w:val="22"/>
        </w:rPr>
        <w:t>the GNSO Council</w:t>
      </w:r>
      <w:r w:rsidR="0074724F" w:rsidRPr="00914DB8">
        <w:rPr>
          <w:rFonts w:asciiTheme="minorHAnsi" w:hAnsiTheme="minorHAnsi" w:cstheme="minorHAnsi"/>
          <w:sz w:val="22"/>
          <w:szCs w:val="22"/>
        </w:rPr>
        <w:t xml:space="preserve"> approved on</w:t>
      </w:r>
      <w:r w:rsidR="000A795E" w:rsidRPr="00914DB8">
        <w:rPr>
          <w:rFonts w:asciiTheme="minorHAnsi" w:hAnsiTheme="minorHAnsi" w:cstheme="minorHAnsi"/>
          <w:sz w:val="22"/>
          <w:szCs w:val="22"/>
        </w:rPr>
        <w:t xml:space="preserve"> 18 April 2019.</w:t>
      </w:r>
      <w:r w:rsidR="00FD3129" w:rsidRPr="00914DB8">
        <w:rPr>
          <w:rFonts w:asciiTheme="minorHAnsi" w:hAnsiTheme="minorHAnsi" w:cstheme="minorHAnsi"/>
          <w:sz w:val="22"/>
          <w:szCs w:val="22"/>
        </w:rPr>
        <w:t xml:space="preserve"> Thus, the ICANN Board no longer needs to consider it</w:t>
      </w:r>
      <w:r w:rsidR="002B71DD" w:rsidRPr="00914DB8">
        <w:rPr>
          <w:rFonts w:asciiTheme="minorHAnsi" w:hAnsiTheme="minorHAnsi" w:cstheme="minorHAnsi"/>
          <w:sz w:val="22"/>
          <w:szCs w:val="22"/>
        </w:rPr>
        <w:t>.</w:t>
      </w:r>
      <w:r w:rsidR="00914DB8" w:rsidRPr="00914DB8">
        <w:rPr>
          <w:rFonts w:asciiTheme="minorHAnsi" w:hAnsiTheme="minorHAnsi" w:cstheme="minorHAnsi"/>
          <w:sz w:val="22"/>
          <w:szCs w:val="22"/>
        </w:rPr>
        <w:t>]</w:t>
      </w:r>
      <w:commentRangeEnd w:id="3"/>
      <w:r w:rsidR="00914DB8">
        <w:rPr>
          <w:rStyle w:val="CommentReference"/>
        </w:rPr>
        <w:commentReference w:id="3"/>
      </w:r>
    </w:p>
    <w:p w14:paraId="2A185442" w14:textId="02652E30" w:rsidR="002B71DD" w:rsidRPr="00B37603" w:rsidRDefault="002B71DD">
      <w:pPr>
        <w:rPr>
          <w:rFonts w:asciiTheme="minorHAnsi" w:hAnsiTheme="minorHAnsi" w:cstheme="minorHAnsi"/>
          <w:sz w:val="22"/>
          <w:szCs w:val="22"/>
        </w:rPr>
      </w:pPr>
    </w:p>
    <w:p w14:paraId="741E5BCA" w14:textId="5D1C38FD" w:rsidR="002D2D4E" w:rsidRDefault="002D2D4E" w:rsidP="002D2D4E">
      <w:pPr>
        <w:rPr>
          <w:rFonts w:asciiTheme="minorHAnsi" w:hAnsiTheme="minorHAnsi" w:cstheme="minorHAnsi"/>
          <w:b/>
          <w:bCs/>
          <w:sz w:val="22"/>
          <w:szCs w:val="22"/>
        </w:rPr>
      </w:pPr>
      <w:r w:rsidRPr="00B37603">
        <w:rPr>
          <w:rFonts w:asciiTheme="minorHAnsi" w:hAnsiTheme="minorHAnsi" w:cstheme="minorHAnsi"/>
          <w:b/>
          <w:bCs/>
          <w:sz w:val="22"/>
          <w:szCs w:val="22"/>
        </w:rPr>
        <w:t>Recommendation #</w:t>
      </w:r>
      <w:r w:rsidR="00E9734C">
        <w:rPr>
          <w:rFonts w:asciiTheme="minorHAnsi" w:hAnsiTheme="minorHAnsi" w:cstheme="minorHAnsi"/>
          <w:b/>
          <w:bCs/>
          <w:sz w:val="22"/>
          <w:szCs w:val="22"/>
        </w:rPr>
        <w:t>2</w:t>
      </w:r>
      <w:r w:rsidRPr="00B37603">
        <w:rPr>
          <w:rFonts w:asciiTheme="minorHAnsi" w:hAnsiTheme="minorHAnsi" w:cstheme="minorHAnsi"/>
          <w:b/>
          <w:bCs/>
          <w:sz w:val="22"/>
          <w:szCs w:val="22"/>
        </w:rPr>
        <w:t xml:space="preserve">: Exemption from </w:t>
      </w:r>
      <w:r w:rsidR="00E9734C">
        <w:rPr>
          <w:rFonts w:asciiTheme="minorHAnsi" w:hAnsiTheme="minorHAnsi" w:cstheme="minorHAnsi"/>
          <w:b/>
          <w:bCs/>
          <w:sz w:val="22"/>
          <w:szCs w:val="22"/>
        </w:rPr>
        <w:t>Submission to “</w:t>
      </w:r>
      <w:r w:rsidRPr="00B37603">
        <w:rPr>
          <w:rFonts w:asciiTheme="minorHAnsi" w:hAnsiTheme="minorHAnsi" w:cstheme="minorHAnsi"/>
          <w:b/>
          <w:bCs/>
          <w:sz w:val="22"/>
          <w:szCs w:val="22"/>
        </w:rPr>
        <w:t>Mutual Jurisdiction</w:t>
      </w:r>
      <w:r w:rsidR="00E9734C">
        <w:rPr>
          <w:rFonts w:asciiTheme="minorHAnsi" w:hAnsiTheme="minorHAnsi" w:cstheme="minorHAnsi"/>
          <w:b/>
          <w:bCs/>
          <w:sz w:val="22"/>
          <w:szCs w:val="22"/>
        </w:rPr>
        <w:t>”</w:t>
      </w:r>
    </w:p>
    <w:p w14:paraId="1EC32591" w14:textId="77777777" w:rsidR="004F70F1" w:rsidRPr="00B37603" w:rsidRDefault="004F70F1" w:rsidP="002D2D4E">
      <w:pPr>
        <w:rPr>
          <w:rFonts w:asciiTheme="minorHAnsi" w:hAnsiTheme="minorHAnsi" w:cstheme="minorHAnsi"/>
          <w:b/>
          <w:bCs/>
          <w:sz w:val="22"/>
          <w:szCs w:val="22"/>
        </w:rPr>
      </w:pPr>
    </w:p>
    <w:p w14:paraId="4BB43B42" w14:textId="77777777" w:rsidR="002D2D4E" w:rsidRPr="00B37603" w:rsidRDefault="002D2D4E" w:rsidP="002D2D4E">
      <w:pPr>
        <w:pStyle w:val="ListParagraph"/>
        <w:numPr>
          <w:ilvl w:val="0"/>
          <w:numId w:val="5"/>
        </w:numPr>
        <w:rPr>
          <w:rFonts w:asciiTheme="minorHAnsi" w:hAnsiTheme="minorHAnsi" w:cstheme="minorHAnsi"/>
          <w:szCs w:val="22"/>
        </w:rPr>
      </w:pPr>
      <w:r w:rsidRPr="00B37603">
        <w:rPr>
          <w:rFonts w:asciiTheme="minorHAnsi" w:hAnsiTheme="minorHAnsi" w:cstheme="minorHAnsi"/>
          <w:szCs w:val="22"/>
        </w:rPr>
        <w:t xml:space="preserve">The EPDP team recommends that an IGO Complainant (as defined under Recommendation #1) be exempt from the requirement under Section 3(b)(xii) of the UDRP Rules and Section 3(b)(ix) of the URS Rules. </w:t>
      </w:r>
    </w:p>
    <w:p w14:paraId="5C523BF3" w14:textId="77777777" w:rsidR="002D2D4E" w:rsidRPr="00B37603" w:rsidRDefault="002D2D4E" w:rsidP="002D2D4E">
      <w:pPr>
        <w:rPr>
          <w:rFonts w:asciiTheme="minorHAnsi" w:hAnsiTheme="minorHAnsi" w:cstheme="minorHAnsi"/>
          <w:sz w:val="22"/>
          <w:szCs w:val="22"/>
        </w:rPr>
      </w:pPr>
    </w:p>
    <w:p w14:paraId="59D2C579" w14:textId="7D1B51F6" w:rsidR="002D2D4E" w:rsidRPr="00B37603" w:rsidRDefault="002D2D4E" w:rsidP="002D2D4E">
      <w:pPr>
        <w:pStyle w:val="ListParagraph"/>
        <w:numPr>
          <w:ilvl w:val="0"/>
          <w:numId w:val="5"/>
        </w:numPr>
        <w:rPr>
          <w:rFonts w:asciiTheme="minorHAnsi" w:hAnsiTheme="minorHAnsi" w:cstheme="minorHAnsi"/>
          <w:szCs w:val="22"/>
        </w:rPr>
      </w:pPr>
      <w:r w:rsidRPr="00B37603">
        <w:rPr>
          <w:rFonts w:asciiTheme="minorHAnsi" w:hAnsiTheme="minorHAnsi" w:cstheme="minorHAnsi"/>
          <w:szCs w:val="22"/>
        </w:rPr>
        <w:t>The EPDP team recommends that, when forwarding a complaint filed by an IGO Complainant to the respondent (pursuant to Paragraph 2(a) of the UDRP or Paragraph 4.2 of the URS, as applicable), the relevant UDRP or URS provider must also include a notice informing the respondent: (</w:t>
      </w:r>
      <w:proofErr w:type="spellStart"/>
      <w:r w:rsidRPr="00B37603">
        <w:rPr>
          <w:rFonts w:asciiTheme="minorHAnsi" w:hAnsiTheme="minorHAnsi" w:cstheme="minorHAnsi"/>
          <w:szCs w:val="22"/>
        </w:rPr>
        <w:t>i</w:t>
      </w:r>
      <w:proofErr w:type="spellEnd"/>
      <w:r w:rsidRPr="00B37603">
        <w:rPr>
          <w:rFonts w:asciiTheme="minorHAnsi" w:hAnsiTheme="minorHAnsi" w:cstheme="minorHAnsi"/>
          <w:szCs w:val="22"/>
        </w:rPr>
        <w:t>) of its right to challenge a UDRP decision canceling or transferring the domain name</w:t>
      </w:r>
      <w:r w:rsidR="00E9734C">
        <w:rPr>
          <w:rFonts w:asciiTheme="minorHAnsi" w:hAnsiTheme="minorHAnsi" w:cstheme="minorHAnsi"/>
          <w:szCs w:val="22"/>
        </w:rPr>
        <w:t>,</w:t>
      </w:r>
      <w:r w:rsidRPr="00B37603">
        <w:rPr>
          <w:rFonts w:asciiTheme="minorHAnsi" w:hAnsiTheme="minorHAnsi" w:cstheme="minorHAnsi"/>
          <w:szCs w:val="22"/>
        </w:rPr>
        <w:t xml:space="preserve"> or a URS Determination rendered in favor of an IGO Complainant</w:t>
      </w:r>
      <w:r w:rsidR="00E9734C">
        <w:rPr>
          <w:rFonts w:asciiTheme="minorHAnsi" w:hAnsiTheme="minorHAnsi" w:cstheme="minorHAnsi"/>
          <w:szCs w:val="22"/>
        </w:rPr>
        <w:t>,</w:t>
      </w:r>
      <w:r w:rsidRPr="00B37603">
        <w:rPr>
          <w:rFonts w:asciiTheme="minorHAnsi" w:hAnsiTheme="minorHAnsi" w:cstheme="minorHAnsi"/>
          <w:szCs w:val="22"/>
        </w:rPr>
        <w:t xml:space="preserve"> by filing a claim in court;  (ii) that, in the event the respondent chooses to initiate court proceedings, the IGO Complainant may assert its privileges and immunities with the result that the court may decline to hear the merits of the case; and (iii) that </w:t>
      </w:r>
      <w:r w:rsidR="009C0D33">
        <w:rPr>
          <w:rFonts w:asciiTheme="minorHAnsi" w:hAnsiTheme="minorHAnsi" w:cstheme="minorHAnsi"/>
          <w:szCs w:val="22"/>
        </w:rPr>
        <w:t>it</w:t>
      </w:r>
      <w:r w:rsidRPr="00B37603">
        <w:rPr>
          <w:rFonts w:asciiTheme="minorHAnsi" w:hAnsiTheme="minorHAnsi" w:cstheme="minorHAnsi"/>
          <w:szCs w:val="22"/>
        </w:rPr>
        <w:t xml:space="preserve"> has the option to agree to binding arbitration to settle the dispute at any time, including in lieu of initiating court proceedings or, </w:t>
      </w:r>
      <w:r w:rsidR="009C0D33">
        <w:rPr>
          <w:rFonts w:asciiTheme="minorHAnsi" w:hAnsiTheme="minorHAnsi" w:cstheme="minorHAnsi"/>
          <w:szCs w:val="22"/>
        </w:rPr>
        <w:t>if</w:t>
      </w:r>
      <w:r w:rsidRPr="00B37603">
        <w:rPr>
          <w:rFonts w:asciiTheme="minorHAnsi" w:hAnsiTheme="minorHAnsi" w:cstheme="minorHAnsi"/>
          <w:szCs w:val="22"/>
        </w:rPr>
        <w:t xml:space="preserve"> it files a claim in court, where the court has declined to hear the merits of the case. </w:t>
      </w:r>
    </w:p>
    <w:p w14:paraId="05EE97E4" w14:textId="77777777" w:rsidR="002D2D4E" w:rsidRPr="00B37603" w:rsidRDefault="002D2D4E" w:rsidP="002D2D4E">
      <w:pPr>
        <w:rPr>
          <w:rFonts w:asciiTheme="minorHAnsi" w:hAnsiTheme="minorHAnsi" w:cstheme="minorHAnsi"/>
          <w:sz w:val="22"/>
          <w:szCs w:val="22"/>
        </w:rPr>
      </w:pPr>
    </w:p>
    <w:p w14:paraId="2D45ACA4" w14:textId="77777777" w:rsidR="002D2D4E" w:rsidRPr="00B37603" w:rsidRDefault="002D2D4E" w:rsidP="002D2D4E">
      <w:pPr>
        <w:rPr>
          <w:rFonts w:asciiTheme="minorHAnsi" w:hAnsiTheme="minorHAnsi" w:cstheme="minorHAnsi"/>
          <w:sz w:val="22"/>
          <w:szCs w:val="22"/>
        </w:rPr>
      </w:pPr>
      <w:r w:rsidRPr="00B37603">
        <w:rPr>
          <w:rFonts w:asciiTheme="minorHAnsi" w:hAnsiTheme="minorHAnsi" w:cstheme="minorHAnsi"/>
          <w:sz w:val="22"/>
          <w:szCs w:val="22"/>
          <w:u w:val="single"/>
        </w:rPr>
        <w:t>Explanatory Text</w:t>
      </w:r>
      <w:r w:rsidRPr="00B37603">
        <w:rPr>
          <w:rFonts w:asciiTheme="minorHAnsi" w:hAnsiTheme="minorHAnsi" w:cstheme="minorHAnsi"/>
          <w:sz w:val="22"/>
          <w:szCs w:val="22"/>
        </w:rPr>
        <w:t>:</w:t>
      </w:r>
    </w:p>
    <w:p w14:paraId="64FCECDD" w14:textId="77777777" w:rsidR="002D2D4E" w:rsidRPr="00B37603" w:rsidRDefault="002D2D4E" w:rsidP="002D2D4E">
      <w:pPr>
        <w:rPr>
          <w:rFonts w:asciiTheme="minorHAnsi" w:hAnsiTheme="minorHAnsi" w:cstheme="minorHAnsi"/>
          <w:sz w:val="22"/>
          <w:szCs w:val="22"/>
        </w:rPr>
      </w:pPr>
      <w:r w:rsidRPr="00B37603">
        <w:rPr>
          <w:rFonts w:asciiTheme="minorHAnsi" w:hAnsiTheme="minorHAnsi" w:cstheme="minorHAnsi"/>
          <w:sz w:val="22"/>
          <w:szCs w:val="22"/>
        </w:rPr>
        <w:t xml:space="preserve">This recommendation addresses the GNSO Council’s instructions that the EPDP team’s recommended policy solution must </w:t>
      </w:r>
      <w:r w:rsidRPr="00B37603">
        <w:rPr>
          <w:rFonts w:asciiTheme="minorHAnsi" w:hAnsiTheme="minorHAnsi" w:cstheme="minorHAnsi"/>
          <w:i/>
          <w:iCs/>
          <w:sz w:val="22"/>
          <w:szCs w:val="22"/>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B37603">
        <w:rPr>
          <w:rFonts w:asciiTheme="minorHAnsi" w:hAnsiTheme="minorHAnsi" w:cstheme="minorHAnsi"/>
          <w:sz w:val="22"/>
          <w:szCs w:val="22"/>
        </w:rPr>
        <w:t xml:space="preserve">. </w:t>
      </w:r>
    </w:p>
    <w:p w14:paraId="5617B998" w14:textId="77777777" w:rsidR="002D2D4E" w:rsidRPr="00B37603" w:rsidRDefault="002D2D4E" w:rsidP="002D2D4E">
      <w:pPr>
        <w:rPr>
          <w:rFonts w:asciiTheme="minorHAnsi" w:hAnsiTheme="minorHAnsi" w:cstheme="minorHAnsi"/>
          <w:sz w:val="22"/>
          <w:szCs w:val="22"/>
        </w:rPr>
      </w:pPr>
    </w:p>
    <w:p w14:paraId="6737D7DB" w14:textId="77777777" w:rsidR="002D2D4E" w:rsidRPr="00B37603" w:rsidRDefault="002D2D4E" w:rsidP="002D2D4E">
      <w:pPr>
        <w:rPr>
          <w:rFonts w:asciiTheme="minorHAnsi" w:hAnsiTheme="minorHAnsi" w:cstheme="minorHAnsi"/>
          <w:sz w:val="22"/>
          <w:szCs w:val="22"/>
        </w:rPr>
      </w:pPr>
      <w:r w:rsidRPr="00B37603">
        <w:rPr>
          <w:rFonts w:asciiTheme="minorHAnsi" w:hAnsiTheme="minorHAnsi" w:cstheme="minorHAnsi"/>
          <w:sz w:val="22"/>
          <w:szCs w:val="22"/>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specified Mutual Jurisdiction (as the term is defined in the UDRP Rules and URS Rules), the EPDP team thought it important to ensure that registrants who wish to challenge a UDRP or URS outcome in court be made aware that an IGO </w:t>
      </w:r>
      <w:r w:rsidRPr="00B37603">
        <w:rPr>
          <w:rFonts w:asciiTheme="minorHAnsi" w:hAnsiTheme="minorHAnsi" w:cstheme="minorHAnsi"/>
          <w:sz w:val="22"/>
          <w:szCs w:val="22"/>
        </w:rPr>
        <w:lastRenderedPageBreak/>
        <w:t xml:space="preserve">Complainant’s exercise of its privileges and immunities may mean that the court declines to hear the registrant’s case. </w:t>
      </w:r>
    </w:p>
    <w:p w14:paraId="0462448F" w14:textId="77777777" w:rsidR="00F67857" w:rsidRDefault="00F67857" w:rsidP="00C87DF5">
      <w:pPr>
        <w:rPr>
          <w:rFonts w:asciiTheme="minorHAnsi" w:hAnsiTheme="minorHAnsi" w:cstheme="minorHAnsi"/>
          <w:sz w:val="22"/>
          <w:szCs w:val="22"/>
        </w:rPr>
      </w:pPr>
    </w:p>
    <w:p w14:paraId="6ACA464C" w14:textId="31682BBA" w:rsidR="004F70F1" w:rsidRDefault="00C87DF5" w:rsidP="00C87DF5">
      <w:pPr>
        <w:rPr>
          <w:rFonts w:asciiTheme="minorHAnsi" w:hAnsiTheme="minorHAnsi" w:cstheme="minorHAnsi"/>
          <w:b/>
          <w:bCs/>
          <w:sz w:val="22"/>
          <w:szCs w:val="22"/>
        </w:rPr>
      </w:pPr>
      <w:r w:rsidRPr="00B37603">
        <w:rPr>
          <w:rFonts w:asciiTheme="minorHAnsi" w:hAnsiTheme="minorHAnsi" w:cstheme="minorHAnsi"/>
          <w:b/>
          <w:bCs/>
          <w:sz w:val="22"/>
          <w:szCs w:val="22"/>
        </w:rPr>
        <w:t>Recommendation #</w:t>
      </w:r>
      <w:r w:rsidR="009C0D33">
        <w:rPr>
          <w:rFonts w:asciiTheme="minorHAnsi" w:hAnsiTheme="minorHAnsi" w:cstheme="minorHAnsi"/>
          <w:b/>
          <w:bCs/>
          <w:sz w:val="22"/>
          <w:szCs w:val="22"/>
        </w:rPr>
        <w:t>3</w:t>
      </w:r>
      <w:r w:rsidRPr="00B37603">
        <w:rPr>
          <w:rFonts w:asciiTheme="minorHAnsi" w:hAnsiTheme="minorHAnsi" w:cstheme="minorHAnsi"/>
          <w:b/>
          <w:bCs/>
          <w:sz w:val="22"/>
          <w:szCs w:val="22"/>
        </w:rPr>
        <w:t>: Arbitral Review following a UDRP Proceeding</w:t>
      </w:r>
    </w:p>
    <w:p w14:paraId="11E966E2" w14:textId="3302CCA0" w:rsidR="00C87DF5" w:rsidRDefault="00C87DF5" w:rsidP="00C87DF5">
      <w:pPr>
        <w:rPr>
          <w:rFonts w:asciiTheme="minorHAnsi" w:hAnsiTheme="minorHAnsi" w:cstheme="minorHAnsi"/>
          <w:bCs/>
          <w:sz w:val="22"/>
          <w:szCs w:val="22"/>
        </w:rPr>
      </w:pPr>
      <w:r w:rsidRPr="00B37603">
        <w:rPr>
          <w:rFonts w:asciiTheme="minorHAnsi" w:hAnsiTheme="minorHAnsi" w:cstheme="minorHAnsi"/>
          <w:bCs/>
          <w:sz w:val="22"/>
          <w:szCs w:val="22"/>
        </w:rPr>
        <w:br/>
        <w:t>The EPDP team recommends that the following provisions be added to the UDRP to accommodate the possibility of binding arbitration to review an initial panel decision issued under the UDRP:</w:t>
      </w:r>
    </w:p>
    <w:p w14:paraId="0D70E3D4" w14:textId="77777777" w:rsidR="003A19F1" w:rsidRPr="00B37603" w:rsidRDefault="003A19F1" w:rsidP="00C87DF5">
      <w:pPr>
        <w:rPr>
          <w:rFonts w:asciiTheme="minorHAnsi" w:hAnsiTheme="minorHAnsi" w:cstheme="minorHAnsi"/>
          <w:bCs/>
          <w:sz w:val="22"/>
          <w:szCs w:val="22"/>
        </w:rPr>
      </w:pPr>
    </w:p>
    <w:p w14:paraId="421C972F" w14:textId="3B0DA151" w:rsidR="00C87DF5" w:rsidRDefault="00C87DF5" w:rsidP="00C87DF5">
      <w:pPr>
        <w:numPr>
          <w:ilvl w:val="0"/>
          <w:numId w:val="6"/>
        </w:numPr>
        <w:rPr>
          <w:rFonts w:asciiTheme="minorHAnsi" w:hAnsiTheme="minorHAnsi" w:cstheme="minorHAnsi"/>
          <w:bCs/>
          <w:sz w:val="22"/>
          <w:szCs w:val="22"/>
        </w:rPr>
      </w:pPr>
      <w:r w:rsidRPr="00B37603">
        <w:rPr>
          <w:rFonts w:asciiTheme="minorHAnsi" w:hAnsiTheme="minorHAnsi" w:cstheme="minorHAnsi"/>
          <w:bCs/>
          <w:sz w:val="22"/>
          <w:szCs w:val="22"/>
        </w:rPr>
        <w:t xml:space="preserve">When submitting its complaint, an IGO Complainant shall indicate that it agrees, </w:t>
      </w:r>
      <w:commentRangeStart w:id="4"/>
      <w:r w:rsidR="000435B5">
        <w:rPr>
          <w:rFonts w:asciiTheme="minorHAnsi" w:hAnsiTheme="minorHAnsi" w:cstheme="minorHAnsi"/>
          <w:bCs/>
          <w:sz w:val="22"/>
          <w:szCs w:val="22"/>
        </w:rPr>
        <w:t>if</w:t>
      </w:r>
      <w:r w:rsidRPr="00B37603">
        <w:rPr>
          <w:rFonts w:asciiTheme="minorHAnsi" w:hAnsiTheme="minorHAnsi" w:cstheme="minorHAnsi"/>
          <w:bCs/>
          <w:sz w:val="22"/>
          <w:szCs w:val="22"/>
        </w:rPr>
        <w:t xml:space="preserve"> the registrant also agrees</w:t>
      </w:r>
      <w:commentRangeEnd w:id="4"/>
      <w:r w:rsidR="0052172C">
        <w:rPr>
          <w:rStyle w:val="CommentReference"/>
        </w:rPr>
        <w:commentReference w:id="4"/>
      </w:r>
      <w:r w:rsidRPr="00B37603">
        <w:rPr>
          <w:rFonts w:asciiTheme="minorHAnsi" w:hAnsiTheme="minorHAnsi" w:cstheme="minorHAnsi"/>
          <w:bCs/>
          <w:sz w:val="22"/>
          <w:szCs w:val="22"/>
        </w:rPr>
        <w:t xml:space="preserve">, to have the final determination of the outcome of the UDRP proceeding settled through binding arbitration. </w:t>
      </w:r>
    </w:p>
    <w:p w14:paraId="3D1C0F68" w14:textId="77777777" w:rsidR="00F67857" w:rsidRPr="00B37603" w:rsidRDefault="00F67857" w:rsidP="00F67857">
      <w:pPr>
        <w:ind w:left="360"/>
        <w:rPr>
          <w:rFonts w:asciiTheme="minorHAnsi" w:hAnsiTheme="minorHAnsi" w:cstheme="minorHAnsi"/>
          <w:bCs/>
          <w:sz w:val="22"/>
          <w:szCs w:val="22"/>
        </w:rPr>
      </w:pPr>
    </w:p>
    <w:p w14:paraId="5DE0D0EC" w14:textId="7887ED68" w:rsidR="00C87DF5" w:rsidRDefault="00C87DF5" w:rsidP="00C87DF5">
      <w:pPr>
        <w:numPr>
          <w:ilvl w:val="0"/>
          <w:numId w:val="6"/>
        </w:numPr>
        <w:rPr>
          <w:rFonts w:asciiTheme="minorHAnsi" w:hAnsiTheme="minorHAnsi" w:cstheme="minorHAnsi"/>
          <w:bCs/>
          <w:sz w:val="22"/>
          <w:szCs w:val="22"/>
        </w:rPr>
      </w:pPr>
      <w:r w:rsidRPr="00B37603">
        <w:rPr>
          <w:rFonts w:asciiTheme="minorHAnsi" w:hAnsiTheme="minorHAnsi" w:cstheme="minorHAnsi"/>
          <w:bCs/>
          <w:sz w:val="22"/>
          <w:szCs w:val="22"/>
        </w:rPr>
        <w:t xml:space="preserve">In communicating a UDRP panel decision to the parties where the complainant is an IGO Complainant, the UDRP provider shall provide both parties with information regarding the applicable arbitral rules. </w:t>
      </w:r>
      <w:commentRangeStart w:id="5"/>
      <w:r w:rsidRPr="00B37603">
        <w:rPr>
          <w:rFonts w:asciiTheme="minorHAnsi" w:hAnsiTheme="minorHAnsi" w:cstheme="minorHAnsi"/>
          <w:bCs/>
          <w:sz w:val="22"/>
          <w:szCs w:val="22"/>
        </w:rPr>
        <w: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5"/>
      <w:r w:rsidRPr="00B37603">
        <w:rPr>
          <w:rStyle w:val="CommentReference"/>
          <w:rFonts w:asciiTheme="minorHAnsi" w:hAnsiTheme="minorHAnsi" w:cstheme="minorHAnsi"/>
          <w:sz w:val="22"/>
          <w:szCs w:val="22"/>
        </w:rPr>
        <w:commentReference w:id="5"/>
      </w:r>
    </w:p>
    <w:p w14:paraId="11ABACD0" w14:textId="77777777" w:rsidR="00F67857" w:rsidRPr="00B37603" w:rsidRDefault="00F67857" w:rsidP="00F67857">
      <w:pPr>
        <w:rPr>
          <w:rFonts w:asciiTheme="minorHAnsi" w:hAnsiTheme="minorHAnsi" w:cstheme="minorHAnsi"/>
          <w:bCs/>
          <w:sz w:val="22"/>
          <w:szCs w:val="22"/>
        </w:rPr>
      </w:pPr>
    </w:p>
    <w:p w14:paraId="14BBC853" w14:textId="71E0BDA5" w:rsidR="00C87DF5" w:rsidRDefault="00C87DF5" w:rsidP="00C87DF5">
      <w:pPr>
        <w:numPr>
          <w:ilvl w:val="0"/>
          <w:numId w:val="6"/>
        </w:numPr>
        <w:rPr>
          <w:rFonts w:asciiTheme="minorHAnsi" w:hAnsiTheme="minorHAnsi" w:cstheme="minorHAnsi"/>
          <w:bCs/>
          <w:sz w:val="22"/>
          <w:szCs w:val="22"/>
        </w:rPr>
      </w:pPr>
      <w:r w:rsidRPr="00B37603">
        <w:rPr>
          <w:rFonts w:asciiTheme="minorHAnsi" w:hAnsiTheme="minorHAnsi" w:cstheme="minorHAnsi"/>
          <w:bCs/>
          <w:sz w:val="22"/>
          <w:szCs w:val="22"/>
        </w:rPr>
        <w:t>In accordance with Paragraph 4(k) of the UDRP, 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initiated court proceedings in either its location or the location of the principal office of the relevant registrar or submitted a request for or notice of arbitration.</w:t>
      </w:r>
    </w:p>
    <w:p w14:paraId="55D8446D" w14:textId="77777777" w:rsidR="00F67857" w:rsidRPr="00B37603" w:rsidRDefault="00F67857" w:rsidP="00F67857">
      <w:pPr>
        <w:rPr>
          <w:rFonts w:asciiTheme="minorHAnsi" w:hAnsiTheme="minorHAnsi" w:cstheme="minorHAnsi"/>
          <w:bCs/>
          <w:sz w:val="22"/>
          <w:szCs w:val="22"/>
        </w:rPr>
      </w:pPr>
    </w:p>
    <w:p w14:paraId="0300E2C9" w14:textId="1634970D" w:rsidR="00C87DF5" w:rsidRDefault="00C87DF5" w:rsidP="00C87DF5">
      <w:pPr>
        <w:numPr>
          <w:ilvl w:val="0"/>
          <w:numId w:val="6"/>
        </w:numPr>
        <w:rPr>
          <w:rFonts w:asciiTheme="minorHAnsi" w:hAnsiTheme="minorHAnsi" w:cstheme="minorHAnsi"/>
          <w:bCs/>
          <w:sz w:val="22"/>
          <w:szCs w:val="22"/>
        </w:rPr>
      </w:pPr>
      <w:r w:rsidRPr="00B37603">
        <w:rPr>
          <w:rFonts w:asciiTheme="minorHAnsi" w:hAnsiTheme="minorHAnsi" w:cstheme="minorHAnsi"/>
          <w:bCs/>
          <w:sz w:val="22"/>
          <w:szCs w:val="22"/>
        </w:rPr>
        <w:t>Where the relevant registrar has received a request for or notice of arbitration, it shall stay or continue to sta</w:t>
      </w:r>
      <w:r w:rsidR="004F70F1">
        <w:rPr>
          <w:rFonts w:asciiTheme="minorHAnsi" w:hAnsiTheme="minorHAnsi" w:cstheme="minorHAnsi"/>
          <w:bCs/>
          <w:sz w:val="22"/>
          <w:szCs w:val="22"/>
        </w:rPr>
        <w:t xml:space="preserve">y, </w:t>
      </w:r>
      <w:r w:rsidRPr="00B37603">
        <w:rPr>
          <w:rFonts w:asciiTheme="minorHAnsi" w:hAnsiTheme="minorHAnsi" w:cstheme="minorHAnsi"/>
          <w:bCs/>
          <w:sz w:val="22"/>
          <w:szCs w:val="22"/>
        </w:rPr>
        <w:t>as applicable, implementation of the UDRP panel decision until it receives official documentation concerning the outcome of an arbitration or other satisfactory evidence of a settlement or other final resolution of the dispute.</w:t>
      </w:r>
    </w:p>
    <w:p w14:paraId="7A939C9E" w14:textId="77777777" w:rsidR="00F67857" w:rsidRPr="00B37603" w:rsidRDefault="00F67857" w:rsidP="00F67857">
      <w:pPr>
        <w:rPr>
          <w:rFonts w:asciiTheme="minorHAnsi" w:hAnsiTheme="minorHAnsi" w:cstheme="minorHAnsi"/>
          <w:bCs/>
          <w:sz w:val="22"/>
          <w:szCs w:val="22"/>
        </w:rPr>
      </w:pPr>
    </w:p>
    <w:p w14:paraId="5408E933" w14:textId="58D5A820" w:rsidR="00C87DF5" w:rsidRDefault="00C87DF5" w:rsidP="00C87DF5">
      <w:pPr>
        <w:numPr>
          <w:ilvl w:val="0"/>
          <w:numId w:val="6"/>
        </w:numPr>
        <w:rPr>
          <w:rFonts w:asciiTheme="minorHAnsi" w:hAnsiTheme="minorHAnsi" w:cstheme="minorHAnsi"/>
          <w:bCs/>
          <w:sz w:val="22"/>
          <w:szCs w:val="22"/>
        </w:rPr>
      </w:pPr>
      <w:r w:rsidRPr="00B37603">
        <w:rPr>
          <w:rFonts w:asciiTheme="minorHAnsi" w:hAnsiTheme="minorHAnsi" w:cstheme="minorHAnsi"/>
          <w:bCs/>
          <w:sz w:val="22"/>
          <w:szCs w:val="22"/>
        </w:rPr>
        <w:t>Where the registrant initiates court proceedings</w:t>
      </w:r>
      <w:r w:rsidR="003A19F1">
        <w:rPr>
          <w:rFonts w:asciiTheme="minorHAnsi" w:hAnsiTheme="minorHAnsi" w:cstheme="minorHAnsi"/>
          <w:bCs/>
          <w:sz w:val="22"/>
          <w:szCs w:val="22"/>
        </w:rPr>
        <w:t xml:space="preserve"> </w:t>
      </w:r>
      <w:commentRangeStart w:id="6"/>
      <w:r w:rsidR="003A19F1">
        <w:rPr>
          <w:rFonts w:asciiTheme="minorHAnsi" w:hAnsiTheme="minorHAnsi" w:cstheme="minorHAnsi"/>
          <w:bCs/>
          <w:sz w:val="22"/>
          <w:szCs w:val="22"/>
        </w:rPr>
        <w:t>and</w:t>
      </w:r>
      <w:commentRangeEnd w:id="6"/>
      <w:r w:rsidR="0052172C">
        <w:rPr>
          <w:rStyle w:val="CommentReference"/>
        </w:rPr>
        <w:commentReference w:id="6"/>
      </w:r>
      <w:r w:rsidRPr="00B37603">
        <w:rPr>
          <w:rFonts w:asciiTheme="minorHAnsi" w:hAnsiTheme="minorHAnsi" w:cstheme="minorHAnsi"/>
          <w:bCs/>
          <w:sz w:val="22"/>
          <w:szCs w:val="22"/>
        </w:rPr>
        <w:t xml:space="preserve"> the court declines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w:t>
      </w:r>
      <w:commentRangeStart w:id="7"/>
      <w:r w:rsidRPr="00B37603">
        <w:rPr>
          <w:rFonts w:asciiTheme="minorHAnsi" w:hAnsiTheme="minorHAnsi" w:cstheme="minorHAnsi"/>
          <w:bCs/>
          <w:sz w:val="22"/>
          <w:szCs w:val="22"/>
        </w:rPr>
        <w:t>Where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commentRangeEnd w:id="7"/>
      <w:r w:rsidR="0052172C">
        <w:rPr>
          <w:rStyle w:val="CommentReference"/>
        </w:rPr>
        <w:commentReference w:id="7"/>
      </w:r>
      <w:r w:rsidRPr="00B37603">
        <w:rPr>
          <w:rFonts w:asciiTheme="minorHAnsi" w:hAnsiTheme="minorHAnsi" w:cstheme="minorHAnsi"/>
          <w:bCs/>
          <w:sz w:val="22"/>
          <w:szCs w:val="22"/>
        </w:rPr>
        <w:t xml:space="preserve">. </w:t>
      </w:r>
    </w:p>
    <w:p w14:paraId="102243D0" w14:textId="77777777" w:rsidR="00F67857" w:rsidRPr="00B37603" w:rsidRDefault="00F67857" w:rsidP="00F67857">
      <w:pPr>
        <w:rPr>
          <w:rFonts w:asciiTheme="minorHAnsi" w:hAnsiTheme="minorHAnsi" w:cstheme="minorHAnsi"/>
          <w:bCs/>
          <w:sz w:val="22"/>
          <w:szCs w:val="22"/>
        </w:rPr>
      </w:pPr>
    </w:p>
    <w:p w14:paraId="74E71B80" w14:textId="56EE781E" w:rsidR="00C87DF5" w:rsidRPr="00B37603" w:rsidRDefault="0061477C" w:rsidP="00C87DF5">
      <w:pPr>
        <w:numPr>
          <w:ilvl w:val="0"/>
          <w:numId w:val="6"/>
        </w:numPr>
        <w:rPr>
          <w:rFonts w:asciiTheme="minorHAnsi" w:hAnsiTheme="minorHAnsi" w:cstheme="minorHAnsi"/>
          <w:bCs/>
          <w:sz w:val="22"/>
          <w:szCs w:val="22"/>
        </w:rPr>
      </w:pPr>
      <w:commentRangeStart w:id="8"/>
      <w:r>
        <w:rPr>
          <w:rFonts w:asciiTheme="minorHAnsi" w:hAnsiTheme="minorHAnsi" w:cstheme="minorHAnsi"/>
          <w:bCs/>
          <w:sz w:val="22"/>
          <w:szCs w:val="22"/>
        </w:rPr>
        <w:t>W</w:t>
      </w:r>
      <w:r w:rsidR="00C87DF5" w:rsidRPr="00B37603">
        <w:rPr>
          <w:rFonts w:asciiTheme="minorHAnsi" w:hAnsiTheme="minorHAnsi" w:cstheme="minorHAnsi"/>
          <w:bCs/>
          <w:sz w:val="22"/>
          <w:szCs w:val="22"/>
        </w:rPr>
        <w:t xml:space="preserve">here a registrant decides to </w:t>
      </w:r>
      <w:r>
        <w:rPr>
          <w:rFonts w:asciiTheme="minorHAnsi" w:hAnsiTheme="minorHAnsi" w:cstheme="minorHAnsi"/>
          <w:bCs/>
          <w:sz w:val="22"/>
          <w:szCs w:val="22"/>
        </w:rPr>
        <w:t>submit the dispute to binding</w:t>
      </w:r>
      <w:r w:rsidR="00C87DF5" w:rsidRPr="00B37603">
        <w:rPr>
          <w:rFonts w:asciiTheme="minorHAnsi" w:hAnsiTheme="minorHAnsi" w:cstheme="minorHAnsi"/>
          <w:bCs/>
          <w:sz w:val="22"/>
          <w:szCs w:val="22"/>
        </w:rPr>
        <w:t xml:space="preserve"> arbitration, it shall notify the relevant registrar prior to</w:t>
      </w:r>
      <w:r>
        <w:rPr>
          <w:rFonts w:asciiTheme="minorHAnsi" w:hAnsiTheme="minorHAnsi" w:cstheme="minorHAnsi"/>
          <w:bCs/>
          <w:sz w:val="22"/>
          <w:szCs w:val="22"/>
        </w:rPr>
        <w:t xml:space="preserve"> initiating the arbitration proceeding with the competent arbitral tribunal</w:t>
      </w:r>
      <w:r w:rsidR="00C87DF5" w:rsidRPr="00B37603">
        <w:rPr>
          <w:rFonts w:asciiTheme="minorHAnsi" w:hAnsiTheme="minorHAnsi" w:cstheme="minorHAnsi"/>
          <w:bCs/>
          <w:sz w:val="22"/>
          <w:szCs w:val="22"/>
        </w:rPr>
        <w:t xml:space="preserve">. The registrar shall notify the IGO Complainant of the registrant’s </w:t>
      </w:r>
      <w:r>
        <w:rPr>
          <w:rFonts w:asciiTheme="minorHAnsi" w:hAnsiTheme="minorHAnsi" w:cstheme="minorHAnsi"/>
          <w:bCs/>
          <w:sz w:val="22"/>
          <w:szCs w:val="22"/>
        </w:rPr>
        <w:t>decision</w:t>
      </w:r>
      <w:r w:rsidR="00C87DF5" w:rsidRPr="00B37603">
        <w:rPr>
          <w:rFonts w:asciiTheme="minorHAnsi" w:hAnsiTheme="minorHAnsi" w:cstheme="minorHAnsi"/>
          <w:bCs/>
          <w:sz w:val="22"/>
          <w:szCs w:val="22"/>
        </w:rPr>
        <w:t xml:space="preserve"> to </w:t>
      </w:r>
      <w:r>
        <w:rPr>
          <w:rFonts w:asciiTheme="minorHAnsi" w:hAnsiTheme="minorHAnsi" w:cstheme="minorHAnsi"/>
          <w:bCs/>
          <w:sz w:val="22"/>
          <w:szCs w:val="22"/>
        </w:rPr>
        <w:t xml:space="preserve">initiate </w:t>
      </w:r>
      <w:r w:rsidR="00C87DF5" w:rsidRPr="00B37603">
        <w:rPr>
          <w:rFonts w:asciiTheme="minorHAnsi" w:hAnsiTheme="minorHAnsi" w:cstheme="minorHAnsi"/>
          <w:bCs/>
          <w:sz w:val="22"/>
          <w:szCs w:val="22"/>
        </w:rPr>
        <w:t>arbitration</w:t>
      </w:r>
      <w:commentRangeEnd w:id="8"/>
      <w:r w:rsidR="0052172C">
        <w:rPr>
          <w:rStyle w:val="CommentReference"/>
        </w:rPr>
        <w:commentReference w:id="8"/>
      </w:r>
      <w:r w:rsidR="00C87DF5" w:rsidRPr="00B37603">
        <w:rPr>
          <w:rFonts w:asciiTheme="minorHAnsi" w:hAnsiTheme="minorHAnsi" w:cstheme="minorHAnsi"/>
          <w:bCs/>
          <w:sz w:val="22"/>
          <w:szCs w:val="22"/>
        </w:rPr>
        <w:t>.</w:t>
      </w:r>
    </w:p>
    <w:p w14:paraId="385DCEC2" w14:textId="77777777" w:rsidR="00F67857" w:rsidRDefault="00F67857" w:rsidP="00C87DF5">
      <w:pPr>
        <w:rPr>
          <w:rFonts w:asciiTheme="minorHAnsi" w:hAnsiTheme="minorHAnsi" w:cstheme="minorHAnsi"/>
          <w:b/>
          <w:bCs/>
          <w:sz w:val="22"/>
          <w:szCs w:val="22"/>
        </w:rPr>
      </w:pPr>
    </w:p>
    <w:p w14:paraId="7E259021" w14:textId="0D78AFEE" w:rsidR="00C87DF5" w:rsidRPr="00B37603" w:rsidRDefault="00C87DF5" w:rsidP="00C87DF5">
      <w:pPr>
        <w:rPr>
          <w:rFonts w:asciiTheme="minorHAnsi" w:hAnsiTheme="minorHAnsi" w:cstheme="minorHAnsi"/>
          <w:b/>
          <w:bCs/>
          <w:sz w:val="22"/>
          <w:szCs w:val="22"/>
        </w:rPr>
      </w:pPr>
      <w:r w:rsidRPr="00B37603">
        <w:rPr>
          <w:rFonts w:asciiTheme="minorHAnsi" w:hAnsiTheme="minorHAnsi" w:cstheme="minorHAnsi"/>
          <w:b/>
          <w:bCs/>
          <w:sz w:val="22"/>
          <w:szCs w:val="22"/>
        </w:rPr>
        <w:t>Recommendation #</w:t>
      </w:r>
      <w:r w:rsidR="000435B5">
        <w:rPr>
          <w:rFonts w:asciiTheme="minorHAnsi" w:hAnsiTheme="minorHAnsi" w:cstheme="minorHAnsi"/>
          <w:b/>
          <w:bCs/>
          <w:sz w:val="22"/>
          <w:szCs w:val="22"/>
        </w:rPr>
        <w:t>4</w:t>
      </w:r>
      <w:r w:rsidRPr="00B37603">
        <w:rPr>
          <w:rFonts w:asciiTheme="minorHAnsi" w:hAnsiTheme="minorHAnsi" w:cstheme="minorHAnsi"/>
          <w:b/>
          <w:bCs/>
          <w:sz w:val="22"/>
          <w:szCs w:val="22"/>
        </w:rPr>
        <w:t>: Arbitral Review following a URS Proceeding</w:t>
      </w:r>
    </w:p>
    <w:p w14:paraId="524498AF" w14:textId="14F275EC" w:rsidR="00C87DF5" w:rsidRDefault="00C87DF5" w:rsidP="00C87DF5">
      <w:pPr>
        <w:rPr>
          <w:rFonts w:asciiTheme="minorHAnsi" w:hAnsiTheme="minorHAnsi" w:cstheme="minorHAnsi"/>
          <w:bCs/>
          <w:sz w:val="22"/>
          <w:szCs w:val="22"/>
        </w:rPr>
      </w:pPr>
      <w:r w:rsidRPr="00B37603">
        <w:rPr>
          <w:rFonts w:asciiTheme="minorHAnsi" w:hAnsiTheme="minorHAnsi" w:cstheme="minorHAnsi"/>
          <w:bCs/>
          <w:sz w:val="22"/>
          <w:szCs w:val="22"/>
        </w:rPr>
        <w:lastRenderedPageBreak/>
        <w:t>The EPDP team recommends that the following provisions be added to the URS to accommodate the possibility of binding arbitration to review a Determination made under the URS:</w:t>
      </w:r>
    </w:p>
    <w:p w14:paraId="34A29BE0" w14:textId="77777777" w:rsidR="000435B5" w:rsidRPr="00B37603" w:rsidRDefault="000435B5" w:rsidP="00C87DF5">
      <w:pPr>
        <w:rPr>
          <w:rFonts w:asciiTheme="minorHAnsi" w:hAnsiTheme="minorHAnsi" w:cstheme="minorHAnsi"/>
          <w:bCs/>
          <w:sz w:val="22"/>
          <w:szCs w:val="22"/>
        </w:rPr>
      </w:pPr>
    </w:p>
    <w:p w14:paraId="2CA25109" w14:textId="138AB0D1" w:rsidR="00C87DF5" w:rsidRDefault="00C87DF5" w:rsidP="00C87DF5">
      <w:pPr>
        <w:numPr>
          <w:ilvl w:val="0"/>
          <w:numId w:val="7"/>
        </w:numPr>
        <w:rPr>
          <w:rFonts w:asciiTheme="minorHAnsi" w:hAnsiTheme="minorHAnsi" w:cstheme="minorHAnsi"/>
          <w:bCs/>
          <w:sz w:val="22"/>
          <w:szCs w:val="22"/>
        </w:rPr>
      </w:pPr>
      <w:r w:rsidRPr="00B37603">
        <w:rPr>
          <w:rFonts w:asciiTheme="minorHAnsi" w:hAnsiTheme="minorHAnsi" w:cstheme="minorHAnsi"/>
          <w:bCs/>
          <w:sz w:val="22"/>
          <w:szCs w:val="22"/>
        </w:rPr>
        <w:t xml:space="preserve">When submitting its complaint, an IGO Complainant shall indicate that it agrees, </w:t>
      </w:r>
      <w:commentRangeStart w:id="9"/>
      <w:r w:rsidR="000435B5">
        <w:rPr>
          <w:rFonts w:asciiTheme="minorHAnsi" w:hAnsiTheme="minorHAnsi" w:cstheme="minorHAnsi"/>
          <w:bCs/>
          <w:sz w:val="22"/>
          <w:szCs w:val="22"/>
        </w:rPr>
        <w:t>if</w:t>
      </w:r>
      <w:r w:rsidRPr="00B37603">
        <w:rPr>
          <w:rFonts w:asciiTheme="minorHAnsi" w:hAnsiTheme="minorHAnsi" w:cstheme="minorHAnsi"/>
          <w:bCs/>
          <w:sz w:val="22"/>
          <w:szCs w:val="22"/>
        </w:rPr>
        <w:t xml:space="preserve"> </w:t>
      </w:r>
      <w:commentRangeEnd w:id="9"/>
      <w:r w:rsidR="0052172C">
        <w:rPr>
          <w:rStyle w:val="CommentReference"/>
        </w:rPr>
        <w:commentReference w:id="9"/>
      </w:r>
      <w:r w:rsidRPr="00B37603">
        <w:rPr>
          <w:rFonts w:asciiTheme="minorHAnsi" w:hAnsiTheme="minorHAnsi" w:cstheme="minorHAnsi"/>
          <w:bCs/>
          <w:sz w:val="22"/>
          <w:szCs w:val="22"/>
        </w:rPr>
        <w:t xml:space="preserve">the registrant also agrees, to have the final determination of the outcome of the URS proceeding settled through binding arbitration. </w:t>
      </w:r>
    </w:p>
    <w:p w14:paraId="3C398E2B" w14:textId="77777777" w:rsidR="00F67857" w:rsidRPr="00B37603" w:rsidRDefault="00F67857" w:rsidP="00F67857">
      <w:pPr>
        <w:ind w:left="360"/>
        <w:rPr>
          <w:rFonts w:asciiTheme="minorHAnsi" w:hAnsiTheme="minorHAnsi" w:cstheme="minorHAnsi"/>
          <w:bCs/>
          <w:sz w:val="22"/>
          <w:szCs w:val="22"/>
        </w:rPr>
      </w:pPr>
    </w:p>
    <w:p w14:paraId="5B188332" w14:textId="070FD27A" w:rsidR="00C87DF5" w:rsidRDefault="00C87DF5" w:rsidP="00C87DF5">
      <w:pPr>
        <w:numPr>
          <w:ilvl w:val="0"/>
          <w:numId w:val="7"/>
        </w:numPr>
        <w:rPr>
          <w:rFonts w:asciiTheme="minorHAnsi" w:hAnsiTheme="minorHAnsi" w:cstheme="minorHAnsi"/>
          <w:bCs/>
          <w:sz w:val="22"/>
          <w:szCs w:val="22"/>
        </w:rPr>
      </w:pPr>
      <w:r w:rsidRPr="00B37603">
        <w:rPr>
          <w:rFonts w:asciiTheme="minorHAnsi" w:hAnsiTheme="minorHAnsi" w:cstheme="minorHAnsi"/>
          <w:bCs/>
          <w:sz w:val="22"/>
          <w:szCs w:val="22"/>
        </w:rPr>
        <w:t xml:space="preserve">In communicating a URS Determination to the parties where the complainant is an IGO Complainant, the URS provider shall provide both parties with information regarding the applicable arbitral rules. </w:t>
      </w:r>
      <w:commentRangeStart w:id="10"/>
      <w:r w:rsidRPr="00B37603">
        <w:rPr>
          <w:rFonts w:asciiTheme="minorHAnsi" w:hAnsiTheme="minorHAnsi" w:cstheme="minorHAnsi"/>
          <w:bCs/>
          <w:sz w:val="22"/>
          <w:szCs w:val="22"/>
        </w:rPr>
        <w:t xml:space="preserve">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10"/>
      <w:r w:rsidRPr="00B37603">
        <w:rPr>
          <w:rStyle w:val="CommentReference"/>
          <w:rFonts w:asciiTheme="minorHAnsi" w:hAnsiTheme="minorHAnsi" w:cstheme="minorHAnsi"/>
          <w:sz w:val="22"/>
          <w:szCs w:val="22"/>
        </w:rPr>
        <w:commentReference w:id="10"/>
      </w:r>
    </w:p>
    <w:p w14:paraId="050A5768" w14:textId="77777777" w:rsidR="00F67857" w:rsidRPr="00B37603" w:rsidRDefault="00F67857" w:rsidP="00F67857">
      <w:pPr>
        <w:rPr>
          <w:rFonts w:asciiTheme="minorHAnsi" w:hAnsiTheme="minorHAnsi" w:cstheme="minorHAnsi"/>
          <w:bCs/>
          <w:sz w:val="22"/>
          <w:szCs w:val="22"/>
        </w:rPr>
      </w:pPr>
    </w:p>
    <w:p w14:paraId="550ECD29" w14:textId="6A020371" w:rsidR="00C87DF5" w:rsidRDefault="00C87DF5" w:rsidP="00C87DF5">
      <w:pPr>
        <w:pStyle w:val="ListParagraph"/>
        <w:numPr>
          <w:ilvl w:val="0"/>
          <w:numId w:val="7"/>
        </w:numPr>
        <w:contextualSpacing w:val="0"/>
        <w:rPr>
          <w:rFonts w:asciiTheme="minorHAnsi" w:hAnsiTheme="minorHAnsi" w:cstheme="minorHAnsi"/>
          <w:bCs/>
          <w:szCs w:val="22"/>
        </w:rPr>
      </w:pPr>
      <w:r w:rsidRPr="00B37603">
        <w:rPr>
          <w:rFonts w:asciiTheme="minorHAnsi" w:hAnsiTheme="minorHAnsi" w:cstheme="minorHAnsi"/>
          <w:bCs/>
          <w:szCs w:val="22"/>
        </w:rPr>
        <w:t xml:space="preserve">Where the registrant initiates court proceedings </w:t>
      </w:r>
      <w:commentRangeStart w:id="11"/>
      <w:r w:rsidRPr="00B37603">
        <w:rPr>
          <w:rFonts w:asciiTheme="minorHAnsi" w:hAnsiTheme="minorHAnsi" w:cstheme="minorHAnsi"/>
          <w:bCs/>
          <w:szCs w:val="22"/>
        </w:rPr>
        <w:t>and</w:t>
      </w:r>
      <w:commentRangeEnd w:id="11"/>
      <w:r w:rsidR="0052172C">
        <w:rPr>
          <w:rStyle w:val="CommentReference"/>
          <w:rFonts w:ascii="Times New Roman" w:eastAsia="Times New Roman" w:hAnsi="Times New Roman" w:cs="Times New Roman"/>
          <w:lang w:eastAsia="zh-CN"/>
        </w:rPr>
        <w:commentReference w:id="11"/>
      </w:r>
      <w:r w:rsidRPr="00B37603">
        <w:rPr>
          <w:rFonts w:asciiTheme="minorHAnsi" w:hAnsiTheme="minorHAnsi" w:cstheme="minorHAnsi"/>
          <w:bCs/>
          <w:szCs w:val="22"/>
        </w:rPr>
        <w:t> the court declines to hear the merits of the case,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 and IGO Complainant. The relevant domain name(s) will remain suspended throughout the pendency of any such arbitration proceeding.</w:t>
      </w:r>
    </w:p>
    <w:p w14:paraId="1419983D" w14:textId="77777777" w:rsidR="00F67857" w:rsidRPr="00F67857" w:rsidRDefault="00F67857" w:rsidP="00F67857">
      <w:pPr>
        <w:rPr>
          <w:rFonts w:asciiTheme="minorHAnsi" w:hAnsiTheme="minorHAnsi" w:cstheme="minorHAnsi"/>
          <w:bCs/>
          <w:szCs w:val="22"/>
        </w:rPr>
      </w:pPr>
    </w:p>
    <w:p w14:paraId="6CBB0D75" w14:textId="101CE7F3" w:rsidR="00C87DF5" w:rsidRDefault="00C87DF5" w:rsidP="00C87DF5">
      <w:pPr>
        <w:numPr>
          <w:ilvl w:val="0"/>
          <w:numId w:val="7"/>
        </w:numPr>
        <w:rPr>
          <w:rFonts w:asciiTheme="minorHAnsi" w:hAnsiTheme="minorHAnsi" w:cstheme="minorHAnsi"/>
          <w:bCs/>
          <w:sz w:val="22"/>
          <w:szCs w:val="22"/>
        </w:rPr>
      </w:pPr>
      <w:r w:rsidRPr="00B37603">
        <w:rPr>
          <w:rFonts w:asciiTheme="minorHAnsi" w:hAnsiTheme="minorHAnsi" w:cstheme="minorHAnsi"/>
          <w:bCs/>
          <w:sz w:val="22"/>
          <w:szCs w:val="22"/>
        </w:rPr>
        <w:t>Where the registrant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3FFB1CD6" w14:textId="77777777" w:rsidR="00F67857" w:rsidRPr="00B37603" w:rsidRDefault="00F67857" w:rsidP="00F67857">
      <w:pPr>
        <w:rPr>
          <w:rFonts w:asciiTheme="minorHAnsi" w:hAnsiTheme="minorHAnsi" w:cstheme="minorHAnsi"/>
          <w:bCs/>
          <w:sz w:val="22"/>
          <w:szCs w:val="22"/>
        </w:rPr>
      </w:pPr>
    </w:p>
    <w:p w14:paraId="249B5478" w14:textId="661A0F66" w:rsidR="00C87DF5" w:rsidRPr="00B37603" w:rsidRDefault="000435B5" w:rsidP="00E05A11">
      <w:pPr>
        <w:numPr>
          <w:ilvl w:val="0"/>
          <w:numId w:val="7"/>
        </w:numPr>
        <w:rPr>
          <w:rFonts w:asciiTheme="minorHAnsi" w:hAnsiTheme="minorHAnsi" w:cstheme="minorHAnsi"/>
          <w:bCs/>
          <w:sz w:val="22"/>
          <w:szCs w:val="22"/>
        </w:rPr>
      </w:pPr>
      <w:commentRangeStart w:id="12"/>
      <w:r>
        <w:rPr>
          <w:rFonts w:asciiTheme="minorHAnsi" w:hAnsiTheme="minorHAnsi" w:cstheme="minorHAnsi"/>
          <w:bCs/>
          <w:sz w:val="22"/>
          <w:szCs w:val="22"/>
        </w:rPr>
        <w:t>W</w:t>
      </w:r>
      <w:r w:rsidR="00C87DF5" w:rsidRPr="00B37603">
        <w:rPr>
          <w:rFonts w:asciiTheme="minorHAnsi" w:hAnsiTheme="minorHAnsi" w:cstheme="minorHAnsi"/>
          <w:bCs/>
          <w:sz w:val="22"/>
          <w:szCs w:val="22"/>
        </w:rPr>
        <w:t xml:space="preserve">here a registrant decides to </w:t>
      </w:r>
      <w:r>
        <w:rPr>
          <w:rFonts w:asciiTheme="minorHAnsi" w:hAnsiTheme="minorHAnsi" w:cstheme="minorHAnsi"/>
          <w:bCs/>
          <w:sz w:val="22"/>
          <w:szCs w:val="22"/>
        </w:rPr>
        <w:t>submit the dispute to binding</w:t>
      </w:r>
      <w:r w:rsidR="00C87DF5" w:rsidRPr="00B37603">
        <w:rPr>
          <w:rFonts w:asciiTheme="minorHAnsi" w:hAnsiTheme="minorHAnsi" w:cstheme="minorHAnsi"/>
          <w:bCs/>
          <w:sz w:val="22"/>
          <w:szCs w:val="22"/>
        </w:rPr>
        <w:t xml:space="preserve"> arbitration, it shall notify the relevant URS provider prior to </w:t>
      </w:r>
      <w:r>
        <w:rPr>
          <w:rFonts w:asciiTheme="minorHAnsi" w:hAnsiTheme="minorHAnsi" w:cstheme="minorHAnsi"/>
          <w:bCs/>
          <w:sz w:val="22"/>
          <w:szCs w:val="22"/>
        </w:rPr>
        <w:t>initiating the arbitration proceeding with</w:t>
      </w:r>
      <w:r w:rsidR="00C87DF5" w:rsidRPr="00B37603">
        <w:rPr>
          <w:rFonts w:asciiTheme="minorHAnsi" w:hAnsiTheme="minorHAnsi" w:cstheme="minorHAnsi"/>
          <w:bCs/>
          <w:sz w:val="22"/>
          <w:szCs w:val="22"/>
        </w:rPr>
        <w:t xml:space="preserve"> the </w:t>
      </w:r>
      <w:r>
        <w:rPr>
          <w:rFonts w:asciiTheme="minorHAnsi" w:hAnsiTheme="minorHAnsi" w:cstheme="minorHAnsi"/>
          <w:bCs/>
          <w:sz w:val="22"/>
          <w:szCs w:val="22"/>
        </w:rPr>
        <w:t xml:space="preserve">competent </w:t>
      </w:r>
      <w:r w:rsidR="00C87DF5" w:rsidRPr="00B37603">
        <w:rPr>
          <w:rFonts w:asciiTheme="minorHAnsi" w:hAnsiTheme="minorHAnsi" w:cstheme="minorHAnsi"/>
          <w:bCs/>
          <w:sz w:val="22"/>
          <w:szCs w:val="22"/>
        </w:rPr>
        <w:t xml:space="preserve">arbitral tribunal. The </w:t>
      </w:r>
      <w:r w:rsidR="00BA4731">
        <w:rPr>
          <w:rFonts w:asciiTheme="minorHAnsi" w:hAnsiTheme="minorHAnsi" w:cstheme="minorHAnsi"/>
          <w:bCs/>
          <w:sz w:val="22"/>
          <w:szCs w:val="22"/>
        </w:rPr>
        <w:t xml:space="preserve">URS </w:t>
      </w:r>
      <w:r w:rsidR="00C87DF5" w:rsidRPr="00B37603">
        <w:rPr>
          <w:rFonts w:asciiTheme="minorHAnsi" w:hAnsiTheme="minorHAnsi" w:cstheme="minorHAnsi"/>
          <w:bCs/>
          <w:sz w:val="22"/>
          <w:szCs w:val="22"/>
        </w:rPr>
        <w:t xml:space="preserve">provider shall notify the IGO Complainant of the registrant’s </w:t>
      </w:r>
      <w:r>
        <w:rPr>
          <w:rFonts w:asciiTheme="minorHAnsi" w:hAnsiTheme="minorHAnsi" w:cstheme="minorHAnsi"/>
          <w:bCs/>
          <w:sz w:val="22"/>
          <w:szCs w:val="22"/>
        </w:rPr>
        <w:t>decision</w:t>
      </w:r>
      <w:r w:rsidR="00C87DF5" w:rsidRPr="00B37603">
        <w:rPr>
          <w:rFonts w:asciiTheme="minorHAnsi" w:hAnsiTheme="minorHAnsi" w:cstheme="minorHAnsi"/>
          <w:bCs/>
          <w:sz w:val="22"/>
          <w:szCs w:val="22"/>
        </w:rPr>
        <w:t xml:space="preserve"> to</w:t>
      </w:r>
      <w:r>
        <w:rPr>
          <w:rFonts w:asciiTheme="minorHAnsi" w:hAnsiTheme="minorHAnsi" w:cstheme="minorHAnsi"/>
          <w:bCs/>
          <w:sz w:val="22"/>
          <w:szCs w:val="22"/>
        </w:rPr>
        <w:t xml:space="preserve"> initiate</w:t>
      </w:r>
      <w:r w:rsidR="00C87DF5" w:rsidRPr="00B37603">
        <w:rPr>
          <w:rFonts w:asciiTheme="minorHAnsi" w:hAnsiTheme="minorHAnsi" w:cstheme="minorHAnsi"/>
          <w:bCs/>
          <w:sz w:val="22"/>
          <w:szCs w:val="22"/>
        </w:rPr>
        <w:t xml:space="preserve"> arbitration.</w:t>
      </w:r>
      <w:commentRangeEnd w:id="12"/>
      <w:r w:rsidR="00BA4731">
        <w:rPr>
          <w:rStyle w:val="CommentReference"/>
        </w:rPr>
        <w:commentReference w:id="12"/>
      </w:r>
    </w:p>
    <w:p w14:paraId="760452C3" w14:textId="77777777" w:rsidR="00C87DF5" w:rsidRPr="00B37603" w:rsidRDefault="00C87DF5" w:rsidP="00C87DF5">
      <w:pPr>
        <w:rPr>
          <w:rFonts w:asciiTheme="minorHAnsi" w:hAnsiTheme="minorHAnsi" w:cstheme="minorHAnsi"/>
          <w:sz w:val="22"/>
          <w:szCs w:val="22"/>
        </w:rPr>
      </w:pPr>
    </w:p>
    <w:p w14:paraId="0EDB9468" w14:textId="63E024E0" w:rsidR="00214AEB" w:rsidRPr="00F67857" w:rsidRDefault="00214AEB" w:rsidP="00F67857">
      <w:pPr>
        <w:spacing w:after="160" w:line="259" w:lineRule="auto"/>
        <w:rPr>
          <w:rFonts w:asciiTheme="minorHAnsi" w:hAnsiTheme="minorHAnsi" w:cstheme="minorHAnsi"/>
          <w:sz w:val="22"/>
          <w:szCs w:val="22"/>
        </w:rPr>
      </w:pPr>
      <w:r w:rsidRPr="00B37603">
        <w:rPr>
          <w:rFonts w:asciiTheme="minorHAnsi" w:hAnsiTheme="minorHAnsi" w:cstheme="minorHAnsi"/>
          <w:b/>
          <w:bCs/>
          <w:sz w:val="22"/>
          <w:szCs w:val="22"/>
        </w:rPr>
        <w:t>Recommendation #</w:t>
      </w:r>
      <w:r w:rsidR="000435B5">
        <w:rPr>
          <w:rFonts w:asciiTheme="minorHAnsi" w:hAnsiTheme="minorHAnsi" w:cstheme="minorHAnsi"/>
          <w:b/>
          <w:bCs/>
          <w:sz w:val="22"/>
          <w:szCs w:val="22"/>
        </w:rPr>
        <w:t>5</w:t>
      </w:r>
      <w:r w:rsidRPr="00B37603">
        <w:rPr>
          <w:rFonts w:asciiTheme="minorHAnsi" w:hAnsiTheme="minorHAnsi" w:cstheme="minorHAnsi"/>
          <w:b/>
          <w:bCs/>
          <w:sz w:val="22"/>
          <w:szCs w:val="22"/>
        </w:rPr>
        <w:t>: Applicable Law for Arbitration</w:t>
      </w:r>
      <w:r w:rsidR="0032704E">
        <w:rPr>
          <w:rFonts w:asciiTheme="minorHAnsi" w:hAnsiTheme="minorHAnsi" w:cstheme="minorHAnsi"/>
          <w:b/>
          <w:bCs/>
          <w:sz w:val="22"/>
          <w:szCs w:val="22"/>
        </w:rPr>
        <w:t xml:space="preserve"> Proceedings</w:t>
      </w:r>
    </w:p>
    <w:p w14:paraId="35D9641A" w14:textId="52EAD5B5" w:rsidR="002D2D4E" w:rsidRPr="00B37603" w:rsidRDefault="00214AEB" w:rsidP="00214AEB">
      <w:pPr>
        <w:rPr>
          <w:rFonts w:asciiTheme="minorHAnsi" w:hAnsiTheme="minorHAnsi" w:cstheme="minorHAnsi"/>
          <w:sz w:val="22"/>
          <w:szCs w:val="22"/>
        </w:rPr>
      </w:pPr>
      <w:r w:rsidRPr="00B37603">
        <w:rPr>
          <w:rFonts w:asciiTheme="minorHAnsi" w:hAnsiTheme="minorHAnsi" w:cstheme="minorHAnsi"/>
          <w:sz w:val="22"/>
          <w:szCs w:val="22"/>
        </w:rPr>
        <w:t>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Whois database at the time the complaint was submitted to the UDRP or URS provider. Where neither law provides for a suitable cause of action, the arbitral tribunal shall make a determination as to the law to be applied in accordance with the applicable arbitral rules.</w:t>
      </w:r>
    </w:p>
    <w:sectPr w:rsidR="002D2D4E" w:rsidRPr="00B3760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y Wong" w:date="2022-02-24T11:53:00Z" w:initials="MW">
    <w:p w14:paraId="5C89B674" w14:textId="137A80EE" w:rsidR="004D344B" w:rsidRDefault="004D344B" w:rsidP="004D344B">
      <w:pPr>
        <w:pStyle w:val="CommentText"/>
      </w:pPr>
      <w:r>
        <w:rPr>
          <w:rStyle w:val="CommentReference"/>
        </w:rPr>
        <w:annotationRef/>
      </w:r>
      <w:r>
        <w:t>Text previously agreed to by the EPDP Team</w:t>
      </w:r>
      <w:r w:rsidR="00F67857">
        <w:t xml:space="preserve"> during its review of Public Comments</w:t>
      </w:r>
      <w:r>
        <w:t xml:space="preserve">, </w:t>
      </w:r>
      <w:r w:rsidR="00F67857">
        <w:t>for</w:t>
      </w:r>
      <w:r>
        <w:t xml:space="preserve"> opening text in the relevant section of the Final Report introducing the final recommendations.</w:t>
      </w:r>
    </w:p>
    <w:p w14:paraId="0DC3009D" w14:textId="2A295CFA" w:rsidR="004D344B" w:rsidRDefault="004D344B">
      <w:pPr>
        <w:pStyle w:val="CommentText"/>
      </w:pPr>
    </w:p>
  </w:comment>
  <w:comment w:id="1" w:author="Mary Wong" w:date="2022-02-24T11:53:00Z" w:initials="MW">
    <w:p w14:paraId="0134CA0B" w14:textId="5EE0B0EF" w:rsidR="004D344B" w:rsidRDefault="004D344B">
      <w:pPr>
        <w:pStyle w:val="CommentText"/>
      </w:pPr>
      <w:r>
        <w:rPr>
          <w:rStyle w:val="CommentReference"/>
        </w:rPr>
        <w:annotationRef/>
      </w:r>
      <w:r>
        <w:t>Slightly reworked language from the Initial Report.</w:t>
      </w:r>
    </w:p>
  </w:comment>
  <w:comment w:id="2" w:author="Mary Wong" w:date="2022-02-24T12:53:00Z" w:initials="MW">
    <w:p w14:paraId="53635BC5" w14:textId="4791E491" w:rsidR="00F67857" w:rsidRDefault="00F67857">
      <w:pPr>
        <w:pStyle w:val="CommentText"/>
      </w:pPr>
      <w:r>
        <w:rPr>
          <w:rStyle w:val="CommentReference"/>
        </w:rPr>
        <w:annotationRef/>
      </w:r>
      <w:r>
        <w:t>Language from the Initial Report.</w:t>
      </w:r>
    </w:p>
  </w:comment>
  <w:comment w:id="3" w:author="Mary Wong" w:date="2022-02-24T11:44:00Z" w:initials="MW">
    <w:p w14:paraId="71176EE8" w14:textId="5E226236" w:rsidR="00914DB8" w:rsidRDefault="00914DB8">
      <w:pPr>
        <w:pStyle w:val="CommentText"/>
      </w:pPr>
      <w:r>
        <w:rPr>
          <w:rStyle w:val="CommentReference"/>
        </w:rPr>
        <w:annotationRef/>
      </w:r>
      <w:r>
        <w:t xml:space="preserve">Bracketing this text </w:t>
      </w:r>
      <w:r w:rsidR="00E9734C">
        <w:t>from</w:t>
      </w:r>
      <w:r>
        <w:t xml:space="preserve"> the sub-team for </w:t>
      </w:r>
      <w:r w:rsidR="00E9734C">
        <w:t xml:space="preserve">full </w:t>
      </w:r>
      <w:r>
        <w:t xml:space="preserve">EPDP team consideration.  </w:t>
      </w:r>
    </w:p>
  </w:comment>
  <w:comment w:id="4" w:author="Mary Wong" w:date="2022-02-24T17:29:00Z" w:initials="MW">
    <w:p w14:paraId="34C3B8FD" w14:textId="0DC70253" w:rsidR="0052172C" w:rsidRDefault="0052172C">
      <w:pPr>
        <w:pStyle w:val="CommentText"/>
      </w:pPr>
      <w:r>
        <w:rPr>
          <w:rStyle w:val="CommentReference"/>
        </w:rPr>
        <w:annotationRef/>
      </w:r>
      <w:r>
        <w:t>Changed “in the event the registrant also agrees” to “if the registrant also agrees”</w:t>
      </w:r>
    </w:p>
  </w:comment>
  <w:comment w:id="5" w:author="Berry Cobb" w:date="2022-02-22T11:28:00Z" w:initials="BC">
    <w:p w14:paraId="1FFFDB5B" w14:textId="59E11402" w:rsidR="00C87DF5" w:rsidRDefault="00C87DF5">
      <w:pPr>
        <w:pStyle w:val="CommentText"/>
      </w:pPr>
      <w:r>
        <w:rPr>
          <w:rStyle w:val="CommentReference"/>
        </w:rPr>
        <w:annotationRef/>
      </w:r>
      <w:r>
        <w:t>Pending small team output on arbitral rules principles.</w:t>
      </w:r>
    </w:p>
  </w:comment>
  <w:comment w:id="6" w:author="Mary Wong" w:date="2022-02-24T17:30:00Z" w:initials="MW">
    <w:p w14:paraId="7FA45DC2" w14:textId="743A8799" w:rsidR="0052172C" w:rsidRDefault="0052172C">
      <w:pPr>
        <w:pStyle w:val="CommentText"/>
      </w:pPr>
      <w:r>
        <w:rPr>
          <w:rStyle w:val="CommentReference"/>
        </w:rPr>
        <w:annotationRef/>
      </w:r>
      <w:r>
        <w:t>Changed “with the result that” to “and”</w:t>
      </w:r>
    </w:p>
  </w:comment>
  <w:comment w:id="7" w:author="Mary Wong" w:date="2022-02-24T17:30:00Z" w:initials="MW">
    <w:p w14:paraId="0029F99F" w14:textId="7FB864F2" w:rsidR="0052172C" w:rsidRDefault="0052172C">
      <w:pPr>
        <w:pStyle w:val="CommentText"/>
      </w:pPr>
      <w:r>
        <w:rPr>
          <w:rStyle w:val="CommentReference"/>
        </w:rPr>
        <w:annotationRef/>
      </w:r>
      <w:r>
        <w:t>For simplicity and readability, removed previous language where this sentence started with the text “</w:t>
      </w:r>
      <w:r w:rsidRPr="0052172C">
        <w:rPr>
          <w:bCs/>
        </w:rPr>
        <w:t xml:space="preserve">Where the </w:t>
      </w:r>
      <w:proofErr w:type="gramStart"/>
      <w:r w:rsidRPr="0052172C">
        <w:rPr>
          <w:bCs/>
        </w:rPr>
        <w:t>registrant initiated</w:t>
      </w:r>
      <w:proofErr w:type="gramEnd"/>
      <w:r w:rsidRPr="0052172C">
        <w:rPr>
          <w:bCs/>
        </w:rPr>
        <w:t xml:space="preserve"> court proceedings in a venue other than the registrant’s location or the location of the relevant registrar’s principal office</w:t>
      </w:r>
      <w:r w:rsidRPr="0052172C">
        <w:annotationRef/>
      </w:r>
      <w:r>
        <w:rPr>
          <w:bCs/>
        </w:rPr>
        <w:t xml:space="preserve"> and … “</w:t>
      </w:r>
    </w:p>
  </w:comment>
  <w:comment w:id="8" w:author="Mary Wong" w:date="2022-02-24T17:32:00Z" w:initials="MW">
    <w:p w14:paraId="4CFF5C47" w14:textId="77777777" w:rsidR="0052172C" w:rsidRDefault="0052172C">
      <w:pPr>
        <w:pStyle w:val="CommentText"/>
        <w:rPr>
          <w:bCs/>
        </w:rPr>
      </w:pPr>
      <w:r>
        <w:rPr>
          <w:rStyle w:val="CommentReference"/>
        </w:rPr>
        <w:annotationRef/>
      </w:r>
      <w:r>
        <w:t>Simplified original text which read “</w:t>
      </w:r>
      <w:r w:rsidRPr="0052172C">
        <w:rPr>
          <w:bCs/>
        </w:rPr>
        <w:t xml:space="preserve">In all cases where a registrant decides to initiate arbitration, it shall notify the relevant registrar </w:t>
      </w:r>
      <w:r w:rsidRPr="0052172C">
        <w:annotationRef/>
      </w:r>
      <w:r w:rsidRPr="0052172C">
        <w:rPr>
          <w:bCs/>
        </w:rPr>
        <w:t>of its agreement and intention to commence arbitration, prior to submitting the request or other required form to the arbitral tribunal. The registrar shall promptly notify the IGO Complainant of the registrant’s agreement to arbitration</w:t>
      </w:r>
      <w:r w:rsidRPr="0052172C">
        <w:annotationRef/>
      </w:r>
      <w:r>
        <w:rPr>
          <w:bCs/>
        </w:rPr>
        <w:t>”.</w:t>
      </w:r>
    </w:p>
    <w:p w14:paraId="17792352" w14:textId="77777777" w:rsidR="0052172C" w:rsidRDefault="0052172C">
      <w:pPr>
        <w:pStyle w:val="CommentText"/>
        <w:rPr>
          <w:bCs/>
        </w:rPr>
      </w:pPr>
    </w:p>
    <w:p w14:paraId="78959925" w14:textId="1556450A" w:rsidR="0052172C" w:rsidRDefault="0052172C">
      <w:pPr>
        <w:pStyle w:val="CommentText"/>
      </w:pPr>
      <w:r>
        <w:rPr>
          <w:bCs/>
        </w:rPr>
        <w:t>Removed “promptly” from the registrar’s obligation to inform the IGO Complainant.</w:t>
      </w:r>
    </w:p>
  </w:comment>
  <w:comment w:id="9" w:author="Mary Wong" w:date="2022-02-24T17:33:00Z" w:initials="MW">
    <w:p w14:paraId="3B07ADE6" w14:textId="6328F7D5" w:rsidR="0052172C" w:rsidRDefault="0052172C">
      <w:pPr>
        <w:pStyle w:val="CommentText"/>
      </w:pPr>
      <w:r>
        <w:rPr>
          <w:rStyle w:val="CommentReference"/>
        </w:rPr>
        <w:annotationRef/>
      </w:r>
      <w:r>
        <w:t>Changed “in the event the registrant also agrees” to “if the registrant also agrees”</w:t>
      </w:r>
    </w:p>
  </w:comment>
  <w:comment w:id="10" w:author="Berry Cobb" w:date="2022-02-22T11:30:00Z" w:initials="BC">
    <w:p w14:paraId="5A05C3C7" w14:textId="675C1962" w:rsidR="00C87DF5" w:rsidRDefault="00C87DF5">
      <w:pPr>
        <w:pStyle w:val="CommentText"/>
      </w:pPr>
      <w:r>
        <w:rPr>
          <w:rStyle w:val="CommentReference"/>
        </w:rPr>
        <w:annotationRef/>
      </w:r>
      <w:r>
        <w:t>Pending small team output on arbitral rules principles.</w:t>
      </w:r>
    </w:p>
  </w:comment>
  <w:comment w:id="11" w:author="Mary Wong" w:date="2022-02-24T17:34:00Z" w:initials="MW">
    <w:p w14:paraId="32C25497" w14:textId="4D6F18F0" w:rsidR="0052172C" w:rsidRDefault="0052172C">
      <w:pPr>
        <w:pStyle w:val="CommentText"/>
      </w:pPr>
      <w:r>
        <w:rPr>
          <w:rStyle w:val="CommentReference"/>
        </w:rPr>
        <w:annotationRef/>
      </w:r>
      <w:r>
        <w:t>Changed “with the result that” to “and”</w:t>
      </w:r>
    </w:p>
  </w:comment>
  <w:comment w:id="12" w:author="Mary Wong" w:date="2022-02-24T17:35:00Z" w:initials="MW">
    <w:p w14:paraId="2739F1E0" w14:textId="758160F8" w:rsidR="00BA4731" w:rsidRDefault="00BA4731" w:rsidP="00BA4731">
      <w:pPr>
        <w:pStyle w:val="CommentText"/>
        <w:rPr>
          <w:bCs/>
        </w:rPr>
      </w:pPr>
      <w:r>
        <w:rPr>
          <w:rStyle w:val="CommentReference"/>
        </w:rPr>
        <w:annotationRef/>
      </w:r>
      <w:r>
        <w:t>Simplified original text which read “</w:t>
      </w:r>
      <w:r w:rsidRPr="0052172C">
        <w:rPr>
          <w:bCs/>
        </w:rPr>
        <w:t xml:space="preserve">In all cases where a registrant decides to initiate arbitration, it shall notify the </w:t>
      </w:r>
      <w:r>
        <w:rPr>
          <w:bCs/>
        </w:rPr>
        <w:t>relevant URS provider</w:t>
      </w:r>
      <w:r w:rsidRPr="0052172C">
        <w:rPr>
          <w:bCs/>
        </w:rPr>
        <w:t xml:space="preserve"> </w:t>
      </w:r>
      <w:r w:rsidRPr="0052172C">
        <w:annotationRef/>
      </w:r>
      <w:r w:rsidRPr="0052172C">
        <w:rPr>
          <w:bCs/>
        </w:rPr>
        <w:t xml:space="preserve">of its agreement and intention to commence arbitration, prior to submitting the request or other required form to the arbitral tribunal. The </w:t>
      </w:r>
      <w:r>
        <w:rPr>
          <w:bCs/>
        </w:rPr>
        <w:t>URS provider</w:t>
      </w:r>
      <w:r w:rsidRPr="0052172C">
        <w:rPr>
          <w:bCs/>
        </w:rPr>
        <w:t xml:space="preserve"> shall promptly notify the IGO Complainant of the registrant’s agreement to arbitration</w:t>
      </w:r>
      <w:r w:rsidRPr="0052172C">
        <w:annotationRef/>
      </w:r>
      <w:r>
        <w:rPr>
          <w:bCs/>
        </w:rPr>
        <w:t>”.</w:t>
      </w:r>
    </w:p>
    <w:p w14:paraId="7500F690" w14:textId="77777777" w:rsidR="00BA4731" w:rsidRDefault="00BA4731" w:rsidP="00BA4731">
      <w:pPr>
        <w:pStyle w:val="CommentText"/>
        <w:rPr>
          <w:bCs/>
        </w:rPr>
      </w:pPr>
    </w:p>
    <w:p w14:paraId="40FFEA7F" w14:textId="1D3905D8" w:rsidR="00BA4731" w:rsidRDefault="00BA4731" w:rsidP="00BA4731">
      <w:pPr>
        <w:pStyle w:val="CommentText"/>
      </w:pPr>
      <w:r>
        <w:rPr>
          <w:bCs/>
        </w:rPr>
        <w:t xml:space="preserve">Removed “promptly” from the </w:t>
      </w:r>
      <w:r>
        <w:rPr>
          <w:bCs/>
        </w:rPr>
        <w:t>URS provider</w:t>
      </w:r>
      <w:r>
        <w:rPr>
          <w:bCs/>
        </w:rPr>
        <w:t>’s obligation to inform the IGO Complainant.</w:t>
      </w:r>
    </w:p>
    <w:p w14:paraId="2B8BCD0E" w14:textId="34D3F177" w:rsidR="00BA4731" w:rsidRDefault="00BA473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C3009D" w15:done="0"/>
  <w15:commentEx w15:paraId="0134CA0B" w15:done="0"/>
  <w15:commentEx w15:paraId="53635BC5" w15:done="0"/>
  <w15:commentEx w15:paraId="71176EE8" w15:done="0"/>
  <w15:commentEx w15:paraId="34C3B8FD" w15:done="0"/>
  <w15:commentEx w15:paraId="1FFFDB5B" w15:done="0"/>
  <w15:commentEx w15:paraId="7FA45DC2" w15:done="0"/>
  <w15:commentEx w15:paraId="0029F99F" w15:done="0"/>
  <w15:commentEx w15:paraId="78959925" w15:done="0"/>
  <w15:commentEx w15:paraId="3B07ADE6" w15:done="0"/>
  <w15:commentEx w15:paraId="5A05C3C7" w15:done="0"/>
  <w15:commentEx w15:paraId="32C25497" w15:done="0"/>
  <w15:commentEx w15:paraId="2B8BCD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1F039" w16cex:dateUtc="2022-02-24T16:53:00Z"/>
  <w16cex:commentExtensible w16cex:durableId="25C1F04A" w16cex:dateUtc="2022-02-24T16:53:00Z"/>
  <w16cex:commentExtensible w16cex:durableId="25C1FE31" w16cex:dateUtc="2022-02-24T17:53:00Z"/>
  <w16cex:commentExtensible w16cex:durableId="25C1EE13" w16cex:dateUtc="2022-02-24T16:44:00Z"/>
  <w16cex:commentExtensible w16cex:durableId="25C23F0E" w16cex:dateUtc="2022-02-24T22:29:00Z"/>
  <w16cex:commentExtensible w16cex:durableId="25BF4762" w16cex:dateUtc="2022-02-22T16:28:00Z"/>
  <w16cex:commentExtensible w16cex:durableId="25C23F2B" w16cex:dateUtc="2022-02-24T22:30:00Z"/>
  <w16cex:commentExtensible w16cex:durableId="25C23F3D" w16cex:dateUtc="2022-02-24T22:30:00Z"/>
  <w16cex:commentExtensible w16cex:durableId="25C23FA1" w16cex:dateUtc="2022-02-24T22:32:00Z"/>
  <w16cex:commentExtensible w16cex:durableId="25C23FF1" w16cex:dateUtc="2022-02-24T22:33:00Z"/>
  <w16cex:commentExtensible w16cex:durableId="25BF47EF" w16cex:dateUtc="2022-02-22T16:30:00Z"/>
  <w16cex:commentExtensible w16cex:durableId="25C24028" w16cex:dateUtc="2022-02-24T22:34:00Z"/>
  <w16cex:commentExtensible w16cex:durableId="25C24053" w16cex:dateUtc="2022-02-24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C3009D" w16cid:durableId="25C1F039"/>
  <w16cid:commentId w16cid:paraId="0134CA0B" w16cid:durableId="25C1F04A"/>
  <w16cid:commentId w16cid:paraId="53635BC5" w16cid:durableId="25C1FE31"/>
  <w16cid:commentId w16cid:paraId="71176EE8" w16cid:durableId="25C1EE13"/>
  <w16cid:commentId w16cid:paraId="34C3B8FD" w16cid:durableId="25C23F0E"/>
  <w16cid:commentId w16cid:paraId="1FFFDB5B" w16cid:durableId="25BF4762"/>
  <w16cid:commentId w16cid:paraId="7FA45DC2" w16cid:durableId="25C23F2B"/>
  <w16cid:commentId w16cid:paraId="0029F99F" w16cid:durableId="25C23F3D"/>
  <w16cid:commentId w16cid:paraId="78959925" w16cid:durableId="25C23FA1"/>
  <w16cid:commentId w16cid:paraId="3B07ADE6" w16cid:durableId="25C23FF1"/>
  <w16cid:commentId w16cid:paraId="5A05C3C7" w16cid:durableId="25BF47EF"/>
  <w16cid:commentId w16cid:paraId="32C25497" w16cid:durableId="25C24028"/>
  <w16cid:commentId w16cid:paraId="2B8BCD0E" w16cid:durableId="25C240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F7705" w14:textId="77777777" w:rsidR="008C300B" w:rsidRDefault="008C300B" w:rsidP="002F2C5E">
      <w:r>
        <w:separator/>
      </w:r>
    </w:p>
  </w:endnote>
  <w:endnote w:type="continuationSeparator" w:id="0">
    <w:p w14:paraId="72AC95C9" w14:textId="77777777" w:rsidR="008C300B" w:rsidRDefault="008C300B"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4D64" w14:textId="77777777" w:rsidR="008C300B" w:rsidRDefault="008C300B" w:rsidP="002F2C5E">
      <w:r>
        <w:separator/>
      </w:r>
    </w:p>
  </w:footnote>
  <w:footnote w:type="continuationSeparator" w:id="0">
    <w:p w14:paraId="257028A5" w14:textId="77777777" w:rsidR="008C300B" w:rsidRDefault="008C300B" w:rsidP="002F2C5E">
      <w:r>
        <w:continuationSeparator/>
      </w:r>
    </w:p>
  </w:footnote>
  <w:footnote w:id="1">
    <w:p w14:paraId="4BA48C43" w14:textId="7C3FD3E3" w:rsidR="00524C99" w:rsidRDefault="00524C99">
      <w:pPr>
        <w:pStyle w:val="FootnoteText"/>
      </w:pPr>
      <w:r>
        <w:rPr>
          <w:rStyle w:val="FootnoteReference"/>
        </w:rPr>
        <w:footnoteRef/>
      </w:r>
      <w:r>
        <w:t xml:space="preserve"> Section 13 provides that “</w:t>
      </w:r>
      <w:r w:rsidRPr="00524C99">
        <w:t xml:space="preserve">Although the GNSO Council may adopt all or any portion of the recommendations contained in the Final Report, it is recommended that the GNSO Council </w:t>
      </w:r>
      <w:proofErr w:type="gramStart"/>
      <w:r w:rsidRPr="00524C99">
        <w:t>take into account</w:t>
      </w:r>
      <w:proofErr w:type="gramEnd"/>
      <w:r w:rsidRPr="00524C99">
        <w:t xml:space="preserve"> whether the PDP Team has indicated that any recommendations contained in the Final Report are interdependent. The GNSO Council is strongly discouraged from itemizing recommendations that the PDP Team has identified interdependent or modifying recommendations wherever possible</w:t>
      </w:r>
      <w:r>
        <w:t xml:space="preserve"> …” (see </w:t>
      </w:r>
      <w:hyperlink r:id="rId1" w:history="1">
        <w:r w:rsidRPr="009778F3">
          <w:rPr>
            <w:rStyle w:val="Hyperlink"/>
          </w:rPr>
          <w:t>https://gnso.icann.org/sites/default/files/file/field-file-attach/annex-2-pdp-manual-24oct19-en.pdf</w:t>
        </w:r>
      </w:hyperlink>
      <w:r>
        <w:t>, at p. 8).</w:t>
      </w:r>
    </w:p>
  </w:footnote>
  <w:footnote w:id="2">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91D87D88"/>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8E3E77"/>
    <w:multiLevelType w:val="hybridMultilevel"/>
    <w:tmpl w:val="1F22DC6A"/>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291995"/>
    <w:multiLevelType w:val="hybridMultilevel"/>
    <w:tmpl w:val="03A2CCBE"/>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876713"/>
    <w:multiLevelType w:val="hybridMultilevel"/>
    <w:tmpl w:val="FE6E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1"/>
  </w:num>
  <w:num w:numId="6">
    <w:abstractNumId w:val="0"/>
  </w:num>
  <w:num w:numId="7">
    <w:abstractNumId w:val="6"/>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435B5"/>
    <w:rsid w:val="00060CB6"/>
    <w:rsid w:val="000A667B"/>
    <w:rsid w:val="000A795E"/>
    <w:rsid w:val="000F5C04"/>
    <w:rsid w:val="001267C2"/>
    <w:rsid w:val="00145834"/>
    <w:rsid w:val="0019213B"/>
    <w:rsid w:val="00205F1B"/>
    <w:rsid w:val="00214AEB"/>
    <w:rsid w:val="002706CF"/>
    <w:rsid w:val="002B71DD"/>
    <w:rsid w:val="002D2D4E"/>
    <w:rsid w:val="002F2C5E"/>
    <w:rsid w:val="0032704E"/>
    <w:rsid w:val="00331CC2"/>
    <w:rsid w:val="003A19F1"/>
    <w:rsid w:val="003B4F2B"/>
    <w:rsid w:val="00404953"/>
    <w:rsid w:val="00427C36"/>
    <w:rsid w:val="004B13C1"/>
    <w:rsid w:val="004D344B"/>
    <w:rsid w:val="004F0C51"/>
    <w:rsid w:val="004F70F1"/>
    <w:rsid w:val="00507FB4"/>
    <w:rsid w:val="0052172C"/>
    <w:rsid w:val="00524C99"/>
    <w:rsid w:val="005301D9"/>
    <w:rsid w:val="005679D9"/>
    <w:rsid w:val="005F5A01"/>
    <w:rsid w:val="0061477C"/>
    <w:rsid w:val="0066322F"/>
    <w:rsid w:val="00694722"/>
    <w:rsid w:val="006B30D6"/>
    <w:rsid w:val="006B3256"/>
    <w:rsid w:val="006D0C54"/>
    <w:rsid w:val="006F7A17"/>
    <w:rsid w:val="00744403"/>
    <w:rsid w:val="0074724F"/>
    <w:rsid w:val="0077748F"/>
    <w:rsid w:val="00783B55"/>
    <w:rsid w:val="00897912"/>
    <w:rsid w:val="008B293C"/>
    <w:rsid w:val="008C300B"/>
    <w:rsid w:val="00914DB8"/>
    <w:rsid w:val="00960352"/>
    <w:rsid w:val="0099660F"/>
    <w:rsid w:val="009B6871"/>
    <w:rsid w:val="009C0D33"/>
    <w:rsid w:val="009C5FD3"/>
    <w:rsid w:val="009D07F5"/>
    <w:rsid w:val="00A2147C"/>
    <w:rsid w:val="00A64F8F"/>
    <w:rsid w:val="00AC2E0A"/>
    <w:rsid w:val="00B252C0"/>
    <w:rsid w:val="00B37603"/>
    <w:rsid w:val="00B6036F"/>
    <w:rsid w:val="00B95759"/>
    <w:rsid w:val="00BA4731"/>
    <w:rsid w:val="00BA6176"/>
    <w:rsid w:val="00C201B1"/>
    <w:rsid w:val="00C87DF5"/>
    <w:rsid w:val="00D47B96"/>
    <w:rsid w:val="00E65B2D"/>
    <w:rsid w:val="00E9734C"/>
    <w:rsid w:val="00EA0613"/>
    <w:rsid w:val="00EA6C04"/>
    <w:rsid w:val="00F60838"/>
    <w:rsid w:val="00F67857"/>
    <w:rsid w:val="00F74D6C"/>
    <w:rsid w:val="00F953AC"/>
    <w:rsid w:val="00FD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AEB"/>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 w:type="character" w:styleId="UnresolvedMention">
    <w:name w:val="Unresolved Mention"/>
    <w:basedOn w:val="DefaultParagraphFont"/>
    <w:uiPriority w:val="99"/>
    <w:semiHidden/>
    <w:unhideWhenUsed/>
    <w:rsid w:val="00EA6C04"/>
    <w:rPr>
      <w:color w:val="605E5C"/>
      <w:shd w:val="clear" w:color="auto" w:fill="E1DFDD"/>
    </w:rPr>
  </w:style>
  <w:style w:type="paragraph" w:styleId="Revision">
    <w:name w:val="Revision"/>
    <w:hidden/>
    <w:uiPriority w:val="99"/>
    <w:semiHidden/>
    <w:rsid w:val="00B95759"/>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187">
      <w:bodyDiv w:val="1"/>
      <w:marLeft w:val="0"/>
      <w:marRight w:val="0"/>
      <w:marTop w:val="0"/>
      <w:marBottom w:val="0"/>
      <w:divBdr>
        <w:top w:val="none" w:sz="0" w:space="0" w:color="auto"/>
        <w:left w:val="none" w:sz="0" w:space="0" w:color="auto"/>
        <w:bottom w:val="none" w:sz="0" w:space="0" w:color="auto"/>
        <w:right w:val="none" w:sz="0" w:space="0" w:color="auto"/>
      </w:divBdr>
    </w:div>
    <w:div w:id="485245395">
      <w:bodyDiv w:val="1"/>
      <w:marLeft w:val="0"/>
      <w:marRight w:val="0"/>
      <w:marTop w:val="0"/>
      <w:marBottom w:val="0"/>
      <w:divBdr>
        <w:top w:val="none" w:sz="0" w:space="0" w:color="auto"/>
        <w:left w:val="none" w:sz="0" w:space="0" w:color="auto"/>
        <w:bottom w:val="none" w:sz="0" w:space="0" w:color="auto"/>
        <w:right w:val="none" w:sz="0" w:space="0" w:color="auto"/>
      </w:divBdr>
    </w:div>
    <w:div w:id="1614282958">
      <w:bodyDiv w:val="1"/>
      <w:marLeft w:val="0"/>
      <w:marRight w:val="0"/>
      <w:marTop w:val="0"/>
      <w:marBottom w:val="0"/>
      <w:divBdr>
        <w:top w:val="none" w:sz="0" w:space="0" w:color="auto"/>
        <w:left w:val="none" w:sz="0" w:space="0" w:color="auto"/>
        <w:bottom w:val="none" w:sz="0" w:space="0" w:color="auto"/>
        <w:right w:val="none" w:sz="0" w:space="0" w:color="auto"/>
      </w:divBdr>
    </w:div>
    <w:div w:id="1901285302">
      <w:bodyDiv w:val="1"/>
      <w:marLeft w:val="0"/>
      <w:marRight w:val="0"/>
      <w:marTop w:val="0"/>
      <w:marBottom w:val="0"/>
      <w:divBdr>
        <w:top w:val="none" w:sz="0" w:space="0" w:color="auto"/>
        <w:left w:val="none" w:sz="0" w:space="0" w:color="auto"/>
        <w:bottom w:val="none" w:sz="0" w:space="0" w:color="auto"/>
        <w:right w:val="none" w:sz="0" w:space="0" w:color="auto"/>
      </w:divBdr>
    </w:div>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1800</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Mary Wong</cp:lastModifiedBy>
  <cp:revision>2</cp:revision>
  <dcterms:created xsi:type="dcterms:W3CDTF">2022-02-24T23:21:00Z</dcterms:created>
  <dcterms:modified xsi:type="dcterms:W3CDTF">2022-02-24T23:21:00Z</dcterms:modified>
</cp:coreProperties>
</file>