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056A412F"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D0777E">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334B1549"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E51086">
        <w:rPr>
          <w:rFonts w:asciiTheme="minorHAnsi" w:hAnsiTheme="minorHAnsi"/>
          <w:color w:val="FFFFFF" w:themeColor="background1"/>
        </w:rPr>
        <w:t>1</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7E265736" w14:textId="77777777" w:rsidR="008E6562" w:rsidRPr="008E6562" w:rsidRDefault="008E6562" w:rsidP="008E6562">
            <w:pPr>
              <w:rPr>
                <w:rFonts w:ascii="Calibri" w:hAnsi="Calibri" w:cs="Calibri"/>
                <w:b/>
                <w:bCs/>
                <w:sz w:val="20"/>
                <w:szCs w:val="20"/>
              </w:rPr>
            </w:pPr>
            <w:r w:rsidRPr="008E6562">
              <w:rPr>
                <w:rFonts w:ascii="Calibri" w:hAnsi="Calibri" w:cs="Calibri"/>
                <w:b/>
                <w:bCs/>
                <w:sz w:val="20"/>
                <w:szCs w:val="20"/>
              </w:rPr>
              <w:t>Recommendation #1: Definition of “IGO Complainant”</w:t>
            </w:r>
          </w:p>
          <w:p w14:paraId="1FECBE5C" w14:textId="77777777" w:rsidR="008E6562" w:rsidRPr="008E6562" w:rsidRDefault="008E6562" w:rsidP="008E6562">
            <w:pPr>
              <w:rPr>
                <w:rFonts w:ascii="Calibri" w:hAnsi="Calibri" w:cs="Calibri"/>
                <w:bCs/>
                <w:sz w:val="20"/>
                <w:szCs w:val="20"/>
              </w:rPr>
            </w:pPr>
            <w:r w:rsidRPr="008E6562">
              <w:rPr>
                <w:rFonts w:ascii="Calibri" w:hAnsi="Calibri" w:cs="Calibri"/>
                <w:bCs/>
                <w:sz w:val="20"/>
                <w:szCs w:val="20"/>
              </w:rPr>
              <w:t>The EPDP team recommends that the UDRP Rules and URS Rules be modified in the following two ways:</w:t>
            </w:r>
          </w:p>
          <w:p w14:paraId="01BE90CB" w14:textId="77777777" w:rsidR="008E6562" w:rsidRPr="008E6562" w:rsidRDefault="008E6562" w:rsidP="008E6562">
            <w:pPr>
              <w:pStyle w:val="ListParagraph"/>
              <w:numPr>
                <w:ilvl w:val="0"/>
                <w:numId w:val="40"/>
              </w:numPr>
              <w:contextualSpacing/>
              <w:rPr>
                <w:rFonts w:cs="Calibri"/>
                <w:bCs/>
                <w:sz w:val="20"/>
                <w:szCs w:val="20"/>
              </w:rPr>
            </w:pPr>
            <w:r w:rsidRPr="008E6562">
              <w:rPr>
                <w:rFonts w:cs="Calibri"/>
                <w:bCs/>
                <w:sz w:val="20"/>
                <w:szCs w:val="20"/>
              </w:rPr>
              <w:t>Add a description of “IGO Complainant” to section 1 (i.e., the definitions section of both sets of Rules): </w:t>
            </w:r>
          </w:p>
          <w:p w14:paraId="5FD2A92C"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“‘IGO Complainant’ refers to:</w:t>
            </w:r>
          </w:p>
          <w:p w14:paraId="2FB0E760"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(a) an international organization established by a treaty and which possesses international legal personality; or</w:t>
            </w:r>
          </w:p>
          <w:p w14:paraId="30A915BC"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(b) an ‘Intergovernmental organization’ having received a standing invitation to participate as an observer in the sessions and the work of the United Nations General Assembly; or</w:t>
            </w:r>
          </w:p>
          <w:p w14:paraId="3F7C90CC" w14:textId="725B1FE4"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(c) a Specialized Agency or distinct entity, organ or program of the United Nations.”</w:t>
            </w:r>
          </w:p>
          <w:p w14:paraId="28CBC983"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AND</w:t>
            </w:r>
          </w:p>
          <w:p w14:paraId="38A363E1" w14:textId="77777777" w:rsidR="008E6562" w:rsidRPr="008E6562" w:rsidRDefault="008E6562" w:rsidP="008E6562">
            <w:pPr>
              <w:pStyle w:val="ListParagraph"/>
              <w:numPr>
                <w:ilvl w:val="0"/>
                <w:numId w:val="40"/>
              </w:numPr>
              <w:contextualSpacing/>
              <w:rPr>
                <w:rFonts w:cs="Calibri"/>
                <w:bCs/>
                <w:sz w:val="20"/>
                <w:szCs w:val="20"/>
              </w:rPr>
            </w:pPr>
            <w:r w:rsidRPr="008E6562">
              <w:rPr>
                <w:rFonts w:cs="Calibri"/>
                <w:bCs/>
                <w:sz w:val="20"/>
                <w:szCs w:val="20"/>
              </w:rPr>
              <w:t>Add the following explanatory text to UDRP Rules Section 3(b)(viii), URS Section 1.2.6 and URS Rules Section 3(b)(v): </w:t>
            </w:r>
          </w:p>
          <w:p w14:paraId="56DFCADF"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w:t>
            </w:r>
          </w:p>
          <w:p w14:paraId="4C6D6415" w14:textId="627C5135" w:rsidR="004F47AB" w:rsidRPr="002860E2" w:rsidRDefault="004F47AB" w:rsidP="00AC3871">
            <w:pPr>
              <w:contextualSpacing/>
              <w:rPr>
                <w:rFonts w:asciiTheme="minorHAnsi" w:hAnsiTheme="minorHAnsi"/>
                <w:b/>
                <w:sz w:val="22"/>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28B7F004" w:rsidR="00072C03" w:rsidRPr="002860E2" w:rsidRDefault="00A27BB0" w:rsidP="005417AB">
            <w:pPr>
              <w:pStyle w:val="ColorfulList-Accent11"/>
              <w:ind w:left="0"/>
              <w:rPr>
                <w:rFonts w:asciiTheme="minorHAnsi" w:hAnsiTheme="minorHAnsi"/>
                <w:sz w:val="20"/>
                <w:szCs w:val="20"/>
              </w:rPr>
            </w:pPr>
            <w:r w:rsidRPr="00A27BB0">
              <w:rPr>
                <w:rFonts w:asciiTheme="minorHAnsi" w:hAnsiTheme="minorHAnsi"/>
                <w:sz w:val="20"/>
                <w:szCs w:val="20"/>
              </w:rPr>
              <w:t>We support the progress reflected in the proposed IGO definition</w:t>
            </w:r>
          </w:p>
        </w:tc>
        <w:tc>
          <w:tcPr>
            <w:tcW w:w="2700" w:type="dxa"/>
          </w:tcPr>
          <w:p w14:paraId="48E8DB7B" w14:textId="41DA1BD3" w:rsidR="00072C03" w:rsidRPr="002860E2" w:rsidRDefault="00A27BB0" w:rsidP="005417AB">
            <w:pPr>
              <w:contextualSpacing/>
              <w:rPr>
                <w:rFonts w:asciiTheme="minorHAnsi" w:hAnsiTheme="minorHAnsi"/>
                <w:sz w:val="20"/>
                <w:szCs w:val="20"/>
              </w:rPr>
            </w:pPr>
            <w:r>
              <w:rPr>
                <w:rFonts w:asciiTheme="minorHAnsi" w:hAnsiTheme="minorHAnsi"/>
                <w:sz w:val="20"/>
                <w:szCs w:val="20"/>
              </w:rPr>
              <w:t>WIPO</w:t>
            </w:r>
          </w:p>
        </w:tc>
        <w:tc>
          <w:tcPr>
            <w:tcW w:w="3960" w:type="dxa"/>
          </w:tcPr>
          <w:p w14:paraId="316380AA" w14:textId="3E9A949B"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6AC333A" w14:textId="29B89095" w:rsidR="00072C03" w:rsidRPr="002860E2" w:rsidRDefault="00CE1206" w:rsidP="000E3F5B">
            <w:pPr>
              <w:pStyle w:val="ColorfulList-Accent11"/>
              <w:ind w:left="0"/>
              <w:rPr>
                <w:rFonts w:asciiTheme="minorHAnsi" w:hAnsiTheme="minorHAnsi"/>
                <w:sz w:val="20"/>
                <w:szCs w:val="20"/>
              </w:rPr>
            </w:pPr>
            <w:r w:rsidRPr="00CE1206">
              <w:rPr>
                <w:rFonts w:asciiTheme="minorHAnsi" w:hAnsiTheme="minorHAnsi"/>
                <w:sz w:val="20"/>
                <w:szCs w:val="20"/>
              </w:rPr>
              <w:t>Subject to our above-noted concerns, Preliminary Recommendation #1 appears to satisfactorily define IGOs. Preliminary Recommendation #1also appears to provide an apparently reasonable means of an IGO demonstrating its rights in a mark.</w:t>
            </w:r>
          </w:p>
        </w:tc>
        <w:tc>
          <w:tcPr>
            <w:tcW w:w="2700" w:type="dxa"/>
          </w:tcPr>
          <w:p w14:paraId="1735F630" w14:textId="59027627" w:rsidR="00072C03" w:rsidRPr="002860E2" w:rsidRDefault="00F31FDA" w:rsidP="005417AB">
            <w:pPr>
              <w:contextualSpacing/>
              <w:rPr>
                <w:rFonts w:asciiTheme="minorHAnsi" w:hAnsiTheme="minorHAnsi"/>
                <w:sz w:val="20"/>
                <w:szCs w:val="20"/>
              </w:rPr>
            </w:pPr>
            <w:r w:rsidRPr="00F31FDA">
              <w:rPr>
                <w:rFonts w:asciiTheme="minorHAnsi" w:hAnsiTheme="minorHAnsi"/>
                <w:sz w:val="20"/>
                <w:szCs w:val="20"/>
              </w:rPr>
              <w:t>Internet Commerce Association</w:t>
            </w:r>
          </w:p>
        </w:tc>
        <w:tc>
          <w:tcPr>
            <w:tcW w:w="3960" w:type="dxa"/>
          </w:tcPr>
          <w:p w14:paraId="6C810A68" w14:textId="20BB947B"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136CECB2" w:rsidR="00072C03" w:rsidRPr="002860E2" w:rsidRDefault="00F31FDA" w:rsidP="000E3F5B">
            <w:pPr>
              <w:pStyle w:val="ColorfulList-Accent11"/>
              <w:ind w:left="0"/>
              <w:rPr>
                <w:rFonts w:asciiTheme="minorHAnsi" w:hAnsiTheme="minorHAnsi"/>
                <w:sz w:val="20"/>
                <w:szCs w:val="20"/>
              </w:rPr>
            </w:pPr>
            <w:r w:rsidRPr="00F31FDA">
              <w:rPr>
                <w:rFonts w:asciiTheme="minorHAnsi" w:hAnsiTheme="minorHAnsi"/>
                <w:sz w:val="20"/>
                <w:szCs w:val="20"/>
              </w:rPr>
              <w:t xml:space="preserve">The </w:t>
            </w:r>
            <w:proofErr w:type="spellStart"/>
            <w:r w:rsidRPr="00F31FDA">
              <w:rPr>
                <w:rFonts w:asciiTheme="minorHAnsi" w:hAnsiTheme="minorHAnsi"/>
                <w:sz w:val="20"/>
                <w:szCs w:val="20"/>
              </w:rPr>
              <w:t>RySG</w:t>
            </w:r>
            <w:proofErr w:type="spellEnd"/>
            <w:r w:rsidRPr="00F31FDA">
              <w:rPr>
                <w:rFonts w:asciiTheme="minorHAnsi" w:hAnsiTheme="minorHAnsi"/>
                <w:sz w:val="20"/>
                <w:szCs w:val="20"/>
              </w:rPr>
              <w:t xml:space="preserve"> believes this a clear and targeted definition that contributes to an appropriate scope for these recommendations.</w:t>
            </w:r>
          </w:p>
        </w:tc>
        <w:tc>
          <w:tcPr>
            <w:tcW w:w="2700" w:type="dxa"/>
          </w:tcPr>
          <w:p w14:paraId="6057DE6D" w14:textId="459F3130" w:rsidR="00072C03" w:rsidRPr="002860E2" w:rsidRDefault="00F31FDA" w:rsidP="005417AB">
            <w:pPr>
              <w:contextualSpacing/>
              <w:rPr>
                <w:rFonts w:asciiTheme="minorHAnsi" w:hAnsiTheme="minorHAnsi"/>
                <w:sz w:val="20"/>
                <w:szCs w:val="20"/>
              </w:rPr>
            </w:pPr>
            <w:proofErr w:type="spellStart"/>
            <w:r>
              <w:rPr>
                <w:rFonts w:asciiTheme="minorHAnsi" w:hAnsiTheme="minorHAnsi"/>
                <w:sz w:val="20"/>
                <w:szCs w:val="20"/>
              </w:rPr>
              <w:t>RySG</w:t>
            </w:r>
            <w:proofErr w:type="spellEnd"/>
          </w:p>
        </w:tc>
        <w:tc>
          <w:tcPr>
            <w:tcW w:w="3960" w:type="dxa"/>
          </w:tcPr>
          <w:p w14:paraId="528990A1" w14:textId="7661821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846F87" w14:textId="44C0062B" w:rsidR="00072C03" w:rsidRPr="002860E2" w:rsidRDefault="00770AE9" w:rsidP="000E3F5B">
            <w:pPr>
              <w:pStyle w:val="ColorfulList-Accent11"/>
              <w:ind w:left="0"/>
              <w:rPr>
                <w:rFonts w:asciiTheme="minorHAnsi" w:hAnsiTheme="minorHAnsi"/>
                <w:sz w:val="20"/>
                <w:szCs w:val="20"/>
              </w:rPr>
            </w:pPr>
            <w:proofErr w:type="spellStart"/>
            <w:r w:rsidRPr="00770AE9">
              <w:rPr>
                <w:rFonts w:asciiTheme="minorHAnsi" w:hAnsiTheme="minorHAnsi"/>
                <w:sz w:val="20"/>
                <w:szCs w:val="20"/>
              </w:rPr>
              <w:t>Digimedia</w:t>
            </w:r>
            <w:proofErr w:type="spellEnd"/>
            <w:r w:rsidRPr="00770AE9">
              <w:rPr>
                <w:rFonts w:asciiTheme="minorHAnsi" w:hAnsiTheme="minorHAnsi"/>
                <w:sz w:val="20"/>
                <w:szCs w:val="20"/>
              </w:rPr>
              <w:t xml:space="preserve"> supports Recommendation 1 to the extent that IGOs are properly defined and quantified. We do this while fully recognizing that Recommendation 1 does not assist all IGOs, as (per the previous IGO working group’s independent expert) some IGOs have already satisfactorily utilized the UDRP without the need for Recommendation 1.</w:t>
            </w:r>
          </w:p>
        </w:tc>
        <w:tc>
          <w:tcPr>
            <w:tcW w:w="2700" w:type="dxa"/>
          </w:tcPr>
          <w:p w14:paraId="67B73A79" w14:textId="59BE691A" w:rsidR="00180D28" w:rsidRPr="002860E2" w:rsidRDefault="00770AE9" w:rsidP="005417AB">
            <w:pPr>
              <w:contextualSpacing/>
              <w:rPr>
                <w:rFonts w:asciiTheme="minorHAnsi" w:hAnsiTheme="minorHAnsi"/>
                <w:sz w:val="20"/>
                <w:szCs w:val="20"/>
              </w:rPr>
            </w:pPr>
            <w:r w:rsidRPr="00770AE9">
              <w:rPr>
                <w:rFonts w:asciiTheme="minorHAnsi" w:hAnsiTheme="minorHAnsi"/>
                <w:sz w:val="20"/>
                <w:szCs w:val="20"/>
              </w:rPr>
              <w:t>Digimedia.com, LP</w:t>
            </w:r>
          </w:p>
        </w:tc>
        <w:tc>
          <w:tcPr>
            <w:tcW w:w="3960" w:type="dxa"/>
          </w:tcPr>
          <w:p w14:paraId="61A0F7F6" w14:textId="4C89E1D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5A35A4C" w14:textId="77777777" w:rsidR="00231214" w:rsidRPr="00231214" w:rsidRDefault="00231214" w:rsidP="00231214">
            <w:pPr>
              <w:pStyle w:val="BodyText"/>
              <w:spacing w:before="292"/>
              <w:ind w:left="101" w:right="125"/>
              <w:jc w:val="both"/>
              <w:rPr>
                <w:rFonts w:asciiTheme="minorHAnsi" w:hAnsiTheme="minorHAnsi" w:cstheme="minorHAnsi"/>
                <w:sz w:val="20"/>
                <w:szCs w:val="20"/>
              </w:rPr>
            </w:pPr>
            <w:r w:rsidRPr="00231214">
              <w:rPr>
                <w:rFonts w:asciiTheme="minorHAnsi" w:hAnsiTheme="minorHAnsi" w:cstheme="minorHAnsi"/>
                <w:sz w:val="20"/>
                <w:szCs w:val="20"/>
              </w:rPr>
              <w:t>We oppose this recommendation. While others in the community might not have paid much attention to it, given the more radical ideas in other recommendations, the new working group is essentially rewriting the prior working group's Recommendation #2.</w:t>
            </w:r>
          </w:p>
          <w:p w14:paraId="66CBD7EB" w14:textId="77777777" w:rsidR="00231214" w:rsidRPr="00231214" w:rsidRDefault="00231214" w:rsidP="00231214">
            <w:pPr>
              <w:pStyle w:val="BodyText"/>
              <w:spacing w:before="1"/>
              <w:rPr>
                <w:rFonts w:asciiTheme="minorHAnsi" w:hAnsiTheme="minorHAnsi" w:cstheme="minorHAnsi"/>
                <w:sz w:val="20"/>
                <w:szCs w:val="20"/>
              </w:rPr>
            </w:pPr>
          </w:p>
          <w:p w14:paraId="3527490F" w14:textId="77777777" w:rsidR="00231214" w:rsidRPr="00231214" w:rsidRDefault="00231214" w:rsidP="00231214">
            <w:pPr>
              <w:pStyle w:val="BodyText"/>
              <w:ind w:left="101" w:right="111"/>
              <w:jc w:val="both"/>
              <w:rPr>
                <w:rFonts w:asciiTheme="minorHAnsi" w:hAnsiTheme="minorHAnsi" w:cstheme="minorHAnsi"/>
                <w:sz w:val="20"/>
                <w:szCs w:val="20"/>
              </w:rPr>
            </w:pPr>
            <w:r w:rsidRPr="00231214">
              <w:rPr>
                <w:rFonts w:asciiTheme="minorHAnsi" w:hAnsiTheme="minorHAnsi" w:cstheme="minorHAnsi"/>
                <w:sz w:val="20"/>
                <w:szCs w:val="20"/>
              </w:rPr>
              <w:t xml:space="preserve">The new captured working group ignored how the old working group arrived at Recommendation #2. Initially, the old working group recommended that presence in the Article 6ter database alone was </w:t>
            </w:r>
            <w:r w:rsidRPr="00231214">
              <w:rPr>
                <w:rFonts w:asciiTheme="minorHAnsi" w:hAnsiTheme="minorHAnsi" w:cstheme="minorHAnsi"/>
                <w:sz w:val="20"/>
                <w:szCs w:val="20"/>
                <w:u w:val="single"/>
              </w:rPr>
              <w:t>sufficient</w:t>
            </w:r>
            <w:r w:rsidRPr="00231214">
              <w:rPr>
                <w:rFonts w:asciiTheme="minorHAnsi" w:hAnsiTheme="minorHAnsi" w:cstheme="minorHAnsi"/>
                <w:sz w:val="20"/>
                <w:szCs w:val="20"/>
              </w:rPr>
              <w:t xml:space="preserve"> to meet the first part of the 3-part UDRP/URS test</w:t>
            </w:r>
          </w:p>
          <w:p w14:paraId="3F2A9380" w14:textId="77777777" w:rsidR="00231214" w:rsidRPr="00231214" w:rsidRDefault="00231214" w:rsidP="00231214">
            <w:pPr>
              <w:pStyle w:val="BodyText"/>
              <w:spacing w:before="2"/>
              <w:rPr>
                <w:rFonts w:asciiTheme="minorHAnsi" w:hAnsiTheme="minorHAnsi" w:cstheme="minorHAnsi"/>
                <w:sz w:val="20"/>
                <w:szCs w:val="20"/>
              </w:rPr>
            </w:pPr>
          </w:p>
          <w:p w14:paraId="5F69612D" w14:textId="77777777" w:rsidR="00231214" w:rsidRPr="00231214" w:rsidRDefault="00231214" w:rsidP="00231214">
            <w:pPr>
              <w:pStyle w:val="BodyText"/>
              <w:ind w:left="101" w:right="121"/>
              <w:jc w:val="both"/>
              <w:rPr>
                <w:rFonts w:asciiTheme="minorHAnsi" w:hAnsiTheme="minorHAnsi" w:cstheme="minorHAnsi"/>
                <w:sz w:val="20"/>
                <w:szCs w:val="20"/>
              </w:rPr>
            </w:pPr>
            <w:r w:rsidRPr="00231214">
              <w:rPr>
                <w:rFonts w:asciiTheme="minorHAnsi" w:hAnsiTheme="minorHAnsi" w:cstheme="minorHAnsi"/>
                <w:sz w:val="20"/>
                <w:szCs w:val="20"/>
              </w:rPr>
              <w:t xml:space="preserve">[Note: there was some confusion amongst some readers as to what was meant by 'standing'. Using the </w:t>
            </w:r>
            <w:proofErr w:type="gramStart"/>
            <w:r w:rsidRPr="00231214">
              <w:rPr>
                <w:rFonts w:asciiTheme="minorHAnsi" w:hAnsiTheme="minorHAnsi" w:cstheme="minorHAnsi"/>
                <w:sz w:val="20"/>
                <w:szCs w:val="20"/>
              </w:rPr>
              <w:t>most strict</w:t>
            </w:r>
            <w:proofErr w:type="gramEnd"/>
            <w:r w:rsidRPr="00231214">
              <w:rPr>
                <w:rFonts w:asciiTheme="minorHAnsi" w:hAnsiTheme="minorHAnsi" w:cstheme="minorHAnsi"/>
                <w:sz w:val="20"/>
                <w:szCs w:val="20"/>
              </w:rPr>
              <w:t xml:space="preserve"> definition of 'standing', anyone can file a UDRP/URS regardless of whether or not they have trademark rights. So, it's not that sense of the word 'standing' that is meaningful from a policy debate. Instead, the 'broader' way the word 'standing' was used by many is that a complainant who had met the first part of the 3-part UDRP/URS test was said to have "standing". One can see that this broader definition of 'standing' (</w:t>
            </w:r>
            <w:proofErr w:type="gramStart"/>
            <w:r w:rsidRPr="00231214">
              <w:rPr>
                <w:rFonts w:asciiTheme="minorHAnsi" w:hAnsiTheme="minorHAnsi" w:cstheme="minorHAnsi"/>
                <w:sz w:val="20"/>
                <w:szCs w:val="20"/>
              </w:rPr>
              <w:t>i.e.</w:t>
            </w:r>
            <w:proofErr w:type="gramEnd"/>
            <w:r w:rsidRPr="00231214">
              <w:rPr>
                <w:rFonts w:asciiTheme="minorHAnsi" w:hAnsiTheme="minorHAnsi" w:cstheme="minorHAnsi"/>
                <w:sz w:val="20"/>
                <w:szCs w:val="20"/>
              </w:rPr>
              <w:t xml:space="preserve"> meeting the first part of the 3-part test) is widely used, e.g. even in the WIPO 3.0 Overview</w:t>
            </w:r>
            <w:hyperlink w:anchor="_bookmark12" w:history="1">
              <w:r w:rsidRPr="00231214">
                <w:rPr>
                  <w:rFonts w:asciiTheme="minorHAnsi" w:hAnsiTheme="minorHAnsi" w:cstheme="minorHAnsi"/>
                  <w:position w:val="10"/>
                  <w:sz w:val="20"/>
                  <w:szCs w:val="20"/>
                </w:rPr>
                <w:t>13</w:t>
              </w:r>
            </w:hyperlink>
            <w:r w:rsidRPr="00231214">
              <w:rPr>
                <w:rFonts w:asciiTheme="minorHAnsi" w:hAnsiTheme="minorHAnsi" w:cstheme="minorHAnsi"/>
                <w:sz w:val="20"/>
                <w:szCs w:val="20"/>
              </w:rPr>
              <w:t>, for</w:t>
            </w:r>
            <w:r w:rsidRPr="00231214">
              <w:rPr>
                <w:rFonts w:asciiTheme="minorHAnsi" w:hAnsiTheme="minorHAnsi" w:cstheme="minorHAnsi"/>
                <w:spacing w:val="-7"/>
                <w:sz w:val="20"/>
                <w:szCs w:val="20"/>
              </w:rPr>
              <w:t xml:space="preserve"> </w:t>
            </w:r>
            <w:r w:rsidRPr="00231214">
              <w:rPr>
                <w:rFonts w:asciiTheme="minorHAnsi" w:hAnsiTheme="minorHAnsi" w:cstheme="minorHAnsi"/>
                <w:sz w:val="20"/>
                <w:szCs w:val="20"/>
              </w:rPr>
              <w:t>example,</w:t>
            </w:r>
          </w:p>
          <w:p w14:paraId="68C1E6B8" w14:textId="77777777" w:rsidR="00231214" w:rsidRPr="00231214" w:rsidRDefault="00231214" w:rsidP="00231214">
            <w:pPr>
              <w:pStyle w:val="BodyText"/>
              <w:spacing w:before="4"/>
              <w:rPr>
                <w:rFonts w:asciiTheme="minorHAnsi" w:hAnsiTheme="minorHAnsi" w:cstheme="minorHAnsi"/>
                <w:sz w:val="20"/>
                <w:szCs w:val="20"/>
              </w:rPr>
            </w:pPr>
          </w:p>
          <w:p w14:paraId="71BD05D8" w14:textId="77777777" w:rsidR="00231214" w:rsidRPr="00231214" w:rsidRDefault="00231214" w:rsidP="00661033">
            <w:pPr>
              <w:pStyle w:val="ListParagraph"/>
              <w:widowControl w:val="0"/>
              <w:numPr>
                <w:ilvl w:val="1"/>
                <w:numId w:val="43"/>
              </w:numPr>
              <w:tabs>
                <w:tab w:val="left" w:pos="1030"/>
              </w:tabs>
              <w:autoSpaceDE w:val="0"/>
              <w:autoSpaceDN w:val="0"/>
              <w:spacing w:before="1"/>
              <w:rPr>
                <w:rFonts w:asciiTheme="minorHAnsi" w:hAnsiTheme="minorHAnsi" w:cstheme="minorHAnsi"/>
                <w:sz w:val="20"/>
                <w:szCs w:val="20"/>
              </w:rPr>
            </w:pPr>
            <w:r w:rsidRPr="00231214">
              <w:rPr>
                <w:rFonts w:asciiTheme="minorHAnsi" w:hAnsiTheme="minorHAnsi" w:cstheme="minorHAnsi"/>
                <w:sz w:val="20"/>
                <w:szCs w:val="20"/>
              </w:rPr>
              <w:t xml:space="preserve">Do registered trademarks automatically confer </w:t>
            </w:r>
            <w:r w:rsidRPr="00231214">
              <w:rPr>
                <w:rFonts w:asciiTheme="minorHAnsi" w:hAnsiTheme="minorHAnsi" w:cstheme="minorHAnsi"/>
                <w:b/>
                <w:sz w:val="20"/>
                <w:szCs w:val="20"/>
                <w:u w:val="single"/>
              </w:rPr>
              <w:t>standing</w:t>
            </w:r>
            <w:r w:rsidRPr="00231214">
              <w:rPr>
                <w:rFonts w:asciiTheme="minorHAnsi" w:hAnsiTheme="minorHAnsi" w:cstheme="minorHAnsi"/>
                <w:b/>
                <w:sz w:val="20"/>
                <w:szCs w:val="20"/>
              </w:rPr>
              <w:t xml:space="preserve"> </w:t>
            </w:r>
            <w:r w:rsidRPr="00231214">
              <w:rPr>
                <w:rFonts w:asciiTheme="minorHAnsi" w:hAnsiTheme="minorHAnsi" w:cstheme="minorHAnsi"/>
                <w:sz w:val="20"/>
                <w:szCs w:val="20"/>
              </w:rPr>
              <w:t>to file a UDRP</w:t>
            </w:r>
            <w:r w:rsidRPr="00231214">
              <w:rPr>
                <w:rFonts w:asciiTheme="minorHAnsi" w:hAnsiTheme="minorHAnsi" w:cstheme="minorHAnsi"/>
                <w:spacing w:val="-16"/>
                <w:sz w:val="20"/>
                <w:szCs w:val="20"/>
              </w:rPr>
              <w:t xml:space="preserve"> </w:t>
            </w:r>
            <w:r w:rsidRPr="00231214">
              <w:rPr>
                <w:rFonts w:asciiTheme="minorHAnsi" w:hAnsiTheme="minorHAnsi" w:cstheme="minorHAnsi"/>
                <w:sz w:val="20"/>
                <w:szCs w:val="20"/>
              </w:rPr>
              <w:t>case?</w:t>
            </w:r>
          </w:p>
          <w:p w14:paraId="7B9629F9" w14:textId="77777777" w:rsidR="00231214" w:rsidRPr="00231214" w:rsidRDefault="00231214" w:rsidP="00231214">
            <w:pPr>
              <w:pStyle w:val="BodyText"/>
              <w:spacing w:before="7"/>
              <w:rPr>
                <w:rFonts w:asciiTheme="minorHAnsi" w:hAnsiTheme="minorHAnsi" w:cstheme="minorHAnsi"/>
                <w:sz w:val="20"/>
                <w:szCs w:val="20"/>
              </w:rPr>
            </w:pPr>
          </w:p>
          <w:p w14:paraId="4AD5350F" w14:textId="77777777" w:rsidR="00231214" w:rsidRPr="00231214" w:rsidRDefault="00231214" w:rsidP="00661033">
            <w:pPr>
              <w:pStyle w:val="ListParagraph"/>
              <w:widowControl w:val="0"/>
              <w:numPr>
                <w:ilvl w:val="2"/>
                <w:numId w:val="43"/>
              </w:numPr>
              <w:tabs>
                <w:tab w:val="left" w:pos="1206"/>
              </w:tabs>
              <w:autoSpaceDE w:val="0"/>
              <w:autoSpaceDN w:val="0"/>
              <w:spacing w:before="1"/>
              <w:ind w:right="679"/>
              <w:rPr>
                <w:rFonts w:asciiTheme="minorHAnsi" w:hAnsiTheme="minorHAnsi" w:cstheme="minorHAnsi"/>
                <w:sz w:val="20"/>
                <w:szCs w:val="20"/>
              </w:rPr>
            </w:pPr>
            <w:r w:rsidRPr="00231214">
              <w:rPr>
                <w:rFonts w:asciiTheme="minorHAnsi" w:hAnsiTheme="minorHAnsi" w:cstheme="minorHAnsi"/>
                <w:sz w:val="20"/>
                <w:szCs w:val="20"/>
              </w:rPr>
              <w:t>Where the complainant holds a nationally or regionally registered trademark or service mark, this prima facie satisfies the threshold requirement of having</w:t>
            </w:r>
            <w:r w:rsidRPr="00231214">
              <w:rPr>
                <w:rFonts w:asciiTheme="minorHAnsi" w:hAnsiTheme="minorHAnsi" w:cstheme="minorHAnsi"/>
                <w:spacing w:val="-23"/>
                <w:sz w:val="20"/>
                <w:szCs w:val="20"/>
              </w:rPr>
              <w:t xml:space="preserve"> </w:t>
            </w:r>
            <w:r w:rsidRPr="00231214">
              <w:rPr>
                <w:rFonts w:asciiTheme="minorHAnsi" w:hAnsiTheme="minorHAnsi" w:cstheme="minorHAnsi"/>
                <w:sz w:val="20"/>
                <w:szCs w:val="20"/>
              </w:rPr>
              <w:t xml:space="preserve">trademark rights for </w:t>
            </w:r>
            <w:r w:rsidRPr="00231214">
              <w:rPr>
                <w:rFonts w:asciiTheme="minorHAnsi" w:hAnsiTheme="minorHAnsi" w:cstheme="minorHAnsi"/>
                <w:b/>
                <w:sz w:val="20"/>
                <w:szCs w:val="20"/>
                <w:u w:val="single"/>
              </w:rPr>
              <w:t>purposes of standing</w:t>
            </w:r>
            <w:r w:rsidRPr="00231214">
              <w:rPr>
                <w:rFonts w:asciiTheme="minorHAnsi" w:hAnsiTheme="minorHAnsi" w:cstheme="minorHAnsi"/>
                <w:b/>
                <w:sz w:val="20"/>
                <w:szCs w:val="20"/>
              </w:rPr>
              <w:t xml:space="preserve"> </w:t>
            </w:r>
            <w:r w:rsidRPr="00231214">
              <w:rPr>
                <w:rFonts w:asciiTheme="minorHAnsi" w:hAnsiTheme="minorHAnsi" w:cstheme="minorHAnsi"/>
                <w:sz w:val="20"/>
                <w:szCs w:val="20"/>
              </w:rPr>
              <w:t>to file a UDRP case. [emphasis</w:t>
            </w:r>
            <w:r w:rsidRPr="00231214">
              <w:rPr>
                <w:rFonts w:asciiTheme="minorHAnsi" w:hAnsiTheme="minorHAnsi" w:cstheme="minorHAnsi"/>
                <w:spacing w:val="-16"/>
                <w:sz w:val="20"/>
                <w:szCs w:val="20"/>
              </w:rPr>
              <w:t xml:space="preserve"> </w:t>
            </w:r>
            <w:r w:rsidRPr="00231214">
              <w:rPr>
                <w:rFonts w:asciiTheme="minorHAnsi" w:hAnsiTheme="minorHAnsi" w:cstheme="minorHAnsi"/>
                <w:sz w:val="20"/>
                <w:szCs w:val="20"/>
              </w:rPr>
              <w:t>added]</w:t>
            </w:r>
          </w:p>
          <w:p w14:paraId="7061672C" w14:textId="77777777" w:rsidR="00231214" w:rsidRPr="00231214" w:rsidRDefault="00231214" w:rsidP="00231214">
            <w:pPr>
              <w:pStyle w:val="BodyText"/>
              <w:spacing w:before="5"/>
              <w:rPr>
                <w:rFonts w:asciiTheme="minorHAnsi" w:hAnsiTheme="minorHAnsi" w:cstheme="minorHAnsi"/>
                <w:sz w:val="20"/>
                <w:szCs w:val="20"/>
              </w:rPr>
            </w:pPr>
          </w:p>
          <w:p w14:paraId="63C0044F" w14:textId="77777777" w:rsidR="00231214" w:rsidRPr="00231214" w:rsidRDefault="00231214" w:rsidP="00231214">
            <w:pPr>
              <w:pStyle w:val="BodyText"/>
              <w:ind w:left="101" w:right="113"/>
              <w:jc w:val="both"/>
              <w:rPr>
                <w:rFonts w:asciiTheme="minorHAnsi" w:hAnsiTheme="minorHAnsi" w:cstheme="minorHAnsi"/>
                <w:sz w:val="20"/>
                <w:szCs w:val="20"/>
              </w:rPr>
            </w:pPr>
            <w:r w:rsidRPr="00231214">
              <w:rPr>
                <w:rFonts w:asciiTheme="minorHAnsi" w:hAnsiTheme="minorHAnsi" w:cstheme="minorHAnsi"/>
                <w:sz w:val="20"/>
                <w:szCs w:val="20"/>
              </w:rPr>
              <w:t>However, the public comments</w:t>
            </w:r>
            <w:hyperlink w:anchor="_bookmark13" w:history="1">
              <w:r w:rsidRPr="00231214">
                <w:rPr>
                  <w:rFonts w:asciiTheme="minorHAnsi" w:hAnsiTheme="minorHAnsi" w:cstheme="minorHAnsi"/>
                  <w:position w:val="10"/>
                  <w:sz w:val="20"/>
                  <w:szCs w:val="20"/>
                </w:rPr>
                <w:t>14</w:t>
              </w:r>
            </w:hyperlink>
            <w:r w:rsidRPr="00231214">
              <w:rPr>
                <w:rFonts w:asciiTheme="minorHAnsi" w:hAnsiTheme="minorHAnsi" w:cstheme="minorHAnsi"/>
                <w:position w:val="10"/>
                <w:sz w:val="20"/>
                <w:szCs w:val="20"/>
              </w:rPr>
              <w:t xml:space="preserve"> </w:t>
            </w:r>
            <w:r w:rsidRPr="00231214">
              <w:rPr>
                <w:rFonts w:asciiTheme="minorHAnsi" w:hAnsiTheme="minorHAnsi" w:cstheme="minorHAnsi"/>
                <w:sz w:val="20"/>
                <w:szCs w:val="20"/>
              </w:rPr>
              <w:t xml:space="preserve">and response to </w:t>
            </w:r>
            <w:proofErr w:type="gramStart"/>
            <w:r w:rsidRPr="00231214">
              <w:rPr>
                <w:rFonts w:asciiTheme="minorHAnsi" w:hAnsiTheme="minorHAnsi" w:cstheme="minorHAnsi"/>
                <w:sz w:val="20"/>
                <w:szCs w:val="20"/>
              </w:rPr>
              <w:t>that  initial</w:t>
            </w:r>
            <w:proofErr w:type="gramEnd"/>
            <w:r w:rsidRPr="00231214">
              <w:rPr>
                <w:rFonts w:asciiTheme="minorHAnsi" w:hAnsiTheme="minorHAnsi" w:cstheme="minorHAnsi"/>
                <w:sz w:val="20"/>
                <w:szCs w:val="20"/>
              </w:rPr>
              <w:t xml:space="preserve"> recommendation of the old working group was that it went too </w:t>
            </w:r>
            <w:r w:rsidRPr="00231214">
              <w:rPr>
                <w:rFonts w:asciiTheme="minorHAnsi" w:hAnsiTheme="minorHAnsi" w:cstheme="minorHAnsi"/>
                <w:spacing w:val="2"/>
                <w:sz w:val="20"/>
                <w:szCs w:val="20"/>
              </w:rPr>
              <w:t>far.</w:t>
            </w:r>
            <w:hyperlink w:anchor="_bookmark14" w:history="1">
              <w:r w:rsidRPr="00231214">
                <w:rPr>
                  <w:rFonts w:asciiTheme="minorHAnsi" w:hAnsiTheme="minorHAnsi" w:cstheme="minorHAnsi"/>
                  <w:spacing w:val="2"/>
                  <w:position w:val="10"/>
                  <w:sz w:val="20"/>
                  <w:szCs w:val="20"/>
                </w:rPr>
                <w:t>15</w:t>
              </w:r>
            </w:hyperlink>
            <w:r w:rsidRPr="00231214">
              <w:rPr>
                <w:rFonts w:asciiTheme="minorHAnsi" w:hAnsiTheme="minorHAnsi" w:cstheme="minorHAnsi"/>
                <w:spacing w:val="2"/>
                <w:position w:val="10"/>
                <w:sz w:val="20"/>
                <w:szCs w:val="20"/>
              </w:rPr>
              <w:t xml:space="preserve"> </w:t>
            </w:r>
            <w:r w:rsidRPr="00231214">
              <w:rPr>
                <w:rFonts w:asciiTheme="minorHAnsi" w:hAnsiTheme="minorHAnsi" w:cstheme="minorHAnsi"/>
                <w:sz w:val="20"/>
                <w:szCs w:val="20"/>
              </w:rPr>
              <w:t>The US government</w:t>
            </w:r>
            <w:r w:rsidRPr="00231214">
              <w:rPr>
                <w:rFonts w:asciiTheme="minorHAnsi" w:hAnsiTheme="minorHAnsi" w:cstheme="minorHAnsi"/>
                <w:spacing w:val="-1"/>
                <w:sz w:val="20"/>
                <w:szCs w:val="20"/>
              </w:rPr>
              <w:t xml:space="preserve"> </w:t>
            </w:r>
            <w:r w:rsidRPr="00231214">
              <w:rPr>
                <w:rFonts w:asciiTheme="minorHAnsi" w:hAnsiTheme="minorHAnsi" w:cstheme="minorHAnsi"/>
                <w:sz w:val="20"/>
                <w:szCs w:val="20"/>
              </w:rPr>
              <w:t>stated:</w:t>
            </w:r>
          </w:p>
          <w:p w14:paraId="58723851" w14:textId="77777777" w:rsidR="00231214" w:rsidRPr="00231214" w:rsidRDefault="00231214" w:rsidP="00231214">
            <w:pPr>
              <w:pStyle w:val="BodyText"/>
              <w:spacing w:before="2"/>
              <w:rPr>
                <w:rFonts w:asciiTheme="minorHAnsi" w:hAnsiTheme="minorHAnsi" w:cstheme="minorHAnsi"/>
                <w:sz w:val="20"/>
                <w:szCs w:val="20"/>
              </w:rPr>
            </w:pPr>
          </w:p>
          <w:p w14:paraId="30E771AA" w14:textId="77777777" w:rsidR="00231214" w:rsidRPr="00231214" w:rsidRDefault="00231214" w:rsidP="00231214">
            <w:pPr>
              <w:pStyle w:val="BodyText"/>
              <w:spacing w:before="1"/>
              <w:ind w:left="670" w:right="698"/>
              <w:rPr>
                <w:rFonts w:asciiTheme="minorHAnsi" w:hAnsiTheme="minorHAnsi" w:cstheme="minorHAnsi"/>
                <w:sz w:val="20"/>
                <w:szCs w:val="20"/>
              </w:rPr>
            </w:pPr>
            <w:r w:rsidRPr="00231214">
              <w:rPr>
                <w:rFonts w:asciiTheme="minorHAnsi" w:hAnsiTheme="minorHAnsi" w:cstheme="minorHAnsi"/>
                <w:sz w:val="20"/>
                <w:szCs w:val="20"/>
              </w:rPr>
              <w:t>The U.S. disagrees with this recommendation because it incorrectly concludes that an IGO has standing, and therefore a right that is equivalent or similar to trademark rights, based on completion of the communication and notification under Article</w:t>
            </w:r>
            <w:r w:rsidRPr="00231214">
              <w:rPr>
                <w:rFonts w:asciiTheme="minorHAnsi" w:hAnsiTheme="minorHAnsi" w:cstheme="minorHAnsi"/>
                <w:spacing w:val="-31"/>
                <w:sz w:val="20"/>
                <w:szCs w:val="20"/>
              </w:rPr>
              <w:t xml:space="preserve"> </w:t>
            </w:r>
            <w:r w:rsidRPr="00231214">
              <w:rPr>
                <w:rFonts w:asciiTheme="minorHAnsi" w:hAnsiTheme="minorHAnsi" w:cstheme="minorHAnsi"/>
                <w:spacing w:val="-3"/>
                <w:sz w:val="20"/>
                <w:szCs w:val="20"/>
              </w:rPr>
              <w:t xml:space="preserve">6ter. </w:t>
            </w:r>
            <w:r w:rsidRPr="00231214">
              <w:rPr>
                <w:rFonts w:asciiTheme="minorHAnsi" w:hAnsiTheme="minorHAnsi" w:cstheme="minorHAnsi"/>
                <w:sz w:val="20"/>
                <w:szCs w:val="20"/>
              </w:rPr>
              <w:t>This procedure does not have any legal effect under the terms of the treaty itself and therefore, there is no international right. Further, there is no harmonized approach among treaty members in implementation of Article</w:t>
            </w:r>
            <w:r w:rsidRPr="00231214">
              <w:rPr>
                <w:rFonts w:asciiTheme="minorHAnsi" w:hAnsiTheme="minorHAnsi" w:cstheme="minorHAnsi"/>
                <w:spacing w:val="-15"/>
                <w:sz w:val="20"/>
                <w:szCs w:val="20"/>
              </w:rPr>
              <w:t xml:space="preserve"> </w:t>
            </w:r>
            <w:r w:rsidRPr="00231214">
              <w:rPr>
                <w:rFonts w:asciiTheme="minorHAnsi" w:hAnsiTheme="minorHAnsi" w:cstheme="minorHAnsi"/>
                <w:spacing w:val="-3"/>
                <w:sz w:val="20"/>
                <w:szCs w:val="20"/>
              </w:rPr>
              <w:t>6ter.</w:t>
            </w:r>
          </w:p>
          <w:p w14:paraId="6050D77A" w14:textId="77777777" w:rsidR="00072C03" w:rsidRPr="00231214" w:rsidRDefault="00072C03" w:rsidP="000E3F5B">
            <w:pPr>
              <w:pStyle w:val="ColorfulList-Accent11"/>
              <w:ind w:left="0"/>
              <w:rPr>
                <w:rFonts w:asciiTheme="minorHAnsi" w:hAnsiTheme="minorHAnsi" w:cstheme="minorHAnsi"/>
                <w:sz w:val="20"/>
                <w:szCs w:val="20"/>
              </w:rPr>
            </w:pPr>
          </w:p>
          <w:p w14:paraId="18673EF6" w14:textId="77777777" w:rsidR="00231214" w:rsidRPr="00231214" w:rsidRDefault="00231214" w:rsidP="00231214">
            <w:pPr>
              <w:pStyle w:val="BodyText"/>
              <w:spacing w:before="74"/>
              <w:ind w:left="101"/>
              <w:jc w:val="both"/>
              <w:rPr>
                <w:rFonts w:asciiTheme="minorHAnsi" w:hAnsiTheme="minorHAnsi" w:cstheme="minorHAnsi"/>
                <w:sz w:val="20"/>
                <w:szCs w:val="20"/>
              </w:rPr>
            </w:pPr>
            <w:r w:rsidRPr="00231214">
              <w:rPr>
                <w:rFonts w:asciiTheme="minorHAnsi" w:hAnsiTheme="minorHAnsi" w:cstheme="minorHAnsi"/>
                <w:sz w:val="20"/>
                <w:szCs w:val="20"/>
              </w:rPr>
              <w:t>Similar, the IPC said:</w:t>
            </w:r>
          </w:p>
          <w:p w14:paraId="4BE71C76" w14:textId="77777777" w:rsidR="00231214" w:rsidRPr="00231214" w:rsidRDefault="00231214" w:rsidP="00231214">
            <w:pPr>
              <w:pStyle w:val="BodyText"/>
              <w:spacing w:before="2"/>
              <w:rPr>
                <w:rFonts w:asciiTheme="minorHAnsi" w:hAnsiTheme="minorHAnsi" w:cstheme="minorHAnsi"/>
                <w:sz w:val="20"/>
                <w:szCs w:val="20"/>
              </w:rPr>
            </w:pPr>
          </w:p>
          <w:p w14:paraId="7C3BC470" w14:textId="77777777" w:rsidR="00231214" w:rsidRPr="00231214" w:rsidRDefault="00231214" w:rsidP="00231214">
            <w:pPr>
              <w:pStyle w:val="BodyText"/>
              <w:ind w:left="670" w:right="639"/>
              <w:rPr>
                <w:rFonts w:asciiTheme="minorHAnsi" w:hAnsiTheme="minorHAnsi" w:cstheme="minorHAnsi"/>
                <w:sz w:val="20"/>
                <w:szCs w:val="20"/>
              </w:rPr>
            </w:pPr>
            <w:r w:rsidRPr="00231214">
              <w:rPr>
                <w:rFonts w:asciiTheme="minorHAnsi" w:hAnsiTheme="minorHAnsi" w:cstheme="minorHAnsi"/>
                <w:sz w:val="20"/>
                <w:szCs w:val="20"/>
              </w:rPr>
              <w:t xml:space="preserve">First, IPC does not support using 6ter notifications as an independent basis for </w:t>
            </w:r>
            <w:r w:rsidRPr="00231214">
              <w:rPr>
                <w:rFonts w:asciiTheme="minorHAnsi" w:hAnsiTheme="minorHAnsi" w:cstheme="minorHAnsi"/>
                <w:sz w:val="20"/>
                <w:szCs w:val="20"/>
              </w:rPr>
              <w:lastRenderedPageBreak/>
              <w:t xml:space="preserve">standing under the UDRP or URS. The mere notification to WIPO that an entity is claiming 6ter rights does not provide a sufficient basis for standing to bring a </w:t>
            </w:r>
            <w:proofErr w:type="spellStart"/>
            <w:proofErr w:type="gramStart"/>
            <w:r w:rsidRPr="00231214">
              <w:rPr>
                <w:rFonts w:asciiTheme="minorHAnsi" w:hAnsiTheme="minorHAnsi" w:cstheme="minorHAnsi"/>
                <w:sz w:val="20"/>
                <w:szCs w:val="20"/>
              </w:rPr>
              <w:t>claim.It</w:t>
            </w:r>
            <w:proofErr w:type="spellEnd"/>
            <w:proofErr w:type="gramEnd"/>
            <w:r w:rsidRPr="00231214">
              <w:rPr>
                <w:rFonts w:asciiTheme="minorHAnsi" w:hAnsiTheme="minorHAnsi" w:cstheme="minorHAnsi"/>
                <w:sz w:val="20"/>
                <w:szCs w:val="20"/>
              </w:rPr>
              <w:t xml:space="preserve"> might be possible to consider whether (a) a 6ter notification has been actively accepted by any national trademark office and (b) conversely, whether a 6ter notification has been rejected by any national trademark office, in considering whether to allow standing. However, this seems both complex and uncertain.</w:t>
            </w:r>
          </w:p>
          <w:p w14:paraId="1BEBFA45" w14:textId="77777777" w:rsidR="00231214" w:rsidRPr="00231214" w:rsidRDefault="00231214" w:rsidP="00231214">
            <w:pPr>
              <w:pStyle w:val="BodyText"/>
              <w:spacing w:before="6"/>
              <w:rPr>
                <w:rFonts w:asciiTheme="minorHAnsi" w:hAnsiTheme="minorHAnsi" w:cstheme="minorHAnsi"/>
                <w:sz w:val="20"/>
                <w:szCs w:val="20"/>
              </w:rPr>
            </w:pPr>
          </w:p>
          <w:p w14:paraId="46ECED07" w14:textId="77777777" w:rsidR="00231214" w:rsidRPr="00231214" w:rsidRDefault="00231214" w:rsidP="00231214">
            <w:pPr>
              <w:pStyle w:val="BodyText"/>
              <w:ind w:left="101" w:right="117"/>
              <w:jc w:val="both"/>
              <w:rPr>
                <w:rFonts w:asciiTheme="minorHAnsi" w:hAnsiTheme="minorHAnsi" w:cstheme="minorHAnsi"/>
                <w:sz w:val="20"/>
                <w:szCs w:val="20"/>
              </w:rPr>
            </w:pPr>
            <w:r w:rsidRPr="00231214">
              <w:rPr>
                <w:rFonts w:asciiTheme="minorHAnsi" w:hAnsiTheme="minorHAnsi" w:cstheme="minorHAnsi"/>
                <w:sz w:val="20"/>
                <w:szCs w:val="20"/>
              </w:rPr>
              <w:t xml:space="preserve">Thus, the old working group </w:t>
            </w:r>
            <w:r w:rsidRPr="00231214">
              <w:rPr>
                <w:rFonts w:asciiTheme="minorHAnsi" w:hAnsiTheme="minorHAnsi" w:cstheme="minorHAnsi"/>
                <w:b/>
                <w:sz w:val="20"/>
                <w:szCs w:val="20"/>
                <w:u w:val="single"/>
              </w:rPr>
              <w:t>changed</w:t>
            </w:r>
            <w:r w:rsidRPr="00231214">
              <w:rPr>
                <w:rFonts w:asciiTheme="minorHAnsi" w:hAnsiTheme="minorHAnsi" w:cstheme="minorHAnsi"/>
                <w:b/>
                <w:sz w:val="20"/>
                <w:szCs w:val="20"/>
              </w:rPr>
              <w:t xml:space="preserve"> </w:t>
            </w:r>
            <w:r w:rsidRPr="00231214">
              <w:rPr>
                <w:rFonts w:asciiTheme="minorHAnsi" w:hAnsiTheme="minorHAnsi" w:cstheme="minorHAnsi"/>
                <w:sz w:val="20"/>
                <w:szCs w:val="20"/>
              </w:rPr>
              <w:t>its recommendation, so that being in the Article 6ter database was no longer sufficient on its own to automatically meet the first part of the 3-part UDRP/URS test. It could form a piece of evidence, along with other evidence, to show unregistered "common law" rights, similar to how other complainants show demonstrate their rights when they lack a national trademark registration. As Paul McGrady said during the new working group meetings, it's a very low bar, and one simply needs to gather the evidence (do some web searches showing some publicity for a name, that it was being used, etc.). Any lawyer worth their salt could satisfy the first part of the 3-part UDRP/URS test in their sleep. All it requires is minimal education and/or</w:t>
            </w:r>
            <w:r w:rsidRPr="00231214">
              <w:rPr>
                <w:rFonts w:asciiTheme="minorHAnsi" w:hAnsiTheme="minorHAnsi" w:cstheme="minorHAnsi"/>
                <w:spacing w:val="-6"/>
                <w:sz w:val="20"/>
                <w:szCs w:val="20"/>
              </w:rPr>
              <w:t xml:space="preserve"> </w:t>
            </w:r>
            <w:r w:rsidRPr="00231214">
              <w:rPr>
                <w:rFonts w:asciiTheme="minorHAnsi" w:hAnsiTheme="minorHAnsi" w:cstheme="minorHAnsi"/>
                <w:sz w:val="20"/>
                <w:szCs w:val="20"/>
              </w:rPr>
              <w:t>experience.</w:t>
            </w:r>
          </w:p>
          <w:p w14:paraId="0A4DF5B8" w14:textId="77777777" w:rsidR="00231214" w:rsidRPr="00231214" w:rsidRDefault="00231214" w:rsidP="00231214">
            <w:pPr>
              <w:pStyle w:val="BodyText"/>
              <w:spacing w:before="4"/>
              <w:rPr>
                <w:rFonts w:asciiTheme="minorHAnsi" w:hAnsiTheme="minorHAnsi" w:cstheme="minorHAnsi"/>
                <w:sz w:val="20"/>
                <w:szCs w:val="20"/>
              </w:rPr>
            </w:pPr>
          </w:p>
          <w:p w14:paraId="6BD854F4" w14:textId="77777777" w:rsidR="00231214" w:rsidRPr="00231214" w:rsidRDefault="00231214" w:rsidP="00231214">
            <w:pPr>
              <w:pStyle w:val="BodyText"/>
              <w:ind w:left="101" w:right="122"/>
              <w:jc w:val="both"/>
              <w:rPr>
                <w:rFonts w:asciiTheme="minorHAnsi" w:hAnsiTheme="minorHAnsi" w:cstheme="minorHAnsi"/>
                <w:sz w:val="20"/>
                <w:szCs w:val="20"/>
              </w:rPr>
            </w:pPr>
            <w:r w:rsidRPr="00231214">
              <w:rPr>
                <w:rFonts w:asciiTheme="minorHAnsi" w:hAnsiTheme="minorHAnsi" w:cstheme="minorHAnsi"/>
                <w:sz w:val="20"/>
                <w:szCs w:val="20"/>
              </w:rPr>
              <w:t>[As an aside, some IGOs think that it's impossible for them to show "use in commerce" for common law trademarks, as they are non-profit. That's a myth, because many non-profits and charities do own trademark registrations. One need only scan the USPTO for phrases like "promoting awareness of" or similar broad/creative language, that meets the burden. See, for example US Registration Number 6352406 for "500 WOMEN SCIENTISTS"</w:t>
            </w:r>
            <w:hyperlink w:anchor="_bookmark15" w:history="1">
              <w:r w:rsidRPr="00231214">
                <w:rPr>
                  <w:rFonts w:asciiTheme="minorHAnsi" w:hAnsiTheme="minorHAnsi" w:cstheme="minorHAnsi"/>
                  <w:position w:val="10"/>
                  <w:sz w:val="20"/>
                  <w:szCs w:val="20"/>
                </w:rPr>
                <w:t>16</w:t>
              </w:r>
            </w:hyperlink>
            <w:r w:rsidRPr="00231214">
              <w:rPr>
                <w:rFonts w:asciiTheme="minorHAnsi" w:hAnsiTheme="minorHAnsi" w:cstheme="minorHAnsi"/>
                <w:sz w:val="20"/>
                <w:szCs w:val="20"/>
              </w:rPr>
              <w:t>]</w:t>
            </w:r>
          </w:p>
          <w:p w14:paraId="65400EEC" w14:textId="77777777" w:rsidR="00231214" w:rsidRPr="00231214" w:rsidRDefault="00231214" w:rsidP="00231214">
            <w:pPr>
              <w:pStyle w:val="BodyText"/>
              <w:spacing w:before="2"/>
              <w:rPr>
                <w:rFonts w:asciiTheme="minorHAnsi" w:hAnsiTheme="minorHAnsi" w:cstheme="minorHAnsi"/>
                <w:sz w:val="20"/>
                <w:szCs w:val="20"/>
              </w:rPr>
            </w:pPr>
          </w:p>
          <w:p w14:paraId="65895E5B" w14:textId="77777777" w:rsidR="00231214" w:rsidRPr="00231214" w:rsidRDefault="00231214" w:rsidP="00231214">
            <w:pPr>
              <w:pStyle w:val="BodyText"/>
              <w:ind w:left="101" w:right="120"/>
              <w:jc w:val="both"/>
              <w:rPr>
                <w:rFonts w:asciiTheme="minorHAnsi" w:hAnsiTheme="minorHAnsi" w:cstheme="minorHAnsi"/>
                <w:sz w:val="20"/>
                <w:szCs w:val="20"/>
              </w:rPr>
            </w:pPr>
            <w:r w:rsidRPr="00231214">
              <w:rPr>
                <w:rFonts w:asciiTheme="minorHAnsi" w:hAnsiTheme="minorHAnsi" w:cstheme="minorHAnsi"/>
                <w:sz w:val="20"/>
                <w:szCs w:val="20"/>
              </w:rPr>
              <w:t>So, that's why the prior working group's recommendation regarding Article 6ter was changed, to no longer make it an "automatic pass" of the first part of the test. Some minimal additional evidence was required, just like any other similarly situated complainant, to pass that hurdle.</w:t>
            </w:r>
          </w:p>
          <w:p w14:paraId="61F5B51A" w14:textId="77777777" w:rsidR="00231214" w:rsidRPr="00231214" w:rsidRDefault="00231214" w:rsidP="00231214">
            <w:pPr>
              <w:pStyle w:val="BodyText"/>
              <w:spacing w:before="2"/>
              <w:rPr>
                <w:rFonts w:asciiTheme="minorHAnsi" w:hAnsiTheme="minorHAnsi" w:cstheme="minorHAnsi"/>
                <w:sz w:val="20"/>
                <w:szCs w:val="20"/>
              </w:rPr>
            </w:pPr>
          </w:p>
          <w:p w14:paraId="2A31A3CD" w14:textId="77777777" w:rsidR="00231214" w:rsidRPr="00231214" w:rsidRDefault="00231214" w:rsidP="00231214">
            <w:pPr>
              <w:pStyle w:val="BodyText"/>
              <w:ind w:left="101" w:right="123"/>
              <w:jc w:val="both"/>
              <w:rPr>
                <w:rFonts w:asciiTheme="minorHAnsi" w:hAnsiTheme="minorHAnsi" w:cstheme="minorHAnsi"/>
                <w:sz w:val="20"/>
                <w:szCs w:val="20"/>
              </w:rPr>
            </w:pPr>
            <w:r w:rsidRPr="00231214">
              <w:rPr>
                <w:rFonts w:asciiTheme="minorHAnsi" w:hAnsiTheme="minorHAnsi" w:cstheme="minorHAnsi"/>
                <w:sz w:val="20"/>
                <w:szCs w:val="20"/>
              </w:rPr>
              <w:t xml:space="preserve">Pragmatically, UDRP/URS cases are rarely decided by the first part of the test - the heart of </w:t>
            </w:r>
            <w:proofErr w:type="spellStart"/>
            <w:r w:rsidRPr="00231214">
              <w:rPr>
                <w:rFonts w:asciiTheme="minorHAnsi" w:hAnsiTheme="minorHAnsi" w:cstheme="minorHAnsi"/>
                <w:sz w:val="20"/>
                <w:szCs w:val="20"/>
              </w:rPr>
              <w:t>of</w:t>
            </w:r>
            <w:proofErr w:type="spellEnd"/>
            <w:r w:rsidRPr="00231214">
              <w:rPr>
                <w:rFonts w:asciiTheme="minorHAnsi" w:hAnsiTheme="minorHAnsi" w:cstheme="minorHAnsi"/>
                <w:sz w:val="20"/>
                <w:szCs w:val="20"/>
              </w:rPr>
              <w:t xml:space="preserve"> the domain dispute is usually the 2nd and 3rd parts (especially the third part regarding bad faith registration and bad faith usage). In a real sense, the old working group had worked hard to lower that initial hurdle just a tiny bit, but the pushback forced us to change</w:t>
            </w:r>
            <w:r w:rsidRPr="00231214">
              <w:rPr>
                <w:rFonts w:asciiTheme="minorHAnsi" w:hAnsiTheme="minorHAnsi" w:cstheme="minorHAnsi"/>
                <w:spacing w:val="-38"/>
                <w:sz w:val="20"/>
                <w:szCs w:val="20"/>
              </w:rPr>
              <w:t xml:space="preserve"> </w:t>
            </w:r>
            <w:r w:rsidRPr="00231214">
              <w:rPr>
                <w:rFonts w:asciiTheme="minorHAnsi" w:hAnsiTheme="minorHAnsi" w:cstheme="minorHAnsi"/>
                <w:sz w:val="20"/>
                <w:szCs w:val="20"/>
              </w:rPr>
              <w:t>it.</w:t>
            </w:r>
          </w:p>
          <w:p w14:paraId="4D65C4E4" w14:textId="77777777" w:rsidR="00231214" w:rsidRPr="00231214" w:rsidRDefault="00231214" w:rsidP="00231214">
            <w:pPr>
              <w:pStyle w:val="BodyText"/>
              <w:spacing w:before="2"/>
              <w:rPr>
                <w:rFonts w:asciiTheme="minorHAnsi" w:hAnsiTheme="minorHAnsi" w:cstheme="minorHAnsi"/>
                <w:sz w:val="20"/>
                <w:szCs w:val="20"/>
              </w:rPr>
            </w:pPr>
          </w:p>
          <w:p w14:paraId="546400FA" w14:textId="77777777" w:rsidR="00231214" w:rsidRPr="00231214" w:rsidRDefault="00231214" w:rsidP="00231214">
            <w:pPr>
              <w:spacing w:before="74"/>
              <w:ind w:left="101" w:right="126"/>
              <w:jc w:val="both"/>
              <w:rPr>
                <w:rFonts w:asciiTheme="minorHAnsi" w:hAnsiTheme="minorHAnsi" w:cstheme="minorHAnsi"/>
                <w:sz w:val="20"/>
                <w:szCs w:val="20"/>
              </w:rPr>
            </w:pPr>
            <w:r w:rsidRPr="00231214">
              <w:rPr>
                <w:rFonts w:asciiTheme="minorHAnsi" w:hAnsiTheme="minorHAnsi" w:cstheme="minorHAnsi"/>
                <w:sz w:val="20"/>
                <w:szCs w:val="20"/>
              </w:rPr>
              <w:t>However,</w:t>
            </w:r>
            <w:r w:rsidRPr="00231214">
              <w:rPr>
                <w:rFonts w:asciiTheme="minorHAnsi" w:hAnsiTheme="minorHAnsi" w:cstheme="minorHAnsi"/>
                <w:spacing w:val="53"/>
                <w:sz w:val="20"/>
                <w:szCs w:val="20"/>
              </w:rPr>
              <w:t xml:space="preserve"> </w:t>
            </w:r>
            <w:r w:rsidRPr="00231214">
              <w:rPr>
                <w:rFonts w:asciiTheme="minorHAnsi" w:hAnsiTheme="minorHAnsi" w:cstheme="minorHAnsi"/>
                <w:sz w:val="20"/>
                <w:szCs w:val="20"/>
              </w:rPr>
              <w:t>the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new</w:t>
            </w:r>
            <w:r w:rsidRPr="00231214">
              <w:rPr>
                <w:rFonts w:asciiTheme="minorHAnsi" w:hAnsiTheme="minorHAnsi" w:cstheme="minorHAnsi"/>
                <w:spacing w:val="55"/>
                <w:sz w:val="20"/>
                <w:szCs w:val="20"/>
              </w:rPr>
              <w:t xml:space="preserve"> </w:t>
            </w:r>
            <w:r w:rsidRPr="00231214">
              <w:rPr>
                <w:rFonts w:asciiTheme="minorHAnsi" w:hAnsiTheme="minorHAnsi" w:cstheme="minorHAnsi"/>
                <w:sz w:val="20"/>
                <w:szCs w:val="20"/>
              </w:rPr>
              <w:t>working</w:t>
            </w:r>
            <w:r w:rsidRPr="00231214">
              <w:rPr>
                <w:rFonts w:asciiTheme="minorHAnsi" w:hAnsiTheme="minorHAnsi" w:cstheme="minorHAnsi"/>
                <w:spacing w:val="53"/>
                <w:sz w:val="20"/>
                <w:szCs w:val="20"/>
              </w:rPr>
              <w:t xml:space="preserve"> </w:t>
            </w:r>
            <w:r w:rsidRPr="00231214">
              <w:rPr>
                <w:rFonts w:asciiTheme="minorHAnsi" w:hAnsiTheme="minorHAnsi" w:cstheme="minorHAnsi"/>
                <w:sz w:val="20"/>
                <w:szCs w:val="20"/>
              </w:rPr>
              <w:t>group's</w:t>
            </w:r>
            <w:r w:rsidRPr="00231214">
              <w:rPr>
                <w:rFonts w:asciiTheme="minorHAnsi" w:hAnsiTheme="minorHAnsi" w:cstheme="minorHAnsi"/>
                <w:spacing w:val="53"/>
                <w:sz w:val="20"/>
                <w:szCs w:val="20"/>
              </w:rPr>
              <w:t xml:space="preserve"> </w:t>
            </w:r>
            <w:r w:rsidRPr="00231214">
              <w:rPr>
                <w:rFonts w:asciiTheme="minorHAnsi" w:hAnsiTheme="minorHAnsi" w:cstheme="minorHAnsi"/>
                <w:sz w:val="20"/>
                <w:szCs w:val="20"/>
              </w:rPr>
              <w:t>recommendation</w:t>
            </w:r>
            <w:r w:rsidRPr="00231214">
              <w:rPr>
                <w:rFonts w:asciiTheme="minorHAnsi" w:hAnsiTheme="minorHAnsi" w:cstheme="minorHAnsi"/>
                <w:spacing w:val="63"/>
                <w:sz w:val="20"/>
                <w:szCs w:val="20"/>
              </w:rPr>
              <w:t xml:space="preserve"> </w:t>
            </w:r>
            <w:r w:rsidRPr="00231214">
              <w:rPr>
                <w:rFonts w:asciiTheme="minorHAnsi" w:hAnsiTheme="minorHAnsi" w:cstheme="minorHAnsi"/>
                <w:b/>
                <w:sz w:val="20"/>
                <w:szCs w:val="20"/>
                <w:u w:val="single"/>
              </w:rPr>
              <w:t>goes</w:t>
            </w:r>
            <w:r w:rsidRPr="00231214">
              <w:rPr>
                <w:rFonts w:asciiTheme="minorHAnsi" w:hAnsiTheme="minorHAnsi" w:cstheme="minorHAnsi"/>
                <w:b/>
                <w:spacing w:val="53"/>
                <w:sz w:val="20"/>
                <w:szCs w:val="20"/>
                <w:u w:val="single"/>
              </w:rPr>
              <w:t xml:space="preserve"> </w:t>
            </w:r>
            <w:r w:rsidRPr="00231214">
              <w:rPr>
                <w:rFonts w:asciiTheme="minorHAnsi" w:hAnsiTheme="minorHAnsi" w:cstheme="minorHAnsi"/>
                <w:b/>
                <w:sz w:val="20"/>
                <w:szCs w:val="20"/>
                <w:u w:val="single"/>
              </w:rPr>
              <w:t>much</w:t>
            </w:r>
            <w:r w:rsidRPr="00231214">
              <w:rPr>
                <w:rFonts w:asciiTheme="minorHAnsi" w:hAnsiTheme="minorHAnsi" w:cstheme="minorHAnsi"/>
                <w:b/>
                <w:spacing w:val="52"/>
                <w:sz w:val="20"/>
                <w:szCs w:val="20"/>
                <w:u w:val="single"/>
              </w:rPr>
              <w:t xml:space="preserve"> </w:t>
            </w:r>
            <w:r w:rsidRPr="00231214">
              <w:rPr>
                <w:rFonts w:asciiTheme="minorHAnsi" w:hAnsiTheme="minorHAnsi" w:cstheme="minorHAnsi"/>
                <w:b/>
                <w:sz w:val="20"/>
                <w:szCs w:val="20"/>
                <w:u w:val="single"/>
              </w:rPr>
              <w:t>further</w:t>
            </w:r>
            <w:r w:rsidRPr="00231214">
              <w:rPr>
                <w:rFonts w:asciiTheme="minorHAnsi" w:hAnsiTheme="minorHAnsi" w:cstheme="minorHAnsi"/>
                <w:b/>
                <w:sz w:val="20"/>
                <w:szCs w:val="20"/>
                <w:u w:val="single"/>
              </w:rPr>
              <w:t xml:space="preserve"> </w:t>
            </w:r>
            <w:r w:rsidRPr="00231214">
              <w:rPr>
                <w:rFonts w:asciiTheme="minorHAnsi" w:hAnsiTheme="minorHAnsi" w:cstheme="minorHAnsi"/>
                <w:b/>
                <w:sz w:val="20"/>
                <w:szCs w:val="20"/>
                <w:u w:val="single"/>
              </w:rPr>
              <w:t>beyond even what the old working group's initial recommendation</w:t>
            </w:r>
            <w:r w:rsidRPr="00231214">
              <w:rPr>
                <w:rFonts w:asciiTheme="minorHAnsi" w:hAnsiTheme="minorHAnsi" w:cstheme="minorHAnsi"/>
                <w:b/>
                <w:sz w:val="20"/>
                <w:szCs w:val="20"/>
              </w:rPr>
              <w:t xml:space="preserve"> </w:t>
            </w:r>
            <w:r w:rsidRPr="00231214">
              <w:rPr>
                <w:rFonts w:asciiTheme="minorHAnsi" w:hAnsiTheme="minorHAnsi" w:cstheme="minorHAnsi"/>
                <w:b/>
                <w:sz w:val="20"/>
                <w:szCs w:val="20"/>
                <w:u w:val="single"/>
              </w:rPr>
              <w:t>had been</w:t>
            </w:r>
            <w:r w:rsidRPr="00231214">
              <w:rPr>
                <w:rFonts w:asciiTheme="minorHAnsi" w:hAnsiTheme="minorHAnsi" w:cstheme="minorHAnsi"/>
                <w:sz w:val="20"/>
                <w:szCs w:val="20"/>
              </w:rPr>
              <w:t>. It would dramatically expand the definition far beyond even Article 6ter registration, which would be</w:t>
            </w:r>
            <w:r w:rsidRPr="00231214">
              <w:rPr>
                <w:rFonts w:asciiTheme="minorHAnsi" w:hAnsiTheme="minorHAnsi" w:cstheme="minorHAnsi"/>
                <w:spacing w:val="-10"/>
                <w:sz w:val="20"/>
                <w:szCs w:val="20"/>
              </w:rPr>
              <w:t xml:space="preserve"> </w:t>
            </w:r>
            <w:r w:rsidRPr="00231214">
              <w:rPr>
                <w:rFonts w:asciiTheme="minorHAnsi" w:hAnsiTheme="minorHAnsi" w:cstheme="minorHAnsi"/>
                <w:sz w:val="20"/>
                <w:szCs w:val="20"/>
              </w:rPr>
              <w:t>unacceptable.</w:t>
            </w:r>
          </w:p>
          <w:p w14:paraId="1B864F8A" w14:textId="77777777" w:rsidR="00231214" w:rsidRPr="00231214" w:rsidRDefault="00231214" w:rsidP="00231214">
            <w:pPr>
              <w:pStyle w:val="BodyText"/>
              <w:spacing w:before="2"/>
              <w:rPr>
                <w:rFonts w:asciiTheme="minorHAnsi" w:hAnsiTheme="minorHAnsi" w:cstheme="minorHAnsi"/>
                <w:sz w:val="20"/>
                <w:szCs w:val="20"/>
              </w:rPr>
            </w:pPr>
          </w:p>
          <w:p w14:paraId="0AA61703" w14:textId="77777777" w:rsidR="00231214" w:rsidRPr="00231214" w:rsidRDefault="00231214" w:rsidP="00231214">
            <w:pPr>
              <w:pStyle w:val="BodyText"/>
              <w:ind w:left="101" w:right="125"/>
              <w:jc w:val="both"/>
              <w:rPr>
                <w:rFonts w:asciiTheme="minorHAnsi" w:hAnsiTheme="minorHAnsi" w:cstheme="minorHAnsi"/>
                <w:sz w:val="20"/>
                <w:szCs w:val="20"/>
              </w:rPr>
            </w:pPr>
            <w:r w:rsidRPr="00231214">
              <w:rPr>
                <w:rFonts w:asciiTheme="minorHAnsi" w:hAnsiTheme="minorHAnsi" w:cstheme="minorHAnsi"/>
                <w:sz w:val="20"/>
                <w:szCs w:val="20"/>
              </w:rPr>
              <w:t xml:space="preserve">Why unacceptable? If one reads the proposed recommendation carefully, it says that all an IGO needs to do is </w:t>
            </w:r>
            <w:proofErr w:type="spellStart"/>
            <w:r w:rsidRPr="00231214">
              <w:rPr>
                <w:rFonts w:asciiTheme="minorHAnsi" w:hAnsiTheme="minorHAnsi" w:cstheme="minorHAnsi"/>
                <w:sz w:val="20"/>
                <w:szCs w:val="20"/>
              </w:rPr>
              <w:t>is</w:t>
            </w:r>
            <w:proofErr w:type="spellEnd"/>
            <w:r w:rsidRPr="00231214">
              <w:rPr>
                <w:rFonts w:asciiTheme="minorHAnsi" w:hAnsiTheme="minorHAnsi" w:cstheme="minorHAnsi"/>
                <w:sz w:val="20"/>
                <w:szCs w:val="20"/>
              </w:rPr>
              <w:t xml:space="preserve"> demonstrate "that the identifier which forms the basis for the complaint </w:t>
            </w:r>
            <w:r w:rsidRPr="00231214">
              <w:rPr>
                <w:rFonts w:asciiTheme="minorHAnsi" w:hAnsiTheme="minorHAnsi" w:cstheme="minorHAnsi"/>
                <w:sz w:val="20"/>
                <w:szCs w:val="20"/>
              </w:rPr>
              <w:lastRenderedPageBreak/>
              <w:t>is used by the IGO Complainant to conduct public activities in accordance with its stated</w:t>
            </w:r>
            <w:r w:rsidRPr="00231214">
              <w:rPr>
                <w:rFonts w:asciiTheme="minorHAnsi" w:hAnsiTheme="minorHAnsi" w:cstheme="minorHAnsi"/>
                <w:spacing w:val="-7"/>
                <w:sz w:val="20"/>
                <w:szCs w:val="20"/>
              </w:rPr>
              <w:t xml:space="preserve"> </w:t>
            </w:r>
            <w:r w:rsidRPr="00231214">
              <w:rPr>
                <w:rFonts w:asciiTheme="minorHAnsi" w:hAnsiTheme="minorHAnsi" w:cstheme="minorHAnsi"/>
                <w:sz w:val="20"/>
                <w:szCs w:val="20"/>
              </w:rPr>
              <w:t>mission."</w:t>
            </w:r>
          </w:p>
          <w:p w14:paraId="20CD7235" w14:textId="77777777" w:rsidR="00231214" w:rsidRPr="00231214" w:rsidRDefault="00231214" w:rsidP="00231214">
            <w:pPr>
              <w:pStyle w:val="BodyText"/>
              <w:spacing w:before="1"/>
              <w:rPr>
                <w:rFonts w:asciiTheme="minorHAnsi" w:hAnsiTheme="minorHAnsi" w:cstheme="minorHAnsi"/>
                <w:sz w:val="20"/>
                <w:szCs w:val="20"/>
              </w:rPr>
            </w:pPr>
          </w:p>
          <w:p w14:paraId="04A323DD" w14:textId="77777777" w:rsidR="00231214" w:rsidRPr="00231214" w:rsidRDefault="00231214" w:rsidP="00231214">
            <w:pPr>
              <w:pStyle w:val="BodyText"/>
              <w:ind w:left="101" w:right="124"/>
              <w:jc w:val="both"/>
              <w:rPr>
                <w:rFonts w:asciiTheme="minorHAnsi" w:hAnsiTheme="minorHAnsi" w:cstheme="minorHAnsi"/>
                <w:sz w:val="20"/>
                <w:szCs w:val="20"/>
              </w:rPr>
            </w:pPr>
            <w:r w:rsidRPr="00231214">
              <w:rPr>
                <w:rFonts w:asciiTheme="minorHAnsi" w:hAnsiTheme="minorHAnsi" w:cstheme="minorHAnsi"/>
                <w:sz w:val="20"/>
                <w:szCs w:val="20"/>
              </w:rPr>
              <w:t>If one parses that carefully, that goes well beyond even the name of the organization. It could literally be anything, for example the name of a newsletter, the name of an event, the name of a project, simply any term used by an IGO.</w:t>
            </w:r>
          </w:p>
          <w:p w14:paraId="01A38924" w14:textId="77777777" w:rsidR="00231214" w:rsidRPr="00231214" w:rsidRDefault="00231214" w:rsidP="00231214">
            <w:pPr>
              <w:pStyle w:val="BodyText"/>
              <w:spacing w:before="2"/>
              <w:rPr>
                <w:rFonts w:asciiTheme="minorHAnsi" w:hAnsiTheme="minorHAnsi" w:cstheme="minorHAnsi"/>
                <w:sz w:val="20"/>
                <w:szCs w:val="20"/>
              </w:rPr>
            </w:pPr>
          </w:p>
          <w:p w14:paraId="79D0D1DD" w14:textId="77777777" w:rsidR="00231214" w:rsidRPr="00231214" w:rsidRDefault="00231214" w:rsidP="00231214">
            <w:pPr>
              <w:pStyle w:val="BodyText"/>
              <w:ind w:left="101" w:right="124"/>
              <w:jc w:val="both"/>
              <w:rPr>
                <w:rFonts w:asciiTheme="minorHAnsi" w:hAnsiTheme="minorHAnsi" w:cstheme="minorHAnsi"/>
                <w:sz w:val="20"/>
                <w:szCs w:val="20"/>
              </w:rPr>
            </w:pPr>
            <w:r w:rsidRPr="00231214">
              <w:rPr>
                <w:rFonts w:asciiTheme="minorHAnsi" w:hAnsiTheme="minorHAnsi" w:cstheme="minorHAnsi"/>
                <w:sz w:val="20"/>
                <w:szCs w:val="20"/>
              </w:rPr>
              <w:t>Why is that a problem? It's a problem because many terms can never be trademarked (</w:t>
            </w:r>
            <w:proofErr w:type="gramStart"/>
            <w:r w:rsidRPr="00231214">
              <w:rPr>
                <w:rFonts w:asciiTheme="minorHAnsi" w:hAnsiTheme="minorHAnsi" w:cstheme="minorHAnsi"/>
                <w:sz w:val="20"/>
                <w:szCs w:val="20"/>
              </w:rPr>
              <w:t>e.g.</w:t>
            </w:r>
            <w:proofErr w:type="gramEnd"/>
            <w:r w:rsidRPr="00231214">
              <w:rPr>
                <w:rFonts w:asciiTheme="minorHAnsi" w:hAnsiTheme="minorHAnsi" w:cstheme="minorHAnsi"/>
                <w:sz w:val="20"/>
                <w:szCs w:val="20"/>
              </w:rPr>
              <w:t xml:space="preserve"> because they are generic, descriptive, or other more esoteric reasons like primarily a surname, etc.).</w:t>
            </w:r>
          </w:p>
          <w:p w14:paraId="5B0FF66F" w14:textId="77777777" w:rsidR="00231214" w:rsidRPr="00231214" w:rsidRDefault="00231214" w:rsidP="00231214">
            <w:pPr>
              <w:pStyle w:val="BodyText"/>
              <w:spacing w:before="1"/>
              <w:rPr>
                <w:rFonts w:asciiTheme="minorHAnsi" w:hAnsiTheme="minorHAnsi" w:cstheme="minorHAnsi"/>
                <w:sz w:val="20"/>
                <w:szCs w:val="20"/>
              </w:rPr>
            </w:pPr>
          </w:p>
          <w:p w14:paraId="0E6DDBF7" w14:textId="77777777" w:rsidR="00231214" w:rsidRPr="00231214" w:rsidRDefault="00231214" w:rsidP="00231214">
            <w:pPr>
              <w:pStyle w:val="BodyText"/>
              <w:ind w:left="101" w:right="124"/>
              <w:jc w:val="both"/>
              <w:rPr>
                <w:rFonts w:asciiTheme="minorHAnsi" w:hAnsiTheme="minorHAnsi" w:cstheme="minorHAnsi"/>
                <w:sz w:val="20"/>
                <w:szCs w:val="20"/>
              </w:rPr>
            </w:pPr>
            <w:r w:rsidRPr="00231214">
              <w:rPr>
                <w:rFonts w:asciiTheme="minorHAnsi" w:hAnsiTheme="minorHAnsi" w:cstheme="minorHAnsi"/>
                <w:sz w:val="20"/>
                <w:szCs w:val="20"/>
              </w:rPr>
              <w:t>For example, if an IGO called their newsletter simply "News" or their event "The Event", it would literally meet the test proposed by this new working group. That's unacceptable, as those terms are explicitly generic for those uses.</w:t>
            </w:r>
          </w:p>
          <w:p w14:paraId="279C4BD4" w14:textId="77777777" w:rsidR="00231214" w:rsidRPr="00231214" w:rsidRDefault="00231214" w:rsidP="00231214">
            <w:pPr>
              <w:pStyle w:val="BodyText"/>
              <w:spacing w:before="2"/>
              <w:rPr>
                <w:rFonts w:asciiTheme="minorHAnsi" w:hAnsiTheme="minorHAnsi" w:cstheme="minorHAnsi"/>
                <w:sz w:val="20"/>
                <w:szCs w:val="20"/>
              </w:rPr>
            </w:pPr>
          </w:p>
          <w:p w14:paraId="3215C73A" w14:textId="77777777" w:rsidR="00231214" w:rsidRPr="00231214" w:rsidRDefault="00231214" w:rsidP="00231214">
            <w:pPr>
              <w:pStyle w:val="BodyText"/>
              <w:ind w:left="101" w:right="115"/>
              <w:jc w:val="both"/>
              <w:rPr>
                <w:rFonts w:asciiTheme="minorHAnsi" w:hAnsiTheme="minorHAnsi" w:cstheme="minorHAnsi"/>
                <w:sz w:val="20"/>
                <w:szCs w:val="20"/>
              </w:rPr>
            </w:pPr>
            <w:r w:rsidRPr="00231214">
              <w:rPr>
                <w:rFonts w:asciiTheme="minorHAnsi" w:hAnsiTheme="minorHAnsi" w:cstheme="minorHAnsi"/>
                <w:sz w:val="20"/>
                <w:szCs w:val="20"/>
              </w:rPr>
              <w:t>Another reason why the expanded definition, beyond the prior working group's recommendation, has problems is that there is little to no chance of the registrant having "</w:t>
            </w:r>
            <w:r w:rsidRPr="00231214">
              <w:rPr>
                <w:rFonts w:asciiTheme="minorHAnsi" w:hAnsiTheme="minorHAnsi" w:cstheme="minorHAnsi"/>
                <w:b/>
                <w:sz w:val="20"/>
                <w:szCs w:val="20"/>
              </w:rPr>
              <w:t>constructive notice</w:t>
            </w:r>
            <w:r w:rsidRPr="00231214">
              <w:rPr>
                <w:rFonts w:asciiTheme="minorHAnsi" w:hAnsiTheme="minorHAnsi" w:cstheme="minorHAnsi"/>
                <w:sz w:val="20"/>
                <w:szCs w:val="20"/>
              </w:rPr>
              <w:t xml:space="preserve">" of the identifier's usage (let alone, actual notice), if it's not in the Article 6ter database. With the old working group's Recommendation #2, a diligent domain name registrant could at least search the Article 6ter database for matching terms, to avoid registering domains that might conflict with terms used by IGOs [some of those </w:t>
            </w:r>
            <w:proofErr w:type="spellStart"/>
            <w:r w:rsidRPr="00231214">
              <w:rPr>
                <w:rFonts w:asciiTheme="minorHAnsi" w:hAnsiTheme="minorHAnsi" w:cstheme="minorHAnsi"/>
                <w:sz w:val="20"/>
                <w:szCs w:val="20"/>
              </w:rPr>
              <w:t>recordals</w:t>
            </w:r>
            <w:proofErr w:type="spellEnd"/>
            <w:r w:rsidRPr="00231214">
              <w:rPr>
                <w:rFonts w:asciiTheme="minorHAnsi" w:hAnsiTheme="minorHAnsi" w:cstheme="minorHAnsi"/>
                <w:sz w:val="20"/>
                <w:szCs w:val="20"/>
              </w:rPr>
              <w:t xml:space="preserve"> might also show up in national trademark databases, like the 8900-series ones in the USPTO; by the way, the old working group members were certainly aware that those were not trademarks in themselves, but merely </w:t>
            </w:r>
            <w:proofErr w:type="spellStart"/>
            <w:r w:rsidRPr="00231214">
              <w:rPr>
                <w:rFonts w:asciiTheme="minorHAnsi" w:hAnsiTheme="minorHAnsi" w:cstheme="minorHAnsi"/>
                <w:sz w:val="20"/>
                <w:szCs w:val="20"/>
              </w:rPr>
              <w:t>recordals</w:t>
            </w:r>
            <w:proofErr w:type="spellEnd"/>
            <w:r w:rsidRPr="00231214">
              <w:rPr>
                <w:rFonts w:asciiTheme="minorHAnsi" w:hAnsiTheme="minorHAnsi" w:cstheme="minorHAnsi"/>
                <w:sz w:val="20"/>
                <w:szCs w:val="20"/>
              </w:rPr>
              <w:t xml:space="preserve"> of potential blocking rights; some folks in the new working group didn't think we knew that, perhaps as the staff who wrote the report didn't make it clear].</w:t>
            </w:r>
          </w:p>
          <w:p w14:paraId="0888D34A" w14:textId="77777777" w:rsidR="00231214" w:rsidRPr="00231214" w:rsidRDefault="00231214" w:rsidP="00231214">
            <w:pPr>
              <w:pStyle w:val="BodyText"/>
              <w:spacing w:before="4"/>
              <w:rPr>
                <w:rFonts w:asciiTheme="minorHAnsi" w:hAnsiTheme="minorHAnsi" w:cstheme="minorHAnsi"/>
                <w:sz w:val="20"/>
                <w:szCs w:val="20"/>
              </w:rPr>
            </w:pPr>
          </w:p>
          <w:p w14:paraId="543F3B5D" w14:textId="096923E6" w:rsidR="00231214" w:rsidRDefault="00231214" w:rsidP="00231214">
            <w:pPr>
              <w:pStyle w:val="BodyText"/>
              <w:spacing w:before="74"/>
              <w:ind w:left="101" w:right="121"/>
              <w:jc w:val="both"/>
              <w:rPr>
                <w:b/>
              </w:rPr>
            </w:pPr>
            <w:r w:rsidRPr="00231214">
              <w:rPr>
                <w:rFonts w:asciiTheme="minorHAnsi" w:hAnsiTheme="minorHAnsi" w:cstheme="minorHAnsi"/>
                <w:sz w:val="20"/>
                <w:szCs w:val="20"/>
              </w:rPr>
              <w:t xml:space="preserve">In conclusion, this captured working group simply went beyond the scope of its mandate, and made it far too easy for an IGO to make complaints about </w:t>
            </w:r>
            <w:r w:rsidRPr="00231214">
              <w:rPr>
                <w:rFonts w:asciiTheme="minorHAnsi" w:hAnsiTheme="minorHAnsi" w:cstheme="minorHAnsi"/>
                <w:b/>
                <w:sz w:val="20"/>
                <w:szCs w:val="20"/>
              </w:rPr>
              <w:t>any identifier</w:t>
            </w:r>
            <w:r w:rsidRPr="00231214">
              <w:rPr>
                <w:rFonts w:asciiTheme="minorHAnsi" w:hAnsiTheme="minorHAnsi" w:cstheme="minorHAnsi"/>
                <w:sz w:val="20"/>
                <w:szCs w:val="20"/>
              </w:rPr>
              <w:t>, regardless of whether it is even generic or merely descriptive. If instead the very first recommendation (in the old working group's initial report) is desired, so that Article 6ter registration alone is sufficient to pass the first part of the three-part test, we can support that as a</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middle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ground</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(despite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the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past</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objections</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of</w:t>
            </w:r>
            <w:r w:rsidRPr="00231214">
              <w:rPr>
                <w:rFonts w:asciiTheme="minorHAnsi" w:hAnsiTheme="minorHAnsi" w:cstheme="minorHAnsi"/>
                <w:spacing w:val="52"/>
                <w:sz w:val="20"/>
                <w:szCs w:val="20"/>
              </w:rPr>
              <w:t xml:space="preserve"> </w:t>
            </w:r>
            <w:r w:rsidRPr="00231214">
              <w:rPr>
                <w:rFonts w:asciiTheme="minorHAnsi" w:hAnsiTheme="minorHAnsi" w:cstheme="minorHAnsi"/>
                <w:sz w:val="20"/>
                <w:szCs w:val="20"/>
              </w:rPr>
              <w:t>the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US</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Government</w:t>
            </w:r>
            <w:r w:rsidRPr="00231214">
              <w:rPr>
                <w:rFonts w:asciiTheme="minorHAnsi" w:hAnsiTheme="minorHAnsi" w:cstheme="minorHAnsi"/>
                <w:spacing w:val="52"/>
                <w:sz w:val="20"/>
                <w:szCs w:val="20"/>
              </w:rPr>
              <w:t xml:space="preserve"> </w:t>
            </w:r>
            <w:r w:rsidRPr="00231214">
              <w:rPr>
                <w:rFonts w:asciiTheme="minorHAnsi" w:hAnsiTheme="minorHAnsi" w:cstheme="minorHAnsi"/>
                <w:sz w:val="20"/>
                <w:szCs w:val="20"/>
              </w:rPr>
              <w:t>and</w:t>
            </w:r>
            <w:r w:rsidRPr="00231214">
              <w:rPr>
                <w:rFonts w:asciiTheme="minorHAnsi" w:hAnsiTheme="minorHAnsi" w:cstheme="minorHAnsi"/>
                <w:sz w:val="20"/>
                <w:szCs w:val="20"/>
              </w:rPr>
              <w:t xml:space="preserve"> </w:t>
            </w:r>
            <w:r w:rsidRPr="00231214">
              <w:rPr>
                <w:rFonts w:asciiTheme="minorHAnsi" w:hAnsiTheme="minorHAnsi" w:cstheme="minorHAnsi"/>
                <w:sz w:val="20"/>
                <w:szCs w:val="20"/>
              </w:rPr>
              <w:t>IPC). At least with a minimal effort, an IGO can register in the Article 6ter database and declare to the world that "this mark is important to us", letting domain name registrants and others be aware that those are terms to avoid in the event their intended usage would be confusing to the public. [and as we know, many acronyms have multiple uses, so Article 6ter registration would not permit any monopolization of terms] An IGO would still need to prove the 2nd and 3rd parts of the 3-part UDRP/URS test, so good faith domain name registrants would still be protected.</w:t>
            </w:r>
          </w:p>
          <w:p w14:paraId="570A396B" w14:textId="77777777" w:rsidR="00231214" w:rsidRDefault="00231214" w:rsidP="000E3F5B">
            <w:pPr>
              <w:pStyle w:val="ColorfulList-Accent11"/>
              <w:ind w:left="0"/>
              <w:rPr>
                <w:rFonts w:asciiTheme="minorHAnsi" w:hAnsiTheme="minorHAnsi"/>
                <w:sz w:val="20"/>
                <w:szCs w:val="20"/>
              </w:rPr>
            </w:pPr>
          </w:p>
          <w:p w14:paraId="3E49958A" w14:textId="0ADE2B27" w:rsidR="00661033" w:rsidRPr="00661033" w:rsidRDefault="00661033" w:rsidP="00661033">
            <w:pPr>
              <w:widowControl w:val="0"/>
              <w:tabs>
                <w:tab w:val="left" w:pos="442"/>
              </w:tabs>
              <w:autoSpaceDE w:val="0"/>
              <w:autoSpaceDN w:val="0"/>
              <w:spacing w:before="213" w:line="242" w:lineRule="auto"/>
              <w:ind w:left="102" w:right="2321"/>
              <w:rPr>
                <w:rFonts w:ascii="Times New Roman"/>
                <w:sz w:val="20"/>
              </w:rPr>
            </w:pPr>
            <w:r>
              <w:rPr>
                <w:rFonts w:ascii="Times New Roman"/>
                <w:sz w:val="20"/>
                <w:u w:val="single"/>
              </w:rPr>
              <w:lastRenderedPageBreak/>
              <w:t xml:space="preserve">13 </w:t>
            </w:r>
            <w:r w:rsidRPr="00661033">
              <w:rPr>
                <w:rFonts w:ascii="Times New Roman"/>
                <w:sz w:val="20"/>
                <w:u w:val="single"/>
              </w:rPr>
              <w:t xml:space="preserve">WIPO Overview of WIPO Panel </w:t>
            </w:r>
            <w:r w:rsidRPr="00661033">
              <w:rPr>
                <w:rFonts w:ascii="Times New Roman"/>
                <w:spacing w:val="-3"/>
                <w:sz w:val="20"/>
                <w:u w:val="single"/>
              </w:rPr>
              <w:t xml:space="preserve">Views </w:t>
            </w:r>
            <w:r w:rsidRPr="00661033">
              <w:rPr>
                <w:rFonts w:ascii="Times New Roman"/>
                <w:sz w:val="20"/>
                <w:u w:val="single"/>
              </w:rPr>
              <w:t>on Selected UDRP Questions, Third</w:t>
            </w:r>
            <w:r w:rsidRPr="00661033">
              <w:rPr>
                <w:rFonts w:ascii="Times New Roman"/>
                <w:spacing w:val="-36"/>
                <w:sz w:val="20"/>
                <w:u w:val="single"/>
              </w:rPr>
              <w:t xml:space="preserve"> </w:t>
            </w:r>
            <w:r w:rsidRPr="00661033">
              <w:rPr>
                <w:rFonts w:ascii="Times New Roman"/>
                <w:sz w:val="20"/>
                <w:u w:val="single"/>
              </w:rPr>
              <w:t>Edition</w:t>
            </w:r>
            <w:r w:rsidRPr="00661033">
              <w:rPr>
                <w:rFonts w:ascii="Times New Roman"/>
                <w:sz w:val="20"/>
              </w:rPr>
              <w:t>,</w:t>
            </w:r>
            <w:r w:rsidRPr="00661033">
              <w:rPr>
                <w:rFonts w:ascii="Times New Roman"/>
                <w:color w:val="00007F"/>
                <w:sz w:val="20"/>
                <w:u w:val="single" w:color="00007F"/>
              </w:rPr>
              <w:t xml:space="preserve"> </w:t>
            </w:r>
            <w:hyperlink r:id="rId8">
              <w:r w:rsidRPr="00661033">
                <w:rPr>
                  <w:rFonts w:ascii="Times New Roman"/>
                  <w:color w:val="00007F"/>
                  <w:sz w:val="20"/>
                  <w:u w:val="single" w:color="00007F"/>
                </w:rPr>
                <w:t>https://www.wipo.int/amc/en/domains/search/overview3.0/</w:t>
              </w:r>
            </w:hyperlink>
          </w:p>
          <w:bookmarkStart w:id="1" w:name="_bookmark13"/>
          <w:bookmarkEnd w:id="1"/>
          <w:p w14:paraId="27FA968B" w14:textId="6BEC916A" w:rsidR="00661033" w:rsidRPr="00661033" w:rsidRDefault="00661033" w:rsidP="00661033">
            <w:pPr>
              <w:pStyle w:val="ListParagraph"/>
              <w:widowControl w:val="0"/>
              <w:numPr>
                <w:ilvl w:val="0"/>
                <w:numId w:val="43"/>
              </w:numPr>
              <w:tabs>
                <w:tab w:val="left" w:pos="442"/>
              </w:tabs>
              <w:autoSpaceDE w:val="0"/>
              <w:autoSpaceDN w:val="0"/>
              <w:spacing w:line="227" w:lineRule="exact"/>
              <w:rPr>
                <w:rFonts w:ascii="Times New Roman"/>
                <w:sz w:val="20"/>
              </w:rPr>
            </w:pPr>
            <w:r w:rsidRPr="00661033">
              <w:rPr>
                <w:rFonts w:ascii="Times New Roman"/>
                <w:color w:val="00007F"/>
                <w:sz w:val="20"/>
                <w:u w:val="single" w:color="00007F"/>
              </w:rPr>
              <w:fldChar w:fldCharType="begin"/>
            </w:r>
            <w:r w:rsidRPr="00661033">
              <w:rPr>
                <w:rFonts w:ascii="Times New Roman"/>
                <w:color w:val="00007F"/>
                <w:sz w:val="20"/>
                <w:u w:val="single" w:color="00007F"/>
              </w:rPr>
              <w:instrText xml:space="preserve"> HYPERLINK "</w:instrText>
            </w:r>
            <w:r w:rsidRPr="00661033">
              <w:rPr>
                <w:rFonts w:ascii="Times New Roman"/>
                <w:color w:val="00007F"/>
                <w:sz w:val="20"/>
                <w:u w:val="single" w:color="00007F"/>
              </w:rPr>
              <w:instrText>https://forum.icann.org/lists/comments-igo-ingo-crp-access-initial-20jan17/</w:instrText>
            </w:r>
            <w:r w:rsidRPr="00661033">
              <w:rPr>
                <w:rFonts w:ascii="Times New Roman"/>
                <w:color w:val="00007F"/>
                <w:sz w:val="20"/>
                <w:u w:val="single" w:color="00007F"/>
              </w:rPr>
              <w:instrText xml:space="preserve">" </w:instrText>
            </w:r>
            <w:r w:rsidRPr="00661033">
              <w:rPr>
                <w:rFonts w:ascii="Times New Roman"/>
                <w:color w:val="00007F"/>
                <w:sz w:val="20"/>
                <w:u w:val="single" w:color="00007F"/>
              </w:rPr>
              <w:fldChar w:fldCharType="separate"/>
            </w:r>
            <w:r w:rsidRPr="00661033">
              <w:rPr>
                <w:rStyle w:val="Hyperlink"/>
                <w:rFonts w:ascii="Times New Roman"/>
                <w:sz w:val="20"/>
              </w:rPr>
              <w:t>https://forum.icann.org/lists/comments-igo-ingo-crp-access-initial-20jan17/</w:t>
            </w:r>
            <w:r w:rsidRPr="00661033">
              <w:rPr>
                <w:rFonts w:ascii="Times New Roman"/>
                <w:color w:val="00007F"/>
                <w:sz w:val="20"/>
                <w:u w:val="single" w:color="00007F"/>
              </w:rPr>
              <w:fldChar w:fldCharType="end"/>
            </w:r>
          </w:p>
          <w:p w14:paraId="536E09F1" w14:textId="64780BFE" w:rsidR="00661033" w:rsidRPr="00661033" w:rsidRDefault="00661033" w:rsidP="00661033">
            <w:pPr>
              <w:pStyle w:val="ListParagraph"/>
              <w:widowControl w:val="0"/>
              <w:numPr>
                <w:ilvl w:val="0"/>
                <w:numId w:val="43"/>
              </w:numPr>
              <w:tabs>
                <w:tab w:val="left" w:pos="442"/>
              </w:tabs>
              <w:autoSpaceDE w:val="0"/>
              <w:autoSpaceDN w:val="0"/>
              <w:spacing w:before="2"/>
              <w:ind w:right="906"/>
              <w:rPr>
                <w:rFonts w:ascii="Times New Roman"/>
                <w:color w:val="00007F"/>
                <w:sz w:val="20"/>
                <w:u w:val="single" w:color="00007F"/>
              </w:rPr>
            </w:pPr>
            <w:bookmarkStart w:id="2" w:name="_bookmark14"/>
            <w:bookmarkEnd w:id="2"/>
            <w:r w:rsidRPr="00661033">
              <w:rPr>
                <w:rFonts w:ascii="Times New Roman"/>
                <w:sz w:val="20"/>
                <w:u w:val="single"/>
              </w:rPr>
              <w:t>Report of Public Comments</w:t>
            </w:r>
            <w:r w:rsidRPr="00661033">
              <w:rPr>
                <w:rFonts w:ascii="Times New Roman"/>
                <w:sz w:val="20"/>
              </w:rPr>
              <w:t>, May 5, 2017,</w:t>
            </w:r>
            <w:r w:rsidRPr="00661033">
              <w:rPr>
                <w:rFonts w:ascii="Times New Roman"/>
                <w:color w:val="00007F"/>
                <w:spacing w:val="-30"/>
                <w:sz w:val="20"/>
              </w:rPr>
              <w:t xml:space="preserve"> </w:t>
            </w:r>
            <w:hyperlink r:id="rId9">
              <w:r w:rsidRPr="00661033">
                <w:rPr>
                  <w:rFonts w:ascii="Times New Roman"/>
                  <w:color w:val="00007F"/>
                  <w:sz w:val="20"/>
                  <w:u w:val="single" w:color="00007F"/>
                </w:rPr>
                <w:t>https://itp.cdn.icann.org/en/files/generic-names-supporting-</w:t>
              </w:r>
            </w:hyperlink>
            <w:hyperlink r:id="rId10">
              <w:r w:rsidRPr="00661033">
                <w:rPr>
                  <w:rFonts w:ascii="Times New Roman"/>
                  <w:color w:val="00007F"/>
                  <w:sz w:val="20"/>
                  <w:u w:val="single" w:color="00007F"/>
                </w:rPr>
                <w:t xml:space="preserve"> organization-council-gnso-council/report-comments-igo-ingo-crp-access-initial-05may17-en.pdf</w:t>
              </w:r>
            </w:hyperlink>
          </w:p>
          <w:p w14:paraId="5AF42D3B" w14:textId="2D3B6C5B" w:rsidR="00661033" w:rsidRPr="00661033" w:rsidRDefault="00661033" w:rsidP="00661033">
            <w:pPr>
              <w:pStyle w:val="ListParagraph"/>
              <w:widowControl w:val="0"/>
              <w:numPr>
                <w:ilvl w:val="0"/>
                <w:numId w:val="43"/>
              </w:numPr>
              <w:tabs>
                <w:tab w:val="left" w:pos="442"/>
              </w:tabs>
              <w:autoSpaceDE w:val="0"/>
              <w:autoSpaceDN w:val="0"/>
              <w:spacing w:before="92"/>
              <w:ind w:right="1100"/>
              <w:rPr>
                <w:rFonts w:ascii="Times New Roman"/>
                <w:sz w:val="20"/>
              </w:rPr>
            </w:pPr>
            <w:r>
              <w:rPr>
                <w:rFonts w:ascii="Times New Roman"/>
                <w:sz w:val="20"/>
              </w:rPr>
              <w:t>500 WOMEN SCIENTISTS trademark registration, US Registration #6352406,</w:t>
            </w:r>
            <w:r>
              <w:rPr>
                <w:rFonts w:ascii="Times New Roman"/>
                <w:color w:val="00007F"/>
                <w:sz w:val="20"/>
                <w:u w:val="single" w:color="00007F"/>
              </w:rPr>
              <w:t xml:space="preserve"> </w:t>
            </w:r>
            <w:hyperlink r:id="rId11" w:anchor="caseNumber%3D90086485%26caseType%3DSERIAL_NO%26searchType%3DstatusSearch">
              <w:r>
                <w:rPr>
                  <w:rFonts w:ascii="Times New Roman"/>
                  <w:color w:val="00007F"/>
                  <w:spacing w:val="-1"/>
                  <w:sz w:val="20"/>
                  <w:u w:val="single" w:color="00007F"/>
                </w:rPr>
                <w:t>https://tsdr.uspto.gov/#caseNumber=90086485&amp;caseType=SERIAL_NO&amp;searchType=statusSearch</w:t>
              </w:r>
            </w:hyperlink>
          </w:p>
          <w:p w14:paraId="752FE28E" w14:textId="1F2E8753" w:rsidR="00661033" w:rsidRPr="002860E2" w:rsidRDefault="00661033" w:rsidP="000E3F5B">
            <w:pPr>
              <w:pStyle w:val="ColorfulList-Accent11"/>
              <w:ind w:left="0"/>
              <w:rPr>
                <w:rFonts w:asciiTheme="minorHAnsi" w:hAnsiTheme="minorHAnsi"/>
                <w:sz w:val="20"/>
                <w:szCs w:val="20"/>
              </w:rPr>
            </w:pPr>
          </w:p>
        </w:tc>
        <w:tc>
          <w:tcPr>
            <w:tcW w:w="2700" w:type="dxa"/>
          </w:tcPr>
          <w:p w14:paraId="49135340" w14:textId="0D7DCE21" w:rsidR="00072C03" w:rsidRPr="002860E2" w:rsidRDefault="00231214" w:rsidP="005417AB">
            <w:pPr>
              <w:contextualSpacing/>
              <w:rPr>
                <w:rFonts w:asciiTheme="minorHAnsi" w:hAnsiTheme="minorHAnsi"/>
                <w:sz w:val="20"/>
                <w:szCs w:val="20"/>
              </w:rPr>
            </w:pPr>
            <w:r w:rsidRPr="00231214">
              <w:rPr>
                <w:rFonts w:asciiTheme="minorHAnsi" w:hAnsiTheme="minorHAnsi"/>
                <w:sz w:val="20"/>
                <w:szCs w:val="20"/>
              </w:rPr>
              <w:lastRenderedPageBreak/>
              <w:t>Leap of Faith Financial Services Inc.</w:t>
            </w:r>
          </w:p>
        </w:tc>
        <w:tc>
          <w:tcPr>
            <w:tcW w:w="3960" w:type="dxa"/>
          </w:tcPr>
          <w:p w14:paraId="3E0491E8" w14:textId="3C2F9B64"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6B3BB2C" w14:textId="64C5AB80" w:rsidR="006069F7" w:rsidRPr="006069F7" w:rsidRDefault="006069F7" w:rsidP="006069F7">
            <w:pPr>
              <w:pStyle w:val="BodyText"/>
              <w:spacing w:before="41"/>
              <w:ind w:left="1"/>
              <w:rPr>
                <w:rFonts w:asciiTheme="minorHAnsi" w:hAnsiTheme="minorHAnsi" w:cstheme="minorHAnsi"/>
                <w:sz w:val="20"/>
                <w:szCs w:val="20"/>
              </w:rPr>
            </w:pPr>
            <w:r w:rsidRPr="006069F7">
              <w:rPr>
                <w:rFonts w:asciiTheme="minorHAnsi" w:hAnsiTheme="minorHAnsi" w:cstheme="minorHAnsi"/>
                <w:sz w:val="20"/>
                <w:szCs w:val="20"/>
              </w:rPr>
              <w:t>Subject to review and consideration by the expert Phase 2 RPM Working Group, the BC supports Preliminary Recommendation 1, as it is consistent with our previous position in favor of further “assist[</w:t>
            </w:r>
            <w:proofErr w:type="spellStart"/>
            <w:r w:rsidRPr="006069F7">
              <w:rPr>
                <w:rFonts w:asciiTheme="minorHAnsi" w:hAnsiTheme="minorHAnsi" w:cstheme="minorHAnsi"/>
                <w:sz w:val="20"/>
                <w:szCs w:val="20"/>
              </w:rPr>
              <w:t>ing</w:t>
            </w:r>
            <w:proofErr w:type="spellEnd"/>
            <w:r w:rsidRPr="006069F7">
              <w:rPr>
                <w:rFonts w:asciiTheme="minorHAnsi" w:hAnsiTheme="minorHAnsi" w:cstheme="minorHAnsi"/>
                <w:sz w:val="20"/>
                <w:szCs w:val="20"/>
              </w:rPr>
              <w:t>] IGOs in accessing their existing rights under the existing UDRP and URS” and that “IGOs</w:t>
            </w:r>
            <w:r w:rsidRPr="006069F7">
              <w:rPr>
                <w:rFonts w:asciiTheme="minorHAnsi" w:hAnsiTheme="minorHAnsi" w:cstheme="minorHAnsi"/>
                <w:sz w:val="20"/>
                <w:szCs w:val="20"/>
              </w:rPr>
              <w:t xml:space="preserve"> </w:t>
            </w:r>
            <w:r w:rsidRPr="006069F7">
              <w:rPr>
                <w:rFonts w:asciiTheme="minorHAnsi" w:hAnsiTheme="minorHAnsi" w:cstheme="minorHAnsi"/>
                <w:sz w:val="20"/>
                <w:szCs w:val="20"/>
              </w:rPr>
              <w:t>should be able to access the UDRP even without a registered trademark”. The BC therefore supports</w:t>
            </w:r>
            <w:r w:rsidRPr="006069F7">
              <w:rPr>
                <w:rFonts w:asciiTheme="minorHAnsi" w:hAnsiTheme="minorHAnsi" w:cstheme="minorHAnsi"/>
                <w:sz w:val="20"/>
                <w:szCs w:val="20"/>
              </w:rPr>
              <w:t xml:space="preserve"> </w:t>
            </w:r>
            <w:r w:rsidRPr="006069F7">
              <w:rPr>
                <w:rFonts w:asciiTheme="minorHAnsi" w:hAnsiTheme="minorHAnsi" w:cstheme="minorHAnsi"/>
                <w:sz w:val="20"/>
                <w:szCs w:val="20"/>
              </w:rPr>
              <w:t>the proposed inclusion of a definition of “IGO Complainant” and the accompanying proposed</w:t>
            </w:r>
            <w:r w:rsidRPr="006069F7">
              <w:rPr>
                <w:rFonts w:asciiTheme="minorHAnsi" w:hAnsiTheme="minorHAnsi" w:cstheme="minorHAnsi"/>
                <w:sz w:val="20"/>
                <w:szCs w:val="20"/>
              </w:rPr>
              <w:t xml:space="preserve"> </w:t>
            </w:r>
            <w:r w:rsidRPr="006069F7">
              <w:rPr>
                <w:rFonts w:asciiTheme="minorHAnsi" w:hAnsiTheme="minorHAnsi" w:cstheme="minorHAnsi"/>
                <w:sz w:val="20"/>
                <w:szCs w:val="20"/>
              </w:rPr>
              <w:t>explanatory text regarding how an IGO may show rights in a mark.</w:t>
            </w:r>
          </w:p>
          <w:p w14:paraId="372C90BB" w14:textId="798AA2F2" w:rsidR="00072C03" w:rsidRPr="002860E2" w:rsidRDefault="00072C03" w:rsidP="005417AB">
            <w:pPr>
              <w:pStyle w:val="ColorfulList-Accent11"/>
              <w:ind w:left="0"/>
              <w:rPr>
                <w:rFonts w:asciiTheme="minorHAnsi" w:hAnsiTheme="minorHAnsi"/>
                <w:sz w:val="20"/>
                <w:szCs w:val="20"/>
              </w:rPr>
            </w:pPr>
          </w:p>
        </w:tc>
        <w:tc>
          <w:tcPr>
            <w:tcW w:w="2700" w:type="dxa"/>
          </w:tcPr>
          <w:p w14:paraId="43B92B0D" w14:textId="744F2CA6" w:rsidR="00072C03" w:rsidRPr="002860E2" w:rsidRDefault="006069F7" w:rsidP="005417AB">
            <w:pPr>
              <w:contextualSpacing/>
              <w:rPr>
                <w:rFonts w:asciiTheme="minorHAnsi" w:hAnsiTheme="minorHAnsi"/>
                <w:sz w:val="20"/>
                <w:szCs w:val="20"/>
              </w:rPr>
            </w:pPr>
            <w:r w:rsidRPr="006069F7">
              <w:rPr>
                <w:rFonts w:asciiTheme="minorHAnsi" w:hAnsiTheme="minorHAnsi"/>
                <w:sz w:val="20"/>
                <w:szCs w:val="20"/>
              </w:rPr>
              <w:t>ICANN Business Constituency (BC)</w:t>
            </w:r>
          </w:p>
        </w:tc>
        <w:tc>
          <w:tcPr>
            <w:tcW w:w="3960" w:type="dxa"/>
          </w:tcPr>
          <w:p w14:paraId="4E53A64E" w14:textId="2E4CF5A1"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77777777" w:rsidR="00E51086" w:rsidRPr="002860E2" w:rsidRDefault="00E51086"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4C357216" w14:textId="77777777" w:rsidR="006250B7" w:rsidRPr="006250B7" w:rsidRDefault="006250B7" w:rsidP="006250B7">
            <w:pPr>
              <w:pStyle w:val="ColorfulList-Accent11"/>
              <w:ind w:left="0"/>
              <w:rPr>
                <w:rFonts w:asciiTheme="minorHAnsi" w:hAnsiTheme="minorHAnsi"/>
                <w:sz w:val="20"/>
                <w:szCs w:val="20"/>
              </w:rPr>
            </w:pPr>
            <w:r w:rsidRPr="006250B7">
              <w:rPr>
                <w:rFonts w:asciiTheme="minorHAnsi" w:hAnsiTheme="minorHAnsi"/>
                <w:sz w:val="20"/>
                <w:szCs w:val="20"/>
              </w:rPr>
              <w:t>To this end the ALAC supports the following preliminary recommendations:</w:t>
            </w:r>
          </w:p>
          <w:p w14:paraId="39669454" w14:textId="77777777" w:rsidR="006250B7" w:rsidRPr="006250B7" w:rsidRDefault="006250B7" w:rsidP="006250B7">
            <w:pPr>
              <w:pStyle w:val="ColorfulList-Accent11"/>
              <w:rPr>
                <w:rFonts w:asciiTheme="minorHAnsi" w:hAnsiTheme="minorHAnsi"/>
                <w:sz w:val="20"/>
                <w:szCs w:val="20"/>
              </w:rPr>
            </w:pPr>
          </w:p>
          <w:p w14:paraId="5F5F2CD3" w14:textId="2F55284B" w:rsidR="00072C03" w:rsidRPr="002860E2" w:rsidRDefault="006250B7" w:rsidP="006250B7">
            <w:pPr>
              <w:pStyle w:val="ColorfulList-Accent11"/>
              <w:ind w:left="0"/>
              <w:rPr>
                <w:rFonts w:asciiTheme="minorHAnsi" w:hAnsiTheme="minorHAnsi"/>
                <w:sz w:val="20"/>
                <w:szCs w:val="20"/>
              </w:rPr>
            </w:pPr>
            <w:r w:rsidRPr="006250B7">
              <w:rPr>
                <w:rFonts w:asciiTheme="minorHAnsi" w:hAnsiTheme="minorHAnsi"/>
                <w:sz w:val="20"/>
                <w:szCs w:val="20"/>
              </w:rPr>
              <w:t xml:space="preserve">Preliminary Recommendation #1 which seeks to provide clarity and reasonable certainty as to which entities are deemed as IGOs and defines an “IGO Complainant” for purposes of the UDRP and </w:t>
            </w:r>
            <w:proofErr w:type="gramStart"/>
            <w:r w:rsidRPr="006250B7">
              <w:rPr>
                <w:rFonts w:asciiTheme="minorHAnsi" w:hAnsiTheme="minorHAnsi"/>
                <w:sz w:val="20"/>
                <w:szCs w:val="20"/>
              </w:rPr>
              <w:t>URS..</w:t>
            </w:r>
            <w:proofErr w:type="gramEnd"/>
          </w:p>
        </w:tc>
        <w:tc>
          <w:tcPr>
            <w:tcW w:w="2700" w:type="dxa"/>
          </w:tcPr>
          <w:p w14:paraId="61477EC1" w14:textId="22AD3796" w:rsidR="00072C03" w:rsidRPr="002860E2" w:rsidRDefault="006250B7" w:rsidP="005417AB">
            <w:pPr>
              <w:contextualSpacing/>
              <w:rPr>
                <w:rFonts w:asciiTheme="minorHAnsi" w:hAnsiTheme="minorHAnsi"/>
                <w:sz w:val="20"/>
                <w:szCs w:val="20"/>
              </w:rPr>
            </w:pPr>
            <w:r>
              <w:rPr>
                <w:rFonts w:asciiTheme="minorHAnsi" w:hAnsiTheme="minorHAnsi"/>
                <w:sz w:val="20"/>
                <w:szCs w:val="20"/>
              </w:rPr>
              <w:t>ALAC</w:t>
            </w:r>
          </w:p>
        </w:tc>
        <w:tc>
          <w:tcPr>
            <w:tcW w:w="3960" w:type="dxa"/>
          </w:tcPr>
          <w:p w14:paraId="42A47BC3" w14:textId="54E93C44"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C2963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77777777" w:rsidR="00E51086" w:rsidRPr="002860E2" w:rsidRDefault="00E51086" w:rsidP="00E51086">
            <w:pPr>
              <w:contextualSpacing/>
              <w:rPr>
                <w:rFonts w:asciiTheme="minorHAnsi" w:hAnsiTheme="minorHAnsi"/>
                <w:sz w:val="20"/>
                <w:szCs w:val="20"/>
              </w:rPr>
            </w:pPr>
          </w:p>
          <w:p w14:paraId="2072628E"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A260813" w14:textId="77777777" w:rsidR="00072C03" w:rsidRPr="002860E2" w:rsidRDefault="00072C03" w:rsidP="005417AB">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147CAE9"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 xml:space="preserve">The IPC supports these proposed changes.  </w:t>
            </w:r>
          </w:p>
          <w:p w14:paraId="3A3FFDA6" w14:textId="77777777" w:rsidR="00827941" w:rsidRPr="00827941" w:rsidRDefault="00827941" w:rsidP="00827941">
            <w:pPr>
              <w:pStyle w:val="ColorfulList-Accent11"/>
              <w:ind w:left="1"/>
              <w:rPr>
                <w:rFonts w:asciiTheme="minorHAnsi" w:hAnsiTheme="minorHAnsi"/>
                <w:sz w:val="20"/>
                <w:szCs w:val="20"/>
              </w:rPr>
            </w:pPr>
          </w:p>
          <w:p w14:paraId="43F29B34"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 xml:space="preserve">Consider modifying “…having received a standing invitation to participate…” to “…having received, accepted, and is actively engaging in, a standing invitation to participate…”  </w:t>
            </w:r>
          </w:p>
          <w:p w14:paraId="4D38ED49" w14:textId="77777777" w:rsidR="00827941" w:rsidRPr="00827941" w:rsidRDefault="00827941" w:rsidP="00827941">
            <w:pPr>
              <w:pStyle w:val="ColorfulList-Accent11"/>
              <w:ind w:left="1"/>
              <w:rPr>
                <w:rFonts w:asciiTheme="minorHAnsi" w:hAnsiTheme="minorHAnsi"/>
                <w:sz w:val="20"/>
                <w:szCs w:val="20"/>
              </w:rPr>
            </w:pPr>
          </w:p>
          <w:p w14:paraId="1BF3E9BB"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 xml:space="preserve">Consider adding “Such use shall not be a token use” at the end of the final sentence, such that the revised sentence reads ““Where the Complainant is an IGO Complainant, it may show rights in a mark by demonstrating that the identifier which forms the basis for the complaint is used the IGO Complainant to conduct public activities in accordance with its stated mission (as may be reflected in its treaty, charter, or governing document).  Such use shall not be a token use.” </w:t>
            </w:r>
          </w:p>
          <w:p w14:paraId="775A6719" w14:textId="77777777" w:rsidR="00827941" w:rsidRPr="00827941" w:rsidRDefault="00827941" w:rsidP="00827941">
            <w:pPr>
              <w:pStyle w:val="ColorfulList-Accent11"/>
              <w:ind w:left="1"/>
              <w:rPr>
                <w:rFonts w:asciiTheme="minorHAnsi" w:hAnsiTheme="minorHAnsi"/>
                <w:sz w:val="20"/>
                <w:szCs w:val="20"/>
              </w:rPr>
            </w:pPr>
          </w:p>
          <w:p w14:paraId="623224D0"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Consider specifying for the sake of clarity how this Recommendation #1 relates to the original Recommendation #2 from the IGO-INGO Access to Curative Rights Protections PDP (“Old 2”).  From the Deliberations section it appears that the intent is to supplement Old 2 but from the Recommendation alone this may be misunderstood.</w:t>
            </w:r>
          </w:p>
          <w:p w14:paraId="38BB2DC8" w14:textId="77777777" w:rsidR="00827941" w:rsidRPr="00827941" w:rsidRDefault="00827941" w:rsidP="00827941">
            <w:pPr>
              <w:pStyle w:val="ColorfulList-Accent11"/>
              <w:rPr>
                <w:rFonts w:asciiTheme="minorHAnsi" w:hAnsiTheme="minorHAnsi"/>
                <w:sz w:val="20"/>
                <w:szCs w:val="20"/>
              </w:rPr>
            </w:pPr>
          </w:p>
          <w:p w14:paraId="004AB58F" w14:textId="7FD832E9" w:rsidR="000E3F5B" w:rsidRPr="002860E2" w:rsidRDefault="00827941" w:rsidP="00827941">
            <w:pPr>
              <w:pStyle w:val="ColorfulList-Accent11"/>
              <w:ind w:left="0"/>
              <w:rPr>
                <w:rFonts w:asciiTheme="minorHAnsi" w:hAnsiTheme="minorHAnsi"/>
                <w:sz w:val="20"/>
                <w:szCs w:val="20"/>
              </w:rPr>
            </w:pPr>
            <w:r w:rsidRPr="00827941">
              <w:rPr>
                <w:rFonts w:asciiTheme="minorHAnsi" w:hAnsiTheme="minorHAnsi"/>
                <w:sz w:val="20"/>
                <w:szCs w:val="20"/>
              </w:rPr>
              <w:t>Implementation Suggestion:  in order to ensure that the IGO's identification is applied consistently throughout policy development across the organization, we recommend that those keeping the IGO Identifier List use the identical system we set forth in this Recommendation going forward.</w:t>
            </w:r>
          </w:p>
        </w:tc>
        <w:tc>
          <w:tcPr>
            <w:tcW w:w="2700" w:type="dxa"/>
          </w:tcPr>
          <w:p w14:paraId="4D23D9E2" w14:textId="75FF786C" w:rsidR="000E3F5B" w:rsidRPr="002860E2" w:rsidRDefault="00827941" w:rsidP="000E3F5B">
            <w:pPr>
              <w:contextualSpacing/>
              <w:rPr>
                <w:rFonts w:asciiTheme="minorHAnsi" w:hAnsiTheme="minorHAnsi"/>
                <w:sz w:val="20"/>
                <w:szCs w:val="20"/>
              </w:rPr>
            </w:pPr>
            <w:r>
              <w:rPr>
                <w:rFonts w:asciiTheme="minorHAnsi" w:hAnsiTheme="minorHAnsi"/>
                <w:sz w:val="20"/>
                <w:szCs w:val="20"/>
              </w:rPr>
              <w:t>IPC</w:t>
            </w:r>
          </w:p>
        </w:tc>
        <w:tc>
          <w:tcPr>
            <w:tcW w:w="3960" w:type="dxa"/>
          </w:tcPr>
          <w:p w14:paraId="01DAE66A" w14:textId="40DC8109"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w:t>
            </w:r>
            <w:proofErr w:type="gramEnd"/>
            <w:r w:rsidRPr="002860E2">
              <w:rPr>
                <w:rFonts w:asciiTheme="minorHAnsi" w:eastAsia="Times New Roman" w:hAnsiTheme="minorHAnsi"/>
                <w:color w:val="000000"/>
                <w:sz w:val="20"/>
                <w:szCs w:val="20"/>
                <w:highlight w:val="cyan"/>
                <w:shd w:val="clear" w:color="auto" w:fill="FF9900"/>
              </w:rPr>
              <w:t xml:space="preserve"> Idea</w:t>
            </w:r>
            <w:r w:rsidRPr="002860E2">
              <w:rPr>
                <w:rFonts w:asciiTheme="minorHAnsi" w:eastAsia="Times New Roman" w:hAnsiTheme="minorHAnsi"/>
                <w:color w:val="000000"/>
                <w:sz w:val="20"/>
                <w:szCs w:val="20"/>
              </w:rPr>
              <w:t> </w:t>
            </w:r>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C0EFB5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96EA018" w14:textId="77777777" w:rsidR="00E51086" w:rsidRPr="002860E2" w:rsidRDefault="00E51086" w:rsidP="00E51086">
            <w:pPr>
              <w:contextualSpacing/>
              <w:rPr>
                <w:rFonts w:asciiTheme="minorHAnsi" w:hAnsiTheme="minorHAnsi"/>
                <w:sz w:val="20"/>
                <w:szCs w:val="20"/>
              </w:rPr>
            </w:pPr>
          </w:p>
          <w:p w14:paraId="2400A1B2"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36A900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12"/>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C371A" w14:textId="77777777" w:rsidR="00291DFA" w:rsidRDefault="00291DFA" w:rsidP="00E3563F">
      <w:r>
        <w:separator/>
      </w:r>
    </w:p>
  </w:endnote>
  <w:endnote w:type="continuationSeparator" w:id="0">
    <w:p w14:paraId="115CDA0E" w14:textId="77777777" w:rsidR="00291DFA" w:rsidRDefault="00291DFA"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FC995" w14:textId="77777777" w:rsidR="00291DFA" w:rsidRDefault="00291DFA" w:rsidP="00E3563F">
      <w:r>
        <w:separator/>
      </w:r>
    </w:p>
  </w:footnote>
  <w:footnote w:type="continuationSeparator" w:id="0">
    <w:p w14:paraId="3D43BAEB" w14:textId="77777777" w:rsidR="00291DFA" w:rsidRDefault="00291DFA"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914D6A"/>
    <w:multiLevelType w:val="hybridMultilevel"/>
    <w:tmpl w:val="3914160E"/>
    <w:lvl w:ilvl="0" w:tplc="627C8AF6">
      <w:start w:val="1"/>
      <w:numFmt w:val="decimal"/>
      <w:lvlText w:val="%1"/>
      <w:lvlJc w:val="left"/>
      <w:pPr>
        <w:ind w:left="442" w:hanging="340"/>
        <w:jc w:val="left"/>
      </w:pPr>
      <w:rPr>
        <w:rFonts w:ascii="Times New Roman" w:eastAsia="Times New Roman" w:hAnsi="Times New Roman" w:cs="Times New Roman" w:hint="default"/>
        <w:spacing w:val="-23"/>
        <w:w w:val="100"/>
        <w:sz w:val="20"/>
        <w:szCs w:val="20"/>
        <w:lang w:val="en-CA" w:eastAsia="en-CA" w:bidi="en-CA"/>
      </w:rPr>
    </w:lvl>
    <w:lvl w:ilvl="1" w:tplc="7E447C0A">
      <w:numFmt w:val="bullet"/>
      <w:lvlText w:val="•"/>
      <w:lvlJc w:val="left"/>
      <w:pPr>
        <w:ind w:left="822" w:hanging="360"/>
      </w:pPr>
      <w:rPr>
        <w:rFonts w:ascii="Arial" w:eastAsia="Arial" w:hAnsi="Arial" w:cs="Arial" w:hint="default"/>
        <w:w w:val="101"/>
        <w:sz w:val="18"/>
        <w:szCs w:val="18"/>
        <w:lang w:val="en-CA" w:eastAsia="en-CA" w:bidi="en-CA"/>
      </w:rPr>
    </w:lvl>
    <w:lvl w:ilvl="2" w:tplc="0EEA802C">
      <w:numFmt w:val="bullet"/>
      <w:lvlText w:val="•"/>
      <w:lvlJc w:val="left"/>
      <w:pPr>
        <w:ind w:left="1254" w:hanging="360"/>
      </w:pPr>
      <w:rPr>
        <w:rFonts w:hint="default"/>
        <w:lang w:val="en-CA" w:eastAsia="en-CA" w:bidi="en-CA"/>
      </w:rPr>
    </w:lvl>
    <w:lvl w:ilvl="3" w:tplc="BE927876">
      <w:numFmt w:val="bullet"/>
      <w:lvlText w:val="•"/>
      <w:lvlJc w:val="left"/>
      <w:pPr>
        <w:ind w:left="1689" w:hanging="360"/>
      </w:pPr>
      <w:rPr>
        <w:rFonts w:hint="default"/>
        <w:lang w:val="en-CA" w:eastAsia="en-CA" w:bidi="en-CA"/>
      </w:rPr>
    </w:lvl>
    <w:lvl w:ilvl="4" w:tplc="D7545E34">
      <w:numFmt w:val="bullet"/>
      <w:lvlText w:val="•"/>
      <w:lvlJc w:val="left"/>
      <w:pPr>
        <w:ind w:left="2124" w:hanging="360"/>
      </w:pPr>
      <w:rPr>
        <w:rFonts w:hint="default"/>
        <w:lang w:val="en-CA" w:eastAsia="en-CA" w:bidi="en-CA"/>
      </w:rPr>
    </w:lvl>
    <w:lvl w:ilvl="5" w:tplc="8D465092">
      <w:numFmt w:val="bullet"/>
      <w:lvlText w:val="•"/>
      <w:lvlJc w:val="left"/>
      <w:pPr>
        <w:ind w:left="2559" w:hanging="360"/>
      </w:pPr>
      <w:rPr>
        <w:rFonts w:hint="default"/>
        <w:lang w:val="en-CA" w:eastAsia="en-CA" w:bidi="en-CA"/>
      </w:rPr>
    </w:lvl>
    <w:lvl w:ilvl="6" w:tplc="579A20B4">
      <w:numFmt w:val="bullet"/>
      <w:lvlText w:val="•"/>
      <w:lvlJc w:val="left"/>
      <w:pPr>
        <w:ind w:left="2994" w:hanging="360"/>
      </w:pPr>
      <w:rPr>
        <w:rFonts w:hint="default"/>
        <w:lang w:val="en-CA" w:eastAsia="en-CA" w:bidi="en-CA"/>
      </w:rPr>
    </w:lvl>
    <w:lvl w:ilvl="7" w:tplc="030AD68C">
      <w:numFmt w:val="bullet"/>
      <w:lvlText w:val="•"/>
      <w:lvlJc w:val="left"/>
      <w:pPr>
        <w:ind w:left="3429" w:hanging="360"/>
      </w:pPr>
      <w:rPr>
        <w:rFonts w:hint="default"/>
        <w:lang w:val="en-CA" w:eastAsia="en-CA" w:bidi="en-CA"/>
      </w:rPr>
    </w:lvl>
    <w:lvl w:ilvl="8" w:tplc="77207BFC">
      <w:numFmt w:val="bullet"/>
      <w:lvlText w:val="•"/>
      <w:lvlJc w:val="left"/>
      <w:pPr>
        <w:ind w:left="3864" w:hanging="360"/>
      </w:pPr>
      <w:rPr>
        <w:rFonts w:hint="default"/>
        <w:lang w:val="en-CA" w:eastAsia="en-CA" w:bidi="en-CA"/>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03759E"/>
    <w:multiLevelType w:val="hybridMultilevel"/>
    <w:tmpl w:val="183888A6"/>
    <w:lvl w:ilvl="0" w:tplc="7280253E">
      <w:start w:val="13"/>
      <w:numFmt w:val="decimal"/>
      <w:lvlText w:val="%1"/>
      <w:lvlJc w:val="left"/>
      <w:pPr>
        <w:ind w:left="462" w:hanging="360"/>
      </w:pPr>
      <w:rPr>
        <w:rFonts w:hint="default"/>
        <w:u w:val="single"/>
      </w:rPr>
    </w:lvl>
    <w:lvl w:ilvl="1" w:tplc="04090019">
      <w:start w:val="1"/>
      <w:numFmt w:val="lowerLetter"/>
      <w:lvlText w:val="%2."/>
      <w:lvlJc w:val="left"/>
      <w:pPr>
        <w:ind w:left="1182" w:hanging="360"/>
      </w:pPr>
    </w:lvl>
    <w:lvl w:ilvl="2" w:tplc="0409001B">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ED369E"/>
    <w:multiLevelType w:val="multilevel"/>
    <w:tmpl w:val="2D906030"/>
    <w:lvl w:ilvl="0">
      <w:start w:val="1"/>
      <w:numFmt w:val="decimal"/>
      <w:lvlText w:val="%1"/>
      <w:lvlJc w:val="left"/>
      <w:pPr>
        <w:ind w:left="1030" w:hanging="360"/>
        <w:jc w:val="left"/>
      </w:pPr>
      <w:rPr>
        <w:rFonts w:hint="default"/>
        <w:lang w:val="en-CA" w:eastAsia="en-CA" w:bidi="en-CA"/>
      </w:rPr>
    </w:lvl>
    <w:lvl w:ilvl="1">
      <w:start w:val="2"/>
      <w:numFmt w:val="decimal"/>
      <w:lvlText w:val="%1.%2"/>
      <w:lvlJc w:val="left"/>
      <w:pPr>
        <w:ind w:left="1030" w:hanging="360"/>
        <w:jc w:val="left"/>
      </w:pPr>
      <w:rPr>
        <w:rFonts w:ascii="Times New Roman" w:eastAsia="Times New Roman" w:hAnsi="Times New Roman" w:cs="Times New Roman" w:hint="default"/>
        <w:spacing w:val="-10"/>
        <w:w w:val="100"/>
        <w:sz w:val="24"/>
        <w:szCs w:val="24"/>
        <w:lang w:val="en-CA" w:eastAsia="en-CA" w:bidi="en-CA"/>
      </w:rPr>
    </w:lvl>
    <w:lvl w:ilvl="2">
      <w:start w:val="1"/>
      <w:numFmt w:val="decimal"/>
      <w:lvlText w:val="%1.%2.%3"/>
      <w:lvlJc w:val="left"/>
      <w:pPr>
        <w:ind w:left="670" w:hanging="536"/>
        <w:jc w:val="left"/>
      </w:pPr>
      <w:rPr>
        <w:rFonts w:ascii="Times New Roman" w:eastAsia="Times New Roman" w:hAnsi="Times New Roman" w:cs="Times New Roman" w:hint="default"/>
        <w:w w:val="100"/>
        <w:sz w:val="24"/>
        <w:szCs w:val="24"/>
        <w:lang w:val="en-CA" w:eastAsia="en-CA" w:bidi="en-CA"/>
      </w:rPr>
    </w:lvl>
    <w:lvl w:ilvl="3">
      <w:numFmt w:val="bullet"/>
      <w:lvlText w:val="•"/>
      <w:lvlJc w:val="left"/>
      <w:pPr>
        <w:ind w:left="2917" w:hanging="536"/>
      </w:pPr>
      <w:rPr>
        <w:rFonts w:hint="default"/>
        <w:lang w:val="en-CA" w:eastAsia="en-CA" w:bidi="en-CA"/>
      </w:rPr>
    </w:lvl>
    <w:lvl w:ilvl="4">
      <w:numFmt w:val="bullet"/>
      <w:lvlText w:val="•"/>
      <w:lvlJc w:val="left"/>
      <w:pPr>
        <w:ind w:left="3866" w:hanging="536"/>
      </w:pPr>
      <w:rPr>
        <w:rFonts w:hint="default"/>
        <w:lang w:val="en-CA" w:eastAsia="en-CA" w:bidi="en-CA"/>
      </w:rPr>
    </w:lvl>
    <w:lvl w:ilvl="5">
      <w:numFmt w:val="bullet"/>
      <w:lvlText w:val="•"/>
      <w:lvlJc w:val="left"/>
      <w:pPr>
        <w:ind w:left="4815" w:hanging="536"/>
      </w:pPr>
      <w:rPr>
        <w:rFonts w:hint="default"/>
        <w:lang w:val="en-CA" w:eastAsia="en-CA" w:bidi="en-CA"/>
      </w:rPr>
    </w:lvl>
    <w:lvl w:ilvl="6">
      <w:numFmt w:val="bullet"/>
      <w:lvlText w:val="•"/>
      <w:lvlJc w:val="left"/>
      <w:pPr>
        <w:ind w:left="5764" w:hanging="536"/>
      </w:pPr>
      <w:rPr>
        <w:rFonts w:hint="default"/>
        <w:lang w:val="en-CA" w:eastAsia="en-CA" w:bidi="en-CA"/>
      </w:rPr>
    </w:lvl>
    <w:lvl w:ilvl="7">
      <w:numFmt w:val="bullet"/>
      <w:lvlText w:val="•"/>
      <w:lvlJc w:val="left"/>
      <w:pPr>
        <w:ind w:left="6713" w:hanging="536"/>
      </w:pPr>
      <w:rPr>
        <w:rFonts w:hint="default"/>
        <w:lang w:val="en-CA" w:eastAsia="en-CA" w:bidi="en-CA"/>
      </w:rPr>
    </w:lvl>
    <w:lvl w:ilvl="8">
      <w:numFmt w:val="bullet"/>
      <w:lvlText w:val="•"/>
      <w:lvlJc w:val="left"/>
      <w:pPr>
        <w:ind w:left="7662" w:hanging="536"/>
      </w:pPr>
      <w:rPr>
        <w:rFonts w:hint="default"/>
        <w:lang w:val="en-CA" w:eastAsia="en-CA" w:bidi="en-CA"/>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8"/>
  </w:num>
  <w:num w:numId="4">
    <w:abstractNumId w:val="31"/>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3"/>
  </w:num>
  <w:num w:numId="9">
    <w:abstractNumId w:val="32"/>
  </w:num>
  <w:num w:numId="10">
    <w:abstractNumId w:val="9"/>
  </w:num>
  <w:num w:numId="11">
    <w:abstractNumId w:val="35"/>
  </w:num>
  <w:num w:numId="12">
    <w:abstractNumId w:val="26"/>
  </w:num>
  <w:num w:numId="13">
    <w:abstractNumId w:val="5"/>
  </w:num>
  <w:num w:numId="14">
    <w:abstractNumId w:val="17"/>
  </w:num>
  <w:num w:numId="15">
    <w:abstractNumId w:val="41"/>
  </w:num>
  <w:num w:numId="16">
    <w:abstractNumId w:val="36"/>
  </w:num>
  <w:num w:numId="17">
    <w:abstractNumId w:val="7"/>
  </w:num>
  <w:num w:numId="18">
    <w:abstractNumId w:val="22"/>
  </w:num>
  <w:num w:numId="19">
    <w:abstractNumId w:val="38"/>
  </w:num>
  <w:num w:numId="20">
    <w:abstractNumId w:val="2"/>
  </w:num>
  <w:num w:numId="21">
    <w:abstractNumId w:val="40"/>
  </w:num>
  <w:num w:numId="22">
    <w:abstractNumId w:val="3"/>
  </w:num>
  <w:num w:numId="23">
    <w:abstractNumId w:val="37"/>
  </w:num>
  <w:num w:numId="24">
    <w:abstractNumId w:val="20"/>
  </w:num>
  <w:num w:numId="25">
    <w:abstractNumId w:val="24"/>
  </w:num>
  <w:num w:numId="26">
    <w:abstractNumId w:val="13"/>
  </w:num>
  <w:num w:numId="27">
    <w:abstractNumId w:val="33"/>
  </w:num>
  <w:num w:numId="28">
    <w:abstractNumId w:val="30"/>
  </w:num>
  <w:num w:numId="29">
    <w:abstractNumId w:val="12"/>
  </w:num>
  <w:num w:numId="30">
    <w:abstractNumId w:val="15"/>
  </w:num>
  <w:num w:numId="31">
    <w:abstractNumId w:val="34"/>
  </w:num>
  <w:num w:numId="32">
    <w:abstractNumId w:val="18"/>
  </w:num>
  <w:num w:numId="33">
    <w:abstractNumId w:val="25"/>
  </w:num>
  <w:num w:numId="34">
    <w:abstractNumId w:val="14"/>
  </w:num>
  <w:num w:numId="35">
    <w:abstractNumId w:val="39"/>
  </w:num>
  <w:num w:numId="36">
    <w:abstractNumId w:val="8"/>
  </w:num>
  <w:num w:numId="37">
    <w:abstractNumId w:val="21"/>
  </w:num>
  <w:num w:numId="38">
    <w:abstractNumId w:val="29"/>
  </w:num>
  <w:num w:numId="39">
    <w:abstractNumId w:val="1"/>
  </w:num>
  <w:num w:numId="40">
    <w:abstractNumId w:val="16"/>
  </w:num>
  <w:num w:numId="41">
    <w:abstractNumId w:val="27"/>
  </w:num>
  <w:num w:numId="42">
    <w:abstractNumId w:val="1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4108"/>
    <w:rsid w:val="001556A8"/>
    <w:rsid w:val="00156DE5"/>
    <w:rsid w:val="00160157"/>
    <w:rsid w:val="00161E5B"/>
    <w:rsid w:val="00163F0A"/>
    <w:rsid w:val="0016792B"/>
    <w:rsid w:val="0017295E"/>
    <w:rsid w:val="00172D14"/>
    <w:rsid w:val="001735E3"/>
    <w:rsid w:val="00174146"/>
    <w:rsid w:val="00175AB9"/>
    <w:rsid w:val="00180D28"/>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1214"/>
    <w:rsid w:val="00234801"/>
    <w:rsid w:val="00235D20"/>
    <w:rsid w:val="00237EF6"/>
    <w:rsid w:val="00242CD1"/>
    <w:rsid w:val="002449DE"/>
    <w:rsid w:val="002470E5"/>
    <w:rsid w:val="0025124B"/>
    <w:rsid w:val="00256329"/>
    <w:rsid w:val="002657F2"/>
    <w:rsid w:val="00274F8B"/>
    <w:rsid w:val="002837B8"/>
    <w:rsid w:val="002860E2"/>
    <w:rsid w:val="00291DFA"/>
    <w:rsid w:val="002A242E"/>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114"/>
    <w:rsid w:val="004B4C8A"/>
    <w:rsid w:val="004C758A"/>
    <w:rsid w:val="004D0107"/>
    <w:rsid w:val="004D1348"/>
    <w:rsid w:val="004D549B"/>
    <w:rsid w:val="004E5687"/>
    <w:rsid w:val="004F47AB"/>
    <w:rsid w:val="00501BDF"/>
    <w:rsid w:val="00504173"/>
    <w:rsid w:val="00521AD0"/>
    <w:rsid w:val="0052462D"/>
    <w:rsid w:val="00526F52"/>
    <w:rsid w:val="005271C6"/>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3571"/>
    <w:rsid w:val="006069F7"/>
    <w:rsid w:val="00607529"/>
    <w:rsid w:val="00617663"/>
    <w:rsid w:val="00617E10"/>
    <w:rsid w:val="006250B7"/>
    <w:rsid w:val="006306A3"/>
    <w:rsid w:val="00631DAA"/>
    <w:rsid w:val="00633B2E"/>
    <w:rsid w:val="0064678E"/>
    <w:rsid w:val="00646ECA"/>
    <w:rsid w:val="006515E0"/>
    <w:rsid w:val="006605C9"/>
    <w:rsid w:val="00661033"/>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0AE9"/>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4FEA"/>
    <w:rsid w:val="00827941"/>
    <w:rsid w:val="00827C0B"/>
    <w:rsid w:val="00830049"/>
    <w:rsid w:val="0083576F"/>
    <w:rsid w:val="0083774F"/>
    <w:rsid w:val="00841FB2"/>
    <w:rsid w:val="00851F3A"/>
    <w:rsid w:val="008622EB"/>
    <w:rsid w:val="00864622"/>
    <w:rsid w:val="00871292"/>
    <w:rsid w:val="008A039F"/>
    <w:rsid w:val="008B6E4E"/>
    <w:rsid w:val="008B7535"/>
    <w:rsid w:val="008C34A2"/>
    <w:rsid w:val="008C5B2F"/>
    <w:rsid w:val="008D71E5"/>
    <w:rsid w:val="008D7EE5"/>
    <w:rsid w:val="008E6562"/>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422C"/>
    <w:rsid w:val="00A075ED"/>
    <w:rsid w:val="00A1507F"/>
    <w:rsid w:val="00A27BB0"/>
    <w:rsid w:val="00A3656B"/>
    <w:rsid w:val="00A36B8F"/>
    <w:rsid w:val="00A443A1"/>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78F9"/>
    <w:rsid w:val="00C7129E"/>
    <w:rsid w:val="00C72B04"/>
    <w:rsid w:val="00C82A67"/>
    <w:rsid w:val="00C851AF"/>
    <w:rsid w:val="00CB5228"/>
    <w:rsid w:val="00CB7558"/>
    <w:rsid w:val="00CE1206"/>
    <w:rsid w:val="00CE5D4C"/>
    <w:rsid w:val="00CF764A"/>
    <w:rsid w:val="00D0061C"/>
    <w:rsid w:val="00D0168C"/>
    <w:rsid w:val="00D045AC"/>
    <w:rsid w:val="00D0777E"/>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086"/>
    <w:rsid w:val="00E517C0"/>
    <w:rsid w:val="00E527FF"/>
    <w:rsid w:val="00E529E0"/>
    <w:rsid w:val="00E7083F"/>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1FDA"/>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1"/>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paragraph" w:styleId="BodyText">
    <w:name w:val="Body Text"/>
    <w:basedOn w:val="Normal"/>
    <w:link w:val="BodyTextChar"/>
    <w:uiPriority w:val="1"/>
    <w:qFormat/>
    <w:rsid w:val="00231214"/>
    <w:pPr>
      <w:widowControl w:val="0"/>
      <w:autoSpaceDE w:val="0"/>
      <w:autoSpaceDN w:val="0"/>
    </w:pPr>
    <w:rPr>
      <w:rFonts w:ascii="Verdana" w:eastAsia="Verdana" w:hAnsi="Verdana" w:cs="Verdana"/>
      <w:lang w:val="en-CA" w:eastAsia="en-CA" w:bidi="en-CA"/>
    </w:rPr>
  </w:style>
  <w:style w:type="character" w:customStyle="1" w:styleId="BodyTextChar">
    <w:name w:val="Body Text Char"/>
    <w:basedOn w:val="DefaultParagraphFont"/>
    <w:link w:val="BodyText"/>
    <w:uiPriority w:val="1"/>
    <w:rsid w:val="00231214"/>
    <w:rPr>
      <w:rFonts w:ascii="Verdana" w:eastAsia="Verdana" w:hAnsi="Verdana" w:cs="Verdana"/>
      <w:sz w:val="24"/>
      <w:szCs w:val="24"/>
      <w:lang w:val="en-CA" w:eastAsia="en-CA" w:bidi="en-CA"/>
    </w:rPr>
  </w:style>
  <w:style w:type="character" w:styleId="UnresolvedMention">
    <w:name w:val="Unresolved Mention"/>
    <w:basedOn w:val="DefaultParagraphFont"/>
    <w:uiPriority w:val="99"/>
    <w:semiHidden/>
    <w:unhideWhenUsed/>
    <w:rsid w:val="00661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po.int/amc/en/domains/search/overview3.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sdr.uspto.gov/" TargetMode="External"/><Relationship Id="rId5" Type="http://schemas.openxmlformats.org/officeDocument/2006/relationships/webSettings" Target="webSettings.xml"/><Relationship Id="rId10" Type="http://schemas.openxmlformats.org/officeDocument/2006/relationships/hyperlink" Target="https://itp.cdn.icann.org/en/files/generic-names-supporting-organization-council-gnso-council/report-comments-igo-ingo-crp-access-initial-05may17-en.pdf" TargetMode="External"/><Relationship Id="rId4" Type="http://schemas.openxmlformats.org/officeDocument/2006/relationships/settings" Target="settings.xml"/><Relationship Id="rId9" Type="http://schemas.openxmlformats.org/officeDocument/2006/relationships/hyperlink" Target="https://itp.cdn.icann.org/en/files/generic-names-supporting-organization-council-gnso-council/report-comments-igo-ingo-crp-access-initial-05may17-en.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7</Pages>
  <Words>2130</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2021-10-27T20:55:00Z</dcterms:created>
  <dcterms:modified xsi:type="dcterms:W3CDTF">2021-10-27T20:55:00Z</dcterms:modified>
</cp:coreProperties>
</file>