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Consistent definition and technical utilization of RZ-LGR</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9">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A">
      <w:pPr>
        <w:spacing w:line="240" w:lineRule="auto"/>
        <w:ind w:left="0" w:firstLine="0"/>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In SAC60, the SSAC recommends that: “The root zone must use one and only one set of rules for the Root LGR procedure.” (SAC060 Recommendation 1) The recommendation applies to all future TLDs (gTLDs and ccTLDs) as well as for existing delegated TLD labels.</w:t>
      </w:r>
      <w:r w:rsidDel="00000000" w:rsidR="00000000" w:rsidRPr="00000000">
        <w:rPr>
          <w:rtl w:val="0"/>
        </w:rPr>
      </w:r>
    </w:p>
    <w:p w:rsidR="00000000" w:rsidDel="00000000" w:rsidP="00000000" w:rsidRDefault="00000000" w:rsidRPr="00000000" w14:paraId="0000000B">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 </w:t>
      </w:r>
      <w:r w:rsidDel="00000000" w:rsidR="00000000" w:rsidRPr="00000000">
        <w:rPr>
          <w:rFonts w:ascii="Calibri" w:cs="Calibri" w:eastAsia="Calibri" w:hAnsi="Calibri"/>
          <w:color w:val="ff9900"/>
          <w:sz w:val="24"/>
          <w:szCs w:val="24"/>
          <w:rtl w:val="0"/>
        </w:rPr>
        <w:t xml:space="preserve">ccPDP4 VM Subgroup Recommendation: Definition of Variants. Compliance with Root Zone Label Generation Rules (RZ-LGR, RZ-LGR-2, and any future RZ-LGR rules sets) MUST be required for the generation of IDNccTLDs and variants labels, including the determination of whether the label is blocked or allocatable. IDN TLDs must comply with IDNA2008 (RFCs 5890-5895) or its successor(s). </w:t>
      </w:r>
      <w:r w:rsidDel="00000000" w:rsidR="00000000" w:rsidRPr="00000000">
        <w:rPr>
          <w:rtl w:val="0"/>
        </w:rPr>
      </w:r>
    </w:p>
    <w:p w:rsidR="00000000" w:rsidDel="00000000" w:rsidP="00000000" w:rsidRDefault="00000000" w:rsidRPr="00000000" w14:paraId="0000000D">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F">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0">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1">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RySG has no concerns in using the RZ-LGR as the authoritative source to calculate variants of existing gTLDs.</w:t>
      </w:r>
    </w:p>
    <w:p w:rsidR="00000000" w:rsidDel="00000000" w:rsidP="00000000" w:rsidRDefault="00000000" w:rsidRPr="00000000" w14:paraId="00000012">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Update on data collection -- this exercise is to use the latest version of the RZ-LGR to determine the variant labels of delegated and to-be delegated gTLDs in the 2012 New gTLD Round and determine whether the list of calculated variants match those that were identified by the applicant.</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no significant difference between the variants calculated by the RZ-LGR and those self-identified variants from the 2012 round.</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are two cases where there is a difference  -- one likely related to an alternative spelling and the other potentially a typo.</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scenario where an applicant applied for an ASCII gTLD and would like to apply for a self-identified “variant” (e.g., .Quebec and .Québec). This might be an opportunity for .Quebec to submit a public comment on the Initial Report if they want that specific use case to be taken into account, but the EPDP Team agreed that RZ-LGR should be the only authoritative source for defining variants, and alternative spellings should therefore not be considered variants. </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Based on the data collected, the EPDP Team agreed that if the RZ-LGR is decided to be the sole source for calculating variant labels and disposition values for existing gTLDs, it would not have a major impact on existing gTLD operators. </w:t>
      </w:r>
    </w:p>
    <w:p w:rsidR="00000000" w:rsidDel="00000000" w:rsidP="00000000" w:rsidRDefault="00000000" w:rsidRPr="00000000" w14:paraId="00000017">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RZ-LGR is used to calculate variants for existing gTLDs going forward, some of the self-identified variants, which conform to RZ-LGR, would be blocked. But this would not impact the EPDP Team’s agreement above.  </w:t>
      </w:r>
    </w:p>
    <w:p w:rsidR="00000000" w:rsidDel="00000000" w:rsidP="00000000" w:rsidRDefault="00000000" w:rsidRPr="00000000" w14:paraId="00000018">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A">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B">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C">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An analysis of the delegated variant labels in ccTLDs against the most current version of LGR would answer whether this is a hypothetical question or not. If such a case did happen, the policy would need to balance (1) the user experience of existing users with variant domains, (2) the stability of rules applying to the root zone.  It would seem the likely course of action is for applicants to make an appeal to the generation or integration panel with all the evidence.</w:t>
      </w:r>
    </w:p>
    <w:p w:rsidR="00000000" w:rsidDel="00000000" w:rsidP="00000000" w:rsidRDefault="00000000" w:rsidRPr="00000000" w14:paraId="0000001E">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22">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data collection exercise found that t</w:t>
      </w:r>
      <w:r w:rsidDel="00000000" w:rsidR="00000000" w:rsidRPr="00000000">
        <w:rPr>
          <w:rFonts w:ascii="Calibri" w:cs="Calibri" w:eastAsia="Calibri" w:hAnsi="Calibri"/>
          <w:sz w:val="24"/>
          <w:szCs w:val="24"/>
          <w:rtl w:val="0"/>
        </w:rPr>
        <w:t xml:space="preserve">here are two cases where the self-identified “variants” did not conform to RZ-LGR -- one likely related to an alternative spelling and the other potentially a typo. It doesn’t seem that they have been used to any extent.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Former applicants were informed that the self-identified “variants” would not have legal standing so the applicants would not have claims to them. Those labels were for information purposes.</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the extent that new rules are put in place in the New gTLD Program, those rules apply to the specific round and are not retroactively applied. </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no further considerations are needed for this charter question, and nothing needs to be done for the self-identified variants. </w:t>
      </w: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8">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9">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2E">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2F">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that at a certain point before a round, the version of the RZ-LGR that applies to that round should be fixed, so that everyone is using the same version when testing strings and preparing for the round.</w:t>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several </w:t>
      </w:r>
      <w:hyperlink r:id="rId8">
        <w:r w:rsidDel="00000000" w:rsidR="00000000" w:rsidRPr="00000000">
          <w:rPr>
            <w:rFonts w:ascii="Calibri" w:cs="Calibri" w:eastAsia="Calibri" w:hAnsi="Calibri"/>
            <w:color w:val="1155cc"/>
            <w:sz w:val="24"/>
            <w:szCs w:val="24"/>
            <w:u w:val="single"/>
            <w:rtl w:val="0"/>
          </w:rPr>
          <w:t xml:space="preserve">potential scenarios</w:t>
        </w:r>
      </w:hyperlink>
      <w:r w:rsidDel="00000000" w:rsidR="00000000" w:rsidRPr="00000000">
        <w:rPr>
          <w:rFonts w:ascii="Calibri" w:cs="Calibri" w:eastAsia="Calibri" w:hAnsi="Calibri"/>
          <w:sz w:val="24"/>
          <w:szCs w:val="24"/>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31">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scenario 1, an EPDP Team member noted that the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32">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33">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that the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34">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35">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the GP would handle such requests (as opposed to the DNS Stability Panel conducting the original evaluation).</w:t>
      </w:r>
    </w:p>
    <w:p w:rsidR="00000000" w:rsidDel="00000000" w:rsidP="00000000" w:rsidRDefault="00000000" w:rsidRPr="00000000" w14:paraId="00000036">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3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8">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39">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RZ-LGR process is triggered, should it still be possible to proceed with the application in the same round?</w:t>
      </w:r>
    </w:p>
    <w:p w:rsidR="00000000" w:rsidDel="00000000" w:rsidP="00000000" w:rsidRDefault="00000000" w:rsidRPr="00000000" w14:paraId="0000003B">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3C">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3D">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3E">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Feedback on the draft RZ-LGR Application and process flow:</w:t>
      </w:r>
    </w:p>
    <w:p w:rsidR="00000000" w:rsidDel="00000000" w:rsidP="00000000" w:rsidRDefault="00000000" w:rsidRPr="00000000" w14:paraId="00000040">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41">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42">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but does not qualify through the RZ-LGR, that is the layer that it can potentially be challenged through this process.</w:t>
      </w:r>
    </w:p>
    <w:p w:rsidR="00000000" w:rsidDel="00000000" w:rsidP="00000000" w:rsidRDefault="00000000" w:rsidRPr="00000000" w14:paraId="0000004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reviewed the updated </w:t>
      </w:r>
      <w:hyperlink r:id="rId9">
        <w:r w:rsidDel="00000000" w:rsidR="00000000" w:rsidRPr="00000000">
          <w:rPr>
            <w:rFonts w:ascii="Calibri" w:cs="Calibri" w:eastAsia="Calibri" w:hAnsi="Calibri"/>
            <w:color w:val="1155cc"/>
            <w:sz w:val="24"/>
            <w:szCs w:val="24"/>
            <w:u w:val="single"/>
            <w:rtl w:val="0"/>
          </w:rPr>
          <w:t xml:space="preserve">process flow</w:t>
        </w:r>
      </w:hyperlink>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agreement in the EPDP Team for the following: </w:t>
      </w:r>
    </w:p>
    <w:p w:rsidR="00000000" w:rsidDel="00000000" w:rsidP="00000000" w:rsidRDefault="00000000" w:rsidRPr="00000000" w14:paraId="00000047">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is applied correctly to the applicant’s label. </w:t>
      </w:r>
    </w:p>
    <w:p w:rsidR="00000000" w:rsidDel="00000000" w:rsidP="00000000" w:rsidRDefault="00000000" w:rsidRPr="00000000" w14:paraId="00000048">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p>
    <w:p w:rsidR="00000000" w:rsidDel="00000000" w:rsidP="00000000" w:rsidRDefault="00000000" w:rsidRPr="00000000" w14:paraId="00000049">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p>
    <w:p w:rsidR="00000000" w:rsidDel="00000000" w:rsidP="00000000" w:rsidRDefault="00000000" w:rsidRPr="00000000" w14:paraId="0000004A">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at the early stage of the application process. If the change request process is invoked, the relevant label should not hold up any other application. </w:t>
      </w:r>
    </w:p>
    <w:p w:rsidR="00000000" w:rsidDel="00000000" w:rsidP="00000000" w:rsidRDefault="00000000" w:rsidRPr="00000000" w14:paraId="0000004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p>
    <w:p w:rsidR="00000000" w:rsidDel="00000000" w:rsidP="00000000" w:rsidRDefault="00000000" w:rsidRPr="00000000" w14:paraId="0000004D">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p>
    <w:p w:rsidR="00000000" w:rsidDel="00000000" w:rsidP="00000000" w:rsidRDefault="00000000" w:rsidRPr="00000000" w14:paraId="0000004E">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p>
    <w:p w:rsidR="00000000" w:rsidDel="00000000" w:rsidP="00000000" w:rsidRDefault="00000000" w:rsidRPr="00000000" w14:paraId="00000050">
      <w:pPr>
        <w:numPr>
          <w:ilvl w:val="0"/>
          <w:numId w:val="13"/>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labels is an overkill/unnecessary. </w:t>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p>
    <w:p w:rsidR="00000000" w:rsidDel="00000000" w:rsidP="00000000" w:rsidRDefault="00000000" w:rsidRPr="00000000" w14:paraId="00000053">
      <w:pPr>
        <w:numPr>
          <w:ilvl w:val="0"/>
          <w:numId w:val="17"/>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Q4</w:t>
      </w:r>
      <w:r w:rsidDel="00000000" w:rsidR="00000000" w:rsidRPr="00000000">
        <w:rPr>
          <w:rFonts w:ascii="Calibri" w:cs="Calibri" w:eastAsia="Calibri" w:hAnsi="Calibri"/>
          <w:sz w:val="24"/>
          <w:szCs w:val="24"/>
          <w:rtl w:val="0"/>
        </w:rPr>
        <w:t xml:space="preserve">: [Assuming that the application system has correctly incorporated the algorithmic check] Upon receiving rejection from the DNS Stability Panel, should the applicant be allowed to amend the applied-for label in order to conform with the application system?</w:t>
      </w:r>
    </w:p>
    <w:p w:rsidR="00000000" w:rsidDel="00000000" w:rsidP="00000000" w:rsidRDefault="00000000" w:rsidRPr="00000000" w14:paraId="00000056">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8">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supported the following high-level points, although some additional detail is needed about the role of the DNS Stability Panel: </w:t>
      </w:r>
    </w:p>
    <w:p w:rsidR="00000000" w:rsidDel="00000000" w:rsidP="00000000" w:rsidRDefault="00000000" w:rsidRPr="00000000" w14:paraId="00000059">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An applicant can challenge an evaluation determined by the DNS Stability Panel that the applied-for TLD label, whose script is supported by the RZ-LGR, is “invalid” </w:t>
      </w:r>
    </w:p>
    <w:p w:rsidR="00000000" w:rsidDel="00000000" w:rsidP="00000000" w:rsidRDefault="00000000" w:rsidRPr="00000000" w14:paraId="0000005A">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Eligibility for filing such a challenge is limited to the applicant’s belief that the DNS Stability Panel has incorrectly assessed the label as “invalid”. </w:t>
      </w:r>
    </w:p>
    <w:p w:rsidR="00000000" w:rsidDel="00000000" w:rsidP="00000000" w:rsidRDefault="00000000" w:rsidRPr="00000000" w14:paraId="0000005B">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evaluation challenge processes and criteria applicable to the DNS Stability Review recommended in the SubPro Final Report should be used for such a challenge.</w:t>
      </w:r>
    </w:p>
    <w:p w:rsidR="00000000" w:rsidDel="00000000" w:rsidP="00000000" w:rsidRDefault="00000000" w:rsidRPr="00000000" w14:paraId="0000005C">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5D">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agreed that all of SubPro’s recommendations and implementation guidance for evaluation challenge processes and criteria are fit for purpose. These recommendations and implementation guidance are under Topic 32 (with the exception of Implementation Guidance 32.6, which only applies to appeals and not applicable to the scenarios being discussed in this EPDP).   </w:t>
      </w:r>
    </w:p>
    <w:p w:rsidR="00000000" w:rsidDel="00000000" w:rsidP="00000000" w:rsidRDefault="00000000" w:rsidRPr="00000000" w14:paraId="0000005E">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Some members noted that in the EPDP Recommendation or response to this charter, it should be explained that the DNS Stability Panel is expected to conduct a manual check of the algorithm’s output to confirm the validity of applied-for labels in all cases. </w:t>
      </w:r>
      <w:r w:rsidDel="00000000" w:rsidR="00000000" w:rsidRPr="00000000">
        <w:rPr>
          <w:rtl w:val="0"/>
        </w:rPr>
      </w:r>
    </w:p>
    <w:p w:rsidR="00000000" w:rsidDel="00000000" w:rsidP="00000000" w:rsidRDefault="00000000" w:rsidRPr="00000000" w14:paraId="0000006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1">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2">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63">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64">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w:t>
      </w:r>
      <w:r w:rsidDel="00000000" w:rsidR="00000000" w:rsidRPr="00000000">
        <w:rPr>
          <w:rFonts w:ascii="Calibri" w:cs="Calibri" w:eastAsia="Calibri" w:hAnsi="Calibri"/>
          <w:color w:val="ff9900"/>
          <w:sz w:val="24"/>
          <w:szCs w:val="24"/>
          <w:rtl w:val="0"/>
        </w:rPr>
        <w:t xml:space="preserve"> </w:t>
      </w:r>
      <w:commentRangeStart w:id="0"/>
      <w:r w:rsidDel="00000000" w:rsidR="00000000" w:rsidRPr="00000000">
        <w:rPr>
          <w:rFonts w:ascii="Calibri" w:cs="Calibri" w:eastAsia="Calibri" w:hAnsi="Calibri"/>
          <w:color w:val="ff9900"/>
          <w:sz w:val="24"/>
          <w:szCs w:val="24"/>
          <w:rtl w:val="0"/>
        </w:rPr>
        <w:t xml:space="preserve">To support the deployment of IDNs, as long as the codepoints are allowed by IDNA, there is no reason to prohibit the application. However, any variant would not be allowed until the script is integrated into LGR.</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6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topic will be discussed shortly by the VM SubGroup.</w:t>
      </w:r>
    </w:p>
    <w:p w:rsidR="00000000" w:rsidDel="00000000" w:rsidP="00000000" w:rsidRDefault="00000000" w:rsidRPr="00000000" w14:paraId="0000006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9">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w:t>
      </w:r>
    </w:p>
    <w:p w:rsidR="00000000" w:rsidDel="00000000" w:rsidP="00000000" w:rsidRDefault="00000000" w:rsidRPr="00000000" w14:paraId="0000006A">
      <w:pPr>
        <w:numPr>
          <w:ilvl w:val="0"/>
          <w:numId w:val="15"/>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hyperlink r:id="rId10">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tl w:val="0"/>
        </w:rPr>
      </w:r>
    </w:p>
    <w:p w:rsidR="00000000" w:rsidDel="00000000" w:rsidP="00000000" w:rsidRDefault="00000000" w:rsidRPr="00000000" w14:paraId="0000006B">
      <w:pPr>
        <w:numPr>
          <w:ilvl w:val="0"/>
          <w:numId w:val="15"/>
        </w:numPr>
        <w:spacing w:line="240" w:lineRule="auto"/>
        <w:ind w:left="720" w:hanging="360"/>
        <w:rPr>
          <w:rFonts w:ascii="Calibri" w:cs="Calibri" w:eastAsia="Calibri" w:hAnsi="Calibri"/>
          <w:b w:val="1"/>
          <w:color w:val="333333"/>
          <w:sz w:val="24"/>
          <w:szCs w:val="24"/>
          <w:u w:val="none"/>
        </w:rPr>
      </w:pPr>
      <w:r w:rsidDel="00000000" w:rsidR="00000000" w:rsidRPr="00000000">
        <w:rPr>
          <w:rFonts w:ascii="Calibri" w:cs="Calibri" w:eastAsia="Calibri" w:hAnsi="Calibri"/>
          <w:color w:val="333333"/>
          <w:sz w:val="24"/>
          <w:szCs w:val="24"/>
          <w:rtl w:val="0"/>
        </w:rPr>
        <w:t xml:space="preserve">From another perspective, it is important to first answer the fundamental question of whether an application by an existing RO for a variant gTLD label should be treated as a new gTLD application. If the answer is yes, the charter question becomes moot. </w:t>
      </w:r>
    </w:p>
    <w:p w:rsidR="00000000" w:rsidDel="00000000" w:rsidP="00000000" w:rsidRDefault="00000000" w:rsidRPr="00000000" w14:paraId="0000006C">
      <w:pPr>
        <w:numPr>
          <w:ilvl w:val="0"/>
          <w:numId w:val="15"/>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Answering this fundamental question will help answer other related charter questions. b4 may be the appropriate place to discuss it.</w:t>
      </w:r>
    </w:p>
    <w:p w:rsidR="00000000" w:rsidDel="00000000" w:rsidP="00000000" w:rsidRDefault="00000000" w:rsidRPr="00000000" w14:paraId="0000006D">
      <w:pPr>
        <w:numPr>
          <w:ilvl w:val="0"/>
          <w:numId w:val="15"/>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is important to look at the history: There is an assumption that variants are essentially the same TLD, but because of the technical implementation we are unable to map the two TLDs together. In terms of applications, it should be one and the same.</w:t>
      </w:r>
    </w:p>
    <w:p w:rsidR="00000000" w:rsidDel="00000000" w:rsidP="00000000" w:rsidRDefault="00000000" w:rsidRPr="00000000" w14:paraId="0000006E">
      <w:pPr>
        <w:numPr>
          <w:ilvl w:val="0"/>
          <w:numId w:val="15"/>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Upon further discussion, the working group agreed that this question may be moot based on the available data. The working group will not make any conclusions on this charter question and then return to this question to close it after addressing the fundamental question in b4. </w:t>
      </w:r>
    </w:p>
    <w:p w:rsidR="00000000" w:rsidDel="00000000" w:rsidP="00000000" w:rsidRDefault="00000000" w:rsidRPr="00000000" w14:paraId="0000006F">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0">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71">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72">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73">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Yes, there should be a mechanism to ensure that the number of delegated top-level variant labels remains small. Unless there is demonstrated widespread usage of the variant label, the variant label should not be activated.</w:t>
      </w:r>
    </w:p>
    <w:p w:rsidR="00000000" w:rsidDel="00000000" w:rsidP="00000000" w:rsidRDefault="00000000" w:rsidRPr="00000000" w14:paraId="00000074">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issues under a5) will be discussed shortly by the VM SubGroup.</w:t>
      </w:r>
    </w:p>
    <w:p w:rsidR="00000000" w:rsidDel="00000000" w:rsidP="00000000" w:rsidRDefault="00000000" w:rsidRPr="00000000" w14:paraId="0000007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7">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78">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background/origin of the charter question, including SAC060, TSG Recommendation 14, and Appendix C of Staff Paper: </w:t>
      </w:r>
      <w:hyperlink r:id="rId11">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Fonts w:ascii="Calibri" w:cs="Calibri" w:eastAsia="Calibri" w:hAnsi="Calibri"/>
          <w:b w:val="1"/>
          <w:color w:val="333333"/>
          <w:sz w:val="24"/>
          <w:szCs w:val="24"/>
          <w:rtl w:val="0"/>
        </w:rPr>
        <w:t xml:space="preserve">. </w:t>
      </w:r>
      <w:r w:rsidDel="00000000" w:rsidR="00000000" w:rsidRPr="00000000">
        <w:rPr>
          <w:rFonts w:ascii="Calibri" w:cs="Calibri" w:eastAsia="Calibri" w:hAnsi="Calibri"/>
          <w:color w:val="333333"/>
          <w:sz w:val="24"/>
          <w:szCs w:val="24"/>
          <w:rtl w:val="0"/>
        </w:rPr>
        <w:t xml:space="preserve">SSAC is the main entity that advised limiting allocatable variants for delegation </w:t>
      </w:r>
    </w:p>
    <w:p w:rsidR="00000000" w:rsidDel="00000000" w:rsidP="00000000" w:rsidRDefault="00000000" w:rsidRPr="00000000" w14:paraId="00000079">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members believed that ICANN should not develop a policy to limit variant labels for delegation. Policy is developed based on actors acting rationally. Registries have an incentive to create their own rules to make this manageable, and it may not be in the public interest to limit variants.</w:t>
      </w:r>
    </w:p>
    <w:p w:rsidR="00000000" w:rsidDel="00000000" w:rsidP="00000000" w:rsidRDefault="00000000" w:rsidRPr="00000000" w14:paraId="0000007A">
      <w:pPr>
        <w:numPr>
          <w:ilvl w:val="0"/>
          <w:numId w:val="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This question is also related to the broader question of whether the application for a variant TLD is regarded as a regular TLD application with the same costs as a standalone application (related questions are in charter section D)? If so, the issue of limiting variants for delegation might be resolved by the market. The only restriction we should have is the one imposed by the RZ-LGR.</w:t>
      </w:r>
    </w:p>
    <w:p w:rsidR="00000000" w:rsidDel="00000000" w:rsidP="00000000" w:rsidRDefault="00000000" w:rsidRPr="00000000" w14:paraId="0000007B">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Suggestion: The policy could be that although there is no limit of the number of allocatable variants for delegation, registries must take action to ensure that the variant labels are manageable for registrars and registrants.</w:t>
      </w:r>
    </w:p>
    <w:p w:rsidR="00000000" w:rsidDel="00000000" w:rsidP="00000000" w:rsidRDefault="00000000" w:rsidRPr="00000000" w14:paraId="0000007C">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members supported the approach to look at the probability and consequences of variant overproduction issues analyzed in the Staff Paper Appendix C, and if appropriate, identify potential mitigation measures.</w:t>
      </w:r>
    </w:p>
    <w:p w:rsidR="00000000" w:rsidDel="00000000" w:rsidP="00000000" w:rsidRDefault="00000000" w:rsidRPr="00000000" w14:paraId="0000007D">
      <w:pPr>
        <w:numPr>
          <w:ilvl w:val="0"/>
          <w:numId w:val="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charter question can be strictly interpreted, as in a specific ceiling value number for variants for delegation, or more broadly as a question of whether there should be limitation in terms of delegation. Some script communities already proposed ceiling values regarding variants for delegation, such as Chinese.  </w:t>
      </w:r>
    </w:p>
    <w:p w:rsidR="00000000" w:rsidDel="00000000" w:rsidP="00000000" w:rsidRDefault="00000000" w:rsidRPr="00000000" w14:paraId="0000007E">
      <w:pPr>
        <w:numPr>
          <w:ilvl w:val="0"/>
          <w:numId w:val="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Members want to see more data that can help inform whether there should be a ceiling value or other limit to be proposed.</w:t>
      </w:r>
      <w:r w:rsidDel="00000000" w:rsidR="00000000" w:rsidRPr="00000000">
        <w:rPr>
          <w:rtl w:val="0"/>
        </w:rPr>
      </w:r>
    </w:p>
    <w:p w:rsidR="00000000" w:rsidDel="00000000" w:rsidP="00000000" w:rsidRDefault="00000000" w:rsidRPr="00000000" w14:paraId="0000007F">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0">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81">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82">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8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Data is needed here. Also see answers to question a2 above.</w:t>
      </w:r>
    </w:p>
    <w:p w:rsidR="00000000" w:rsidDel="00000000" w:rsidP="00000000" w:rsidRDefault="00000000" w:rsidRPr="00000000" w14:paraId="0000008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86">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issue under a6) will be discussed shortly by the VM SubGroup.</w:t>
      </w:r>
    </w:p>
    <w:p w:rsidR="00000000" w:rsidDel="00000000" w:rsidP="00000000" w:rsidRDefault="00000000" w:rsidRPr="00000000" w14:paraId="0000008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88">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89">
      <w:pPr>
        <w:numPr>
          <w:ilvl w:val="0"/>
          <w:numId w:val="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 and preliminary analysis of the charter question: </w:t>
      </w:r>
      <w:hyperlink r:id="rId12">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8A">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Context for the TSG recommendation: RZ-LGR is not intended to be static and new rules could be put into place. There is a possibility that a new version of RZ-LGR may invalidate an existing TLD label, but the probability is low because of the measures that are in place.</w:t>
      </w:r>
    </w:p>
    <w:p w:rsidR="00000000" w:rsidDel="00000000" w:rsidP="00000000" w:rsidRDefault="00000000" w:rsidRPr="00000000" w14:paraId="0000008B">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This charter question focuses on future update of the RZ-LGR and its implication on existing gTLDs in the future. Based on data collected, all current existing TLDs are valid. Trigger events for RZ-LGR updates mostly involve adding materials as opposed to subtracting materials from the RZ-LGR. Invalidating an existing gTLD and its variant labels (if any) by the proposed RZ-LGR update is extremely unlikely, as it will cause instability in the root-zone. TSG recommendation 12 provides a recommendation to address cases where backwards compatibility cannot be achieved.</w:t>
      </w:r>
    </w:p>
    <w:p w:rsidR="00000000" w:rsidDel="00000000" w:rsidP="00000000" w:rsidRDefault="00000000" w:rsidRPr="00000000" w14:paraId="0000008C">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w:t>
      </w:r>
      <w:r w:rsidDel="00000000" w:rsidR="00000000" w:rsidRPr="00000000">
        <w:rPr>
          <w:rFonts w:ascii="Calibri" w:cs="Calibri" w:eastAsia="Calibri" w:hAnsi="Calibri"/>
          <w:color w:val="333333"/>
          <w:sz w:val="24"/>
          <w:szCs w:val="24"/>
          <w:rtl w:val="0"/>
        </w:rPr>
        <w:t xml:space="preserve">two theoretical cases: 1) a new version of RZ-LGR no longer validates an existing TLD and 2) a new version of RZ-LGR determines that an existing variant of an existing TLD is not an allocatable variant anymore. In these cases, the existing TLDs should remain as they are in “frozen” state. They will not be able to get further variants if not valid with the new RZ-LGR but existing TLDs and relationships should be kept.</w:t>
      </w:r>
    </w:p>
    <w:p w:rsidR="00000000" w:rsidDel="00000000" w:rsidP="00000000" w:rsidRDefault="00000000" w:rsidRPr="00000000" w14:paraId="0000008D">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members questioned whether a recommendation of maintaining full backward compatibility that becomes policy can be enforceable over the Generation Panels and Integration Panel. Others commented that changes to the RZ-LGR dictated by a Generation Panel are outside the scope of allowable changes under the Registry Agreement. A change to the RZ-LGR could be motivated by one or more of the multiple layers, including the IDNA2008 layer and Unicode layer at the base, which has a high bar to pass.</w:t>
      </w:r>
    </w:p>
    <w:p w:rsidR="00000000" w:rsidDel="00000000" w:rsidP="00000000" w:rsidRDefault="00000000" w:rsidRPr="00000000" w14:paraId="0000008E">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agreed that in the event that backward compatibility cannot be achieved, the GP must call out such an exception during the public comment period and explain the analysis and reasons for not supporting the existing TLD in their script LGR proposal as well as the potential impact on the TLD. </w:t>
      </w:r>
    </w:p>
    <w:p w:rsidR="00000000" w:rsidDel="00000000" w:rsidP="00000000" w:rsidRDefault="00000000" w:rsidRPr="00000000" w14:paraId="0000008F">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grandfathering existing TLDs and potentially their variants with an emphasis on the importance of backward compatibility. </w:t>
      </w:r>
    </w:p>
    <w:p w:rsidR="00000000" w:rsidDel="00000000" w:rsidP="00000000" w:rsidRDefault="00000000" w:rsidRPr="00000000" w14:paraId="00000090">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the following approach: Combination of grandfathering and assurances from ICANN/IP that retaining 100% backward compatibility is a hard requirement, anything contrary to 100% backward compatibility needs to have a very high bar to pass. </w:t>
      </w:r>
      <w:r w:rsidDel="00000000" w:rsidR="00000000" w:rsidRPr="00000000">
        <w:rPr>
          <w:rtl w:val="0"/>
        </w:rPr>
      </w:r>
    </w:p>
    <w:p w:rsidR="00000000" w:rsidDel="00000000" w:rsidP="00000000" w:rsidRDefault="00000000" w:rsidRPr="00000000" w14:paraId="00000091">
      <w:pPr>
        <w:spacing w:line="240" w:lineRule="auto"/>
        <w:rPr>
          <w:rFonts w:ascii="Calibri" w:cs="Calibri" w:eastAsia="Calibri" w:hAnsi="Calibri"/>
          <w:b w:val="1"/>
          <w:color w:val="ff9900"/>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92">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93">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9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SAC052 Recommendation 1 is still valid.</w:t>
      </w:r>
    </w:p>
    <w:p w:rsidR="00000000" w:rsidDel="00000000" w:rsidP="00000000" w:rsidRDefault="00000000" w:rsidRPr="00000000" w14:paraId="0000009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7">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98">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background/origin of the charter question, including SubPro recommendation 25.4, TSG Report Appendix B, SAC052 findings and recommendations, and JIG Final Report on Single Character IDN TLDs : </w:t>
      </w:r>
      <w:hyperlink r:id="rId13">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99">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the original thinking about this issue -- it was to avoid situations where a single stroke of the keyboard would enter a TLD – typos could result in security issues. Usually with ideographs, it takes more than a single keyboard stroke to type the TLD. If in the future, there would be voice input, a single word would suffice to enter a TLD.</w:t>
      </w:r>
    </w:p>
    <w:p w:rsidR="00000000" w:rsidDel="00000000" w:rsidP="00000000" w:rsidRDefault="00000000" w:rsidRPr="00000000" w14:paraId="0000009A">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recognized that Han script </w:t>
      </w:r>
      <w:ins w:author="Ariel Liang" w:id="0" w:date="2022-01-07T19:36:16Z">
        <w:r w:rsidDel="00000000" w:rsidR="00000000" w:rsidRPr="00000000">
          <w:rPr>
            <w:rFonts w:ascii="Calibri" w:cs="Calibri" w:eastAsia="Calibri" w:hAnsi="Calibri"/>
            <w:color w:val="333333"/>
            <w:sz w:val="24"/>
            <w:szCs w:val="24"/>
            <w:rtl w:val="0"/>
          </w:rPr>
          <w:t xml:space="preserve">is </w:t>
        </w:r>
      </w:ins>
      <w:del w:author="Ariel Liang" w:id="0" w:date="2022-01-07T19:36:16Z">
        <w:r w:rsidDel="00000000" w:rsidR="00000000" w:rsidRPr="00000000">
          <w:rPr>
            <w:rFonts w:ascii="Calibri" w:cs="Calibri" w:eastAsia="Calibri" w:hAnsi="Calibri"/>
            <w:color w:val="333333"/>
            <w:sz w:val="24"/>
            <w:szCs w:val="24"/>
            <w:rtl w:val="0"/>
          </w:rPr>
          <w:delText xml:space="preserve">may be </w:delText>
        </w:r>
      </w:del>
      <w:r w:rsidDel="00000000" w:rsidR="00000000" w:rsidRPr="00000000">
        <w:rPr>
          <w:rFonts w:ascii="Calibri" w:cs="Calibri" w:eastAsia="Calibri" w:hAnsi="Calibri"/>
          <w:color w:val="333333"/>
          <w:sz w:val="24"/>
          <w:szCs w:val="24"/>
          <w:rtl w:val="0"/>
        </w:rPr>
        <w:t xml:space="preserve">the only ideographic script that is being used in the root zone. If the EPDP Team are looking only at ideographic scripts, it might still be useful to go back to the relevant GPs</w:t>
      </w:r>
      <w:ins w:author="Ariel Liang" w:id="1" w:date="2022-01-07T19:36:25Z">
        <w:r w:rsidDel="00000000" w:rsidR="00000000" w:rsidRPr="00000000">
          <w:rPr>
            <w:rFonts w:ascii="Calibri" w:cs="Calibri" w:eastAsia="Calibri" w:hAnsi="Calibri"/>
            <w:color w:val="333333"/>
            <w:sz w:val="24"/>
            <w:szCs w:val="24"/>
            <w:rtl w:val="0"/>
          </w:rPr>
          <w:t xml:space="preserve"> (i.e., Chinese, Japanese, Korean)</w:t>
        </w:r>
      </w:ins>
      <w:r w:rsidDel="00000000" w:rsidR="00000000" w:rsidRPr="00000000">
        <w:rPr>
          <w:rFonts w:ascii="Calibri" w:cs="Calibri" w:eastAsia="Calibri" w:hAnsi="Calibri"/>
          <w:color w:val="333333"/>
          <w:sz w:val="24"/>
          <w:szCs w:val="24"/>
          <w:rtl w:val="0"/>
        </w:rPr>
        <w:t xml:space="preserve"> to see if they have identified characters that might be appropriate for single character TLDs. The key issue for consideration regarding ideographs – for Han characters (Chinese, Japanese, Korean) -- is that one ideograph could represent a whole concept/word. </w:t>
      </w:r>
    </w:p>
    <w:p w:rsidR="00000000" w:rsidDel="00000000" w:rsidP="00000000" w:rsidRDefault="00000000" w:rsidRPr="00000000" w14:paraId="0000009B">
      <w:pPr>
        <w:numPr>
          <w:ilvl w:val="0"/>
          <w:numId w:val="16"/>
        </w:numPr>
        <w:spacing w:line="240" w:lineRule="auto"/>
        <w:ind w:left="720" w:hanging="360"/>
        <w:rPr>
          <w:ins w:author="Ariel Liang" w:id="8" w:date="2022-01-07T19:35:17Z"/>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Suggestion: Use the existing GPs</w:t>
      </w:r>
      <w:ins w:author="Ariel Liang" w:id="2" w:date="2022-01-07T19:36:44Z">
        <w:r w:rsidDel="00000000" w:rsidR="00000000" w:rsidRPr="00000000">
          <w:rPr>
            <w:rFonts w:ascii="Calibri" w:cs="Calibri" w:eastAsia="Calibri" w:hAnsi="Calibri"/>
            <w:color w:val="333333"/>
            <w:sz w:val="24"/>
            <w:szCs w:val="24"/>
            <w:rtl w:val="0"/>
          </w:rPr>
          <w:t xml:space="preserve"> for Chinese, Japanese, and Korean</w:t>
        </w:r>
      </w:ins>
      <w:r w:rsidDel="00000000" w:rsidR="00000000" w:rsidRPr="00000000">
        <w:rPr>
          <w:rFonts w:ascii="Calibri" w:cs="Calibri" w:eastAsia="Calibri" w:hAnsi="Calibri"/>
          <w:color w:val="333333"/>
          <w:sz w:val="24"/>
          <w:szCs w:val="24"/>
          <w:rtl w:val="0"/>
        </w:rPr>
        <w:t xml:space="preserve"> </w:t>
      </w:r>
      <w:ins w:author="Ariel Liang" w:id="3" w:date="2022-01-07T20:07:06Z">
        <w:r w:rsidDel="00000000" w:rsidR="00000000" w:rsidRPr="00000000">
          <w:rPr>
            <w:rFonts w:ascii="Calibri" w:cs="Calibri" w:eastAsia="Calibri" w:hAnsi="Calibri"/>
            <w:color w:val="333333"/>
            <w:sz w:val="24"/>
            <w:szCs w:val="24"/>
            <w:rtl w:val="0"/>
          </w:rPr>
          <w:t xml:space="preserve">as well as the</w:t>
        </w:r>
      </w:ins>
      <w:del w:author="Ariel Liang" w:id="3" w:date="2022-01-07T20:07:06Z">
        <w:r w:rsidDel="00000000" w:rsidR="00000000" w:rsidRPr="00000000">
          <w:rPr>
            <w:rFonts w:ascii="Calibri" w:cs="Calibri" w:eastAsia="Calibri" w:hAnsi="Calibri"/>
            <w:color w:val="333333"/>
            <w:sz w:val="24"/>
            <w:szCs w:val="24"/>
            <w:rtl w:val="0"/>
          </w:rPr>
          <w:delText xml:space="preserve">and</w:delText>
        </w:r>
      </w:del>
      <w:r w:rsidDel="00000000" w:rsidR="00000000" w:rsidRPr="00000000">
        <w:rPr>
          <w:rFonts w:ascii="Calibri" w:cs="Calibri" w:eastAsia="Calibri" w:hAnsi="Calibri"/>
          <w:color w:val="333333"/>
          <w:sz w:val="24"/>
          <w:szCs w:val="24"/>
          <w:rtl w:val="0"/>
        </w:rPr>
        <w:t xml:space="preserve"> IP </w:t>
      </w:r>
      <w:del w:author="Ariel Liang" w:id="4" w:date="2022-01-07T19:37:02Z">
        <w:r w:rsidDel="00000000" w:rsidR="00000000" w:rsidRPr="00000000">
          <w:rPr>
            <w:rFonts w:ascii="Calibri" w:cs="Calibri" w:eastAsia="Calibri" w:hAnsi="Calibri"/>
            <w:color w:val="333333"/>
            <w:sz w:val="24"/>
            <w:szCs w:val="24"/>
            <w:rtl w:val="0"/>
          </w:rPr>
          <w:delText xml:space="preserve">or formulate a new mechanism or committee that is able </w:delText>
        </w:r>
      </w:del>
      <w:r w:rsidDel="00000000" w:rsidR="00000000" w:rsidRPr="00000000">
        <w:rPr>
          <w:rFonts w:ascii="Calibri" w:cs="Calibri" w:eastAsia="Calibri" w:hAnsi="Calibri"/>
          <w:color w:val="333333"/>
          <w:sz w:val="24"/>
          <w:szCs w:val="24"/>
          <w:rtl w:val="0"/>
        </w:rPr>
        <w:t xml:space="preserve">to identify </w:t>
      </w:r>
      <w:ins w:author="Ariel Liang" w:id="5" w:date="2022-01-07T19:37:13Z">
        <w:r w:rsidDel="00000000" w:rsidR="00000000" w:rsidRPr="00000000">
          <w:rPr>
            <w:rFonts w:ascii="Calibri" w:cs="Calibri" w:eastAsia="Calibri" w:hAnsi="Calibri"/>
            <w:color w:val="333333"/>
            <w:sz w:val="24"/>
            <w:szCs w:val="24"/>
            <w:rtl w:val="0"/>
          </w:rPr>
          <w:t xml:space="preserve">a list of allowable </w:t>
        </w:r>
      </w:ins>
      <w:del w:author="Ariel Liang" w:id="5" w:date="2022-01-07T19:37:13Z">
        <w:r w:rsidDel="00000000" w:rsidR="00000000" w:rsidRPr="00000000">
          <w:rPr>
            <w:rFonts w:ascii="Calibri" w:cs="Calibri" w:eastAsia="Calibri" w:hAnsi="Calibri"/>
            <w:color w:val="333333"/>
            <w:sz w:val="24"/>
            <w:szCs w:val="24"/>
            <w:rtl w:val="0"/>
          </w:rPr>
          <w:delText xml:space="preserve">if the script can be used for </w:delText>
        </w:r>
      </w:del>
      <w:r w:rsidDel="00000000" w:rsidR="00000000" w:rsidRPr="00000000">
        <w:rPr>
          <w:rFonts w:ascii="Calibri" w:cs="Calibri" w:eastAsia="Calibri" w:hAnsi="Calibri"/>
          <w:color w:val="333333"/>
          <w:sz w:val="24"/>
          <w:szCs w:val="24"/>
          <w:rtl w:val="0"/>
        </w:rPr>
        <w:t xml:space="preserve">characters </w:t>
      </w:r>
      <w:ins w:author="Ariel Liang" w:id="6" w:date="2022-01-07T19:40:47Z">
        <w:r w:rsidDel="00000000" w:rsidR="00000000" w:rsidRPr="00000000">
          <w:rPr>
            <w:rFonts w:ascii="Calibri" w:cs="Calibri" w:eastAsia="Calibri" w:hAnsi="Calibri"/>
            <w:color w:val="333333"/>
            <w:sz w:val="24"/>
            <w:szCs w:val="24"/>
            <w:rtl w:val="0"/>
          </w:rPr>
          <w:t xml:space="preserve">that </w:t>
        </w:r>
      </w:ins>
      <w:del w:author="Ariel Liang" w:id="6" w:date="2022-01-07T19:40:47Z">
        <w:r w:rsidDel="00000000" w:rsidR="00000000" w:rsidRPr="00000000">
          <w:rPr>
            <w:rFonts w:ascii="Calibri" w:cs="Calibri" w:eastAsia="Calibri" w:hAnsi="Calibri"/>
            <w:color w:val="333333"/>
            <w:sz w:val="24"/>
            <w:szCs w:val="24"/>
            <w:rtl w:val="0"/>
          </w:rPr>
          <w:delText xml:space="preserve">and then which characters </w:delText>
        </w:r>
      </w:del>
      <w:r w:rsidDel="00000000" w:rsidR="00000000" w:rsidRPr="00000000">
        <w:rPr>
          <w:rFonts w:ascii="Calibri" w:cs="Calibri" w:eastAsia="Calibri" w:hAnsi="Calibri"/>
          <w:color w:val="333333"/>
          <w:sz w:val="24"/>
          <w:szCs w:val="24"/>
          <w:rtl w:val="0"/>
        </w:rPr>
        <w:t xml:space="preserve">can be used</w:t>
      </w:r>
      <w:ins w:author="Ariel Liang" w:id="7" w:date="2022-01-07T19:40:51Z">
        <w:r w:rsidDel="00000000" w:rsidR="00000000" w:rsidRPr="00000000">
          <w:rPr>
            <w:rFonts w:ascii="Calibri" w:cs="Calibri" w:eastAsia="Calibri" w:hAnsi="Calibri"/>
            <w:color w:val="333333"/>
            <w:sz w:val="24"/>
            <w:szCs w:val="24"/>
            <w:rtl w:val="0"/>
          </w:rPr>
          <w:t xml:space="preserve"> for single character TLDs</w:t>
        </w:r>
      </w:ins>
      <w:r w:rsidDel="00000000" w:rsidR="00000000" w:rsidRPr="00000000">
        <w:rPr>
          <w:rFonts w:ascii="Calibri" w:cs="Calibri" w:eastAsia="Calibri" w:hAnsi="Calibri"/>
          <w:color w:val="333333"/>
          <w:sz w:val="24"/>
          <w:szCs w:val="24"/>
          <w:rtl w:val="0"/>
        </w:rPr>
        <w:t xml:space="preserve">.</w:t>
      </w:r>
      <w:ins w:author="Ariel Liang" w:id="8" w:date="2022-01-07T19:35:17Z">
        <w:r w:rsidDel="00000000" w:rsidR="00000000" w:rsidRPr="00000000">
          <w:rPr>
            <w:rtl w:val="0"/>
          </w:rPr>
        </w:r>
      </w:ins>
    </w:p>
    <w:p w:rsidR="00000000" w:rsidDel="00000000" w:rsidP="00000000" w:rsidRDefault="00000000" w:rsidRPr="00000000" w14:paraId="0000009C">
      <w:pPr>
        <w:numPr>
          <w:ilvl w:val="0"/>
          <w:numId w:val="16"/>
        </w:numPr>
        <w:spacing w:line="240" w:lineRule="auto"/>
        <w:ind w:left="720" w:hanging="360"/>
        <w:rPr>
          <w:ins w:author="Ariel Liang" w:id="8" w:date="2022-01-07T19:35:17Z"/>
          <w:rFonts w:ascii="Calibri" w:cs="Calibri" w:eastAsia="Calibri" w:hAnsi="Calibri"/>
          <w:color w:val="333333"/>
          <w:sz w:val="24"/>
          <w:szCs w:val="24"/>
          <w:u w:val="none"/>
        </w:rPr>
      </w:pPr>
      <w:ins w:author="Ariel Liang" w:id="8" w:date="2022-01-07T19:35:17Z">
        <w:r w:rsidDel="00000000" w:rsidR="00000000" w:rsidRPr="00000000">
          <w:rPr>
            <w:rFonts w:ascii="Calibri" w:cs="Calibri" w:eastAsia="Calibri" w:hAnsi="Calibri"/>
            <w:color w:val="333333"/>
            <w:sz w:val="24"/>
            <w:szCs w:val="24"/>
            <w:rtl w:val="0"/>
          </w:rPr>
          <w:t xml:space="preserve">Those GPs have not not done such work, as it was </w:t>
        </w:r>
        <w:r w:rsidDel="00000000" w:rsidR="00000000" w:rsidRPr="00000000">
          <w:rPr>
            <w:rFonts w:ascii="Calibri" w:cs="Calibri" w:eastAsia="Calibri" w:hAnsi="Calibri"/>
            <w:color w:val="333333"/>
            <w:sz w:val="24"/>
            <w:szCs w:val="24"/>
            <w:rtl w:val="0"/>
          </w:rPr>
          <w:t xml:space="preserve">not an expected</w:t>
        </w:r>
        <w:r w:rsidDel="00000000" w:rsidR="00000000" w:rsidRPr="00000000">
          <w:rPr>
            <w:rFonts w:ascii="Calibri" w:cs="Calibri" w:eastAsia="Calibri" w:hAnsi="Calibri"/>
            <w:color w:val="333333"/>
            <w:sz w:val="24"/>
            <w:szCs w:val="24"/>
            <w:rtl w:val="0"/>
          </w:rPr>
          <w:t xml:space="preserve">/required work item for them. If the EPDP Team wishes to outsource this work to the GPs as a recommendation, prior communication is needed to ensure GPs, as well as the IP, have the will and </w:t>
        </w:r>
        <w:r w:rsidDel="00000000" w:rsidR="00000000" w:rsidRPr="00000000">
          <w:rPr>
            <w:rFonts w:ascii="Calibri" w:cs="Calibri" w:eastAsia="Calibri" w:hAnsi="Calibri"/>
            <w:color w:val="333333"/>
            <w:sz w:val="24"/>
            <w:szCs w:val="24"/>
            <w:rtl w:val="0"/>
          </w:rPr>
          <w:t xml:space="preserve">resources</w:t>
        </w:r>
        <w:r w:rsidDel="00000000" w:rsidR="00000000" w:rsidRPr="00000000">
          <w:rPr>
            <w:rFonts w:ascii="Calibri" w:cs="Calibri" w:eastAsia="Calibri" w:hAnsi="Calibri"/>
            <w:color w:val="333333"/>
            <w:sz w:val="24"/>
            <w:szCs w:val="24"/>
            <w:rtl w:val="0"/>
          </w:rPr>
          <w:t xml:space="preserve"> to take on this work. In such communication, staff suggested the EPDP </w:t>
        </w:r>
        <w:r w:rsidDel="00000000" w:rsidR="00000000" w:rsidRPr="00000000">
          <w:rPr>
            <w:rFonts w:ascii="Calibri" w:cs="Calibri" w:eastAsia="Calibri" w:hAnsi="Calibri"/>
            <w:color w:val="333333"/>
            <w:sz w:val="24"/>
            <w:szCs w:val="24"/>
            <w:rtl w:val="0"/>
          </w:rPr>
          <w:t xml:space="preserve">Team specifies</w:t>
        </w:r>
        <w:r w:rsidDel="00000000" w:rsidR="00000000" w:rsidRPr="00000000">
          <w:rPr>
            <w:rFonts w:ascii="Calibri" w:cs="Calibri" w:eastAsia="Calibri" w:hAnsi="Calibri"/>
            <w:color w:val="333333"/>
            <w:sz w:val="24"/>
            <w:szCs w:val="24"/>
            <w:rtl w:val="0"/>
          </w:rPr>
          <w:t xml:space="preserve"> what is expected to be covered within RZ-LGR and what should be covered in additional separate process(es) like string similarity review.</w:t>
        </w:r>
      </w:ins>
    </w:p>
    <w:p w:rsidR="00000000" w:rsidDel="00000000" w:rsidP="00000000" w:rsidRDefault="00000000" w:rsidRPr="00000000" w14:paraId="0000009D">
      <w:pPr>
        <w:numPr>
          <w:ilvl w:val="0"/>
          <w:numId w:val="16"/>
        </w:numPr>
        <w:spacing w:line="240" w:lineRule="auto"/>
        <w:ind w:left="720" w:hanging="360"/>
        <w:rPr>
          <w:ins w:author="Ariel Liang" w:id="8" w:date="2022-01-07T19:35:17Z"/>
          <w:rFonts w:ascii="Calibri" w:cs="Calibri" w:eastAsia="Calibri" w:hAnsi="Calibri"/>
          <w:color w:val="333333"/>
          <w:sz w:val="24"/>
          <w:szCs w:val="24"/>
        </w:rPr>
      </w:pPr>
      <w:ins w:author="Ariel Liang" w:id="8" w:date="2022-01-07T19:35:17Z">
        <w:r w:rsidDel="00000000" w:rsidR="00000000" w:rsidRPr="00000000">
          <w:rPr>
            <w:rFonts w:ascii="Calibri" w:cs="Calibri" w:eastAsia="Calibri" w:hAnsi="Calibri"/>
            <w:color w:val="333333"/>
            <w:sz w:val="24"/>
            <w:szCs w:val="24"/>
            <w:rtl w:val="0"/>
          </w:rPr>
          <w:t xml:space="preserve">Staff suggestion: a group with the technical capacity could suggest clear rules for what should NOT be allowed as single character TLDs, e.g., single stroke characters may be more confusable than multi-stroke characters.</w:t>
        </w:r>
        <w:r w:rsidDel="00000000" w:rsidR="00000000" w:rsidRPr="00000000">
          <w:rPr>
            <w:rtl w:val="0"/>
          </w:rPr>
        </w:r>
      </w:ins>
    </w:p>
    <w:p w:rsidR="00000000" w:rsidDel="00000000" w:rsidP="00000000" w:rsidRDefault="00000000" w:rsidRPr="00000000" w14:paraId="0000009E">
      <w:pPr>
        <w:numPr>
          <w:ilvl w:val="0"/>
          <w:numId w:val="16"/>
        </w:numPr>
        <w:spacing w:line="240" w:lineRule="auto"/>
        <w:ind w:left="720" w:hanging="360"/>
        <w:rPr>
          <w:ins w:author="Ariel Liang" w:id="8" w:date="2022-01-07T19:35:17Z"/>
          <w:rFonts w:ascii="Calibri" w:cs="Calibri" w:eastAsia="Calibri" w:hAnsi="Calibri"/>
          <w:color w:val="333333"/>
          <w:sz w:val="24"/>
          <w:szCs w:val="24"/>
          <w:u w:val="none"/>
        </w:rPr>
      </w:pPr>
      <w:ins w:author="Ariel Liang" w:id="8" w:date="2022-01-07T19:35:17Z">
        <w:r w:rsidDel="00000000" w:rsidR="00000000" w:rsidRPr="00000000">
          <w:rPr>
            <w:rFonts w:ascii="Calibri" w:cs="Calibri" w:eastAsia="Calibri" w:hAnsi="Calibri"/>
            <w:color w:val="333333"/>
            <w:sz w:val="24"/>
            <w:szCs w:val="24"/>
            <w:rtl w:val="0"/>
          </w:rPr>
          <w:t xml:space="preserve">One EPDP Team member suggested an alternative approach: </w:t>
        </w:r>
        <w:r w:rsidDel="00000000" w:rsidR="00000000" w:rsidRPr="00000000">
          <w:rPr>
            <w:rFonts w:ascii="Calibri" w:cs="Calibri" w:eastAsia="Calibri" w:hAnsi="Calibri"/>
            <w:color w:val="333333"/>
            <w:sz w:val="24"/>
            <w:szCs w:val="24"/>
            <w:rtl w:val="0"/>
          </w:rPr>
          <w:t xml:space="preserve">instead</w:t>
        </w:r>
        <w:r w:rsidDel="00000000" w:rsidR="00000000" w:rsidRPr="00000000">
          <w:rPr>
            <w:rFonts w:ascii="Calibri" w:cs="Calibri" w:eastAsia="Calibri" w:hAnsi="Calibri"/>
            <w:color w:val="333333"/>
            <w:sz w:val="24"/>
            <w:szCs w:val="24"/>
            <w:rtl w:val="0"/>
          </w:rPr>
          <w:t xml:space="preserve"> of doing the work upfront, if an applicant applies for single-character TLD, they pay for an analysis as part of the application process that identifies security and stability risks, string similarity concerns, etc.</w:t>
        </w:r>
      </w:ins>
    </w:p>
    <w:p w:rsidR="00000000" w:rsidDel="00000000" w:rsidP="00000000" w:rsidRDefault="00000000" w:rsidRPr="00000000" w14:paraId="0000009F">
      <w:pPr>
        <w:numPr>
          <w:ilvl w:val="0"/>
          <w:numId w:val="16"/>
        </w:numPr>
        <w:spacing w:line="240" w:lineRule="auto"/>
        <w:ind w:left="720" w:hanging="360"/>
        <w:rPr>
          <w:rFonts w:ascii="Calibri" w:cs="Calibri" w:eastAsia="Calibri" w:hAnsi="Calibri"/>
          <w:color w:val="333333"/>
          <w:sz w:val="24"/>
          <w:szCs w:val="24"/>
          <w:u w:val="none"/>
          <w:rPrChange w:author="Ariel Liang" w:id="9" w:date="2022-01-07T19:35:17Z">
            <w:rPr>
              <w:rFonts w:ascii="Calibri" w:cs="Calibri" w:eastAsia="Calibri" w:hAnsi="Calibri"/>
              <w:color w:val="333333"/>
              <w:sz w:val="24"/>
              <w:szCs w:val="24"/>
            </w:rPr>
          </w:rPrChange>
        </w:rPr>
        <w:pPrChange w:author="Ariel Liang" w:id="0" w:date="2022-01-07T19:35:17Z">
          <w:pPr>
            <w:numPr>
              <w:ilvl w:val="0"/>
              <w:numId w:val="16"/>
            </w:numPr>
            <w:spacing w:line="240" w:lineRule="auto"/>
            <w:ind w:left="720" w:hanging="360"/>
          </w:pPr>
        </w:pPrChange>
      </w:pPr>
      <w:ins w:author="Ariel Liang" w:id="8" w:date="2022-01-07T19:35:17Z">
        <w:r w:rsidDel="00000000" w:rsidR="00000000" w:rsidRPr="00000000">
          <w:rPr>
            <w:rFonts w:ascii="Calibri" w:cs="Calibri" w:eastAsia="Calibri" w:hAnsi="Calibri"/>
            <w:color w:val="333333"/>
            <w:sz w:val="24"/>
            <w:szCs w:val="24"/>
            <w:rtl w:val="0"/>
          </w:rPr>
          <w:t xml:space="preserve">The EPDP Team may be able to answer the first part of the charter question – </w:t>
        </w:r>
        <w:r w:rsidDel="00000000" w:rsidR="00000000" w:rsidRPr="00000000">
          <w:rPr>
            <w:rFonts w:ascii="Calibri" w:cs="Calibri" w:eastAsia="Calibri" w:hAnsi="Calibri"/>
            <w:color w:val="333333"/>
            <w:sz w:val="24"/>
            <w:szCs w:val="24"/>
            <w:rtl w:val="0"/>
          </w:rPr>
          <w:t xml:space="preserve">identifying the</w:t>
        </w:r>
        <w:r w:rsidDel="00000000" w:rsidR="00000000" w:rsidRPr="00000000">
          <w:rPr>
            <w:rFonts w:ascii="Calibri" w:cs="Calibri" w:eastAsia="Calibri" w:hAnsi="Calibri"/>
            <w:color w:val="333333"/>
            <w:sz w:val="24"/>
            <w:szCs w:val="24"/>
            <w:rtl w:val="0"/>
          </w:rPr>
          <w:t xml:space="preserve"> Han script and Chinese, Japanese, and Korean languages which are appropriate for single character TLDs. The EPDP Team may not be in position to answer the second part of the charter question. </w:t>
        </w:r>
      </w:ins>
      <w:r w:rsidDel="00000000" w:rsidR="00000000" w:rsidRPr="00000000">
        <w:rPr>
          <w:rtl w:val="0"/>
        </w:rPr>
      </w:r>
    </w:p>
    <w:p w:rsidR="00000000" w:rsidDel="00000000" w:rsidP="00000000" w:rsidRDefault="00000000" w:rsidRPr="00000000" w14:paraId="000000A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A1">
      <w:pPr>
        <w:spacing w:line="240" w:lineRule="auto"/>
        <w:rPr>
          <w:rFonts w:ascii="Calibri" w:cs="Calibri" w:eastAsia="Calibri" w:hAnsi="Calibri"/>
          <w:b w:val="1"/>
          <w:color w:val="ff9900"/>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A2">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A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Parking lot for future discussion:</w:t>
      </w:r>
    </w:p>
    <w:p w:rsidR="00000000" w:rsidDel="00000000" w:rsidP="00000000" w:rsidRDefault="00000000" w:rsidRPr="00000000" w14:paraId="000000A5">
      <w:pPr>
        <w:numPr>
          <w:ilvl w:val="0"/>
          <w:numId w:val="8"/>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plans to discuss whether contextual information should be provided as it regards IDL statuses. By way of example, a user seeing a TLD that has the status of withheld-same-entity, may benefit from knowing the primary string that generated the variant TLD.</w:t>
      </w:r>
    </w:p>
    <w:p w:rsidR="00000000" w:rsidDel="00000000" w:rsidP="00000000" w:rsidRDefault="00000000" w:rsidRPr="00000000" w14:paraId="000000A6">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A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A8">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A9">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VM SubGroup has identified the need for a consistent definition of the status variant labels as well. To date the terms have been defined loosely, but where possible the VM SubGroup proposes to coordinate the definition of the status of labels/strings</w:t>
      </w:r>
    </w:p>
    <w:p w:rsidR="00000000" w:rsidDel="00000000" w:rsidP="00000000" w:rsidRDefault="00000000" w:rsidRPr="00000000" w14:paraId="000000A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A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High-Level Notes:</w:t>
      </w:r>
    </w:p>
    <w:p w:rsidR="00000000" w:rsidDel="00000000" w:rsidP="00000000" w:rsidRDefault="00000000" w:rsidRPr="00000000" w14:paraId="000000AD">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w:t>
      </w:r>
    </w:p>
    <w:p w:rsidR="00000000" w:rsidDel="00000000" w:rsidP="00000000" w:rsidRDefault="00000000" w:rsidRPr="00000000" w14:paraId="000000AE">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Staff presentation provided an overview of why variant label statuses are needed, background/past work on determining the label status definitions, understanding what the statuses mean, and how a variant label can transition from one state to another: </w:t>
      </w:r>
      <w:hyperlink r:id="rId14">
        <w:r w:rsidDel="00000000" w:rsidR="00000000" w:rsidRPr="00000000">
          <w:rPr>
            <w:rFonts w:ascii="Calibri" w:cs="Calibri" w:eastAsia="Calibri" w:hAnsi="Calibri"/>
            <w:color w:val="1155cc"/>
            <w:sz w:val="24"/>
            <w:szCs w:val="24"/>
            <w:u w:val="single"/>
            <w:rtl w:val="0"/>
          </w:rPr>
          <w:t xml:space="preserve">https://community.icann.org/download/attachments/180029377/EPDP%20Team%20Meeting%20%2316%20Slides.pdf?version=2&amp;modificationDate=1639801011000&amp;api=v2</w:t>
        </w:r>
      </w:hyperlink>
      <w:r w:rsidDel="00000000" w:rsidR="00000000" w:rsidRPr="00000000">
        <w:rPr>
          <w:rtl w:val="0"/>
        </w:rPr>
      </w:r>
    </w:p>
    <w:p w:rsidR="00000000" w:rsidDel="00000000" w:rsidP="00000000" w:rsidRDefault="00000000" w:rsidRPr="00000000" w14:paraId="000000AF">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It was noted that the variant label statuses as proposed in the Integrated Issues Report and subsequently the staff paper were intended to be relevant to both gTLDs and ccTLDs. The ccPDP4 has not yet considered this topic, but consistency between gTLDs and ccTLDs should be considered. However, the gTLD and ccTLD processes are quite different, so it may not be possible.</w:t>
      </w:r>
    </w:p>
    <w:p w:rsidR="00000000" w:rsidDel="00000000" w:rsidP="00000000" w:rsidRDefault="00000000" w:rsidRPr="00000000" w14:paraId="000000B0">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While the group recognized and understand the reasons for the possible label transitions as described on slide 7, another scenario was considered: if a gTLD and its variants change ownership and the new operator does not want to maintain one of the allocated variants, the variant label could go from Delegated back to Allocated or Withheld-Same-Entity. This is understood to be a rare occurrence (e.g., retired ccTLDs).</w:t>
      </w:r>
    </w:p>
    <w:p w:rsidR="00000000" w:rsidDel="00000000" w:rsidP="00000000" w:rsidRDefault="00000000" w:rsidRPr="00000000" w14:paraId="000000B1">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There was a suggestion to consider the five states in buckets as a means to simplify things, with Blocked, Allocatable (which would include withheld-same-entity, allocated, rejected), and Delegated. </w:t>
      </w:r>
    </w:p>
    <w:p w:rsidR="00000000" w:rsidDel="00000000" w:rsidP="00000000" w:rsidRDefault="00000000" w:rsidRPr="00000000" w14:paraId="000000B2">
      <w:pPr>
        <w:numPr>
          <w:ilvl w:val="0"/>
          <w:numId w:val="3"/>
        </w:numPr>
        <w:spacing w:line="240" w:lineRule="auto"/>
        <w:ind w:left="720" w:hanging="360"/>
        <w:rPr>
          <w:ins w:author="Ariel Liang" w:id="10" w:date="2022-01-07T18:30:16Z"/>
          <w:rFonts w:ascii="Calibri" w:cs="Calibri" w:eastAsia="Calibri" w:hAnsi="Calibri"/>
          <w:color w:val="333333"/>
          <w:sz w:val="24"/>
          <w:szCs w:val="24"/>
          <w:u w:val="none"/>
        </w:rPr>
      </w:pPr>
      <w:ins w:author="Ariel Liang" w:id="10" w:date="2022-01-07T18:30:16Z">
        <w:r w:rsidDel="00000000" w:rsidR="00000000" w:rsidRPr="00000000">
          <w:rPr>
            <w:rFonts w:ascii="Calibri" w:cs="Calibri" w:eastAsia="Calibri" w:hAnsi="Calibri"/>
            <w:color w:val="333333"/>
            <w:sz w:val="24"/>
            <w:szCs w:val="24"/>
            <w:rtl w:val="0"/>
          </w:rPr>
          <w:t xml:space="preserve">The EPDP Team discussed there additional suggestions from members: </w:t>
        </w:r>
      </w:ins>
    </w:p>
    <w:p w:rsidR="00000000" w:rsidDel="00000000" w:rsidP="00000000" w:rsidRDefault="00000000" w:rsidRPr="00000000" w14:paraId="000000B3">
      <w:pPr>
        <w:numPr>
          <w:ilvl w:val="1"/>
          <w:numId w:val="3"/>
        </w:numPr>
        <w:spacing w:line="240" w:lineRule="auto"/>
        <w:ind w:left="1440" w:hanging="360"/>
        <w:rPr>
          <w:ins w:author="Ariel Liang" w:id="10" w:date="2022-01-07T18:30:16Z"/>
          <w:rFonts w:ascii="Calibri" w:cs="Calibri" w:eastAsia="Calibri" w:hAnsi="Calibri"/>
          <w:color w:val="333333"/>
          <w:sz w:val="24"/>
          <w:szCs w:val="24"/>
          <w:u w:val="none"/>
        </w:rPr>
      </w:pPr>
      <w:ins w:author="Ariel Liang" w:id="10" w:date="2022-01-07T18:30:16Z">
        <w:r w:rsidDel="00000000" w:rsidR="00000000" w:rsidRPr="00000000">
          <w:rPr>
            <w:rFonts w:ascii="Calibri" w:cs="Calibri" w:eastAsia="Calibri" w:hAnsi="Calibri"/>
            <w:color w:val="333333"/>
            <w:sz w:val="24"/>
            <w:szCs w:val="24"/>
            <w:rtl w:val="0"/>
          </w:rPr>
          <w:t xml:space="preserve">Come up with some other term to differentiate the “delegated” from the “allocated”, as </w:t>
        </w:r>
        <w:r w:rsidDel="00000000" w:rsidR="00000000" w:rsidRPr="00000000">
          <w:rPr>
            <w:rFonts w:ascii="Calibri" w:cs="Calibri" w:eastAsia="Calibri" w:hAnsi="Calibri"/>
            <w:color w:val="333333"/>
            <w:sz w:val="24"/>
            <w:szCs w:val="24"/>
            <w:rtl w:val="0"/>
          </w:rPr>
          <w:t xml:space="preserve">in everyday speak, people tend to use “allocated” and “delegated” </w:t>
        </w:r>
        <w:r w:rsidDel="00000000" w:rsidR="00000000" w:rsidRPr="00000000">
          <w:rPr>
            <w:rFonts w:ascii="Calibri" w:cs="Calibri" w:eastAsia="Calibri" w:hAnsi="Calibri"/>
            <w:color w:val="333333"/>
            <w:sz w:val="24"/>
            <w:szCs w:val="24"/>
            <w:rtl w:val="0"/>
          </w:rPr>
          <w:t xml:space="preserve">interchangeably</w:t>
        </w:r>
        <w:r w:rsidDel="00000000" w:rsidR="00000000" w:rsidRPr="00000000">
          <w:rPr>
            <w:rFonts w:ascii="Calibri" w:cs="Calibri" w:eastAsia="Calibri" w:hAnsi="Calibri"/>
            <w:color w:val="333333"/>
            <w:sz w:val="24"/>
            <w:szCs w:val="24"/>
            <w:rtl w:val="0"/>
          </w:rPr>
          <w:t xml:space="preserve">. </w:t>
        </w:r>
      </w:ins>
    </w:p>
    <w:p w:rsidR="00000000" w:rsidDel="00000000" w:rsidP="00000000" w:rsidRDefault="00000000" w:rsidRPr="00000000" w14:paraId="000000B4">
      <w:pPr>
        <w:numPr>
          <w:ilvl w:val="1"/>
          <w:numId w:val="3"/>
        </w:numPr>
        <w:spacing w:line="240" w:lineRule="auto"/>
        <w:ind w:left="1440" w:hanging="360"/>
        <w:rPr>
          <w:ins w:author="Ariel Liang" w:id="10" w:date="2022-01-07T18:30:16Z"/>
          <w:rFonts w:ascii="Calibri" w:cs="Calibri" w:eastAsia="Calibri" w:hAnsi="Calibri"/>
          <w:color w:val="333333"/>
          <w:sz w:val="24"/>
          <w:szCs w:val="24"/>
          <w:u w:val="none"/>
        </w:rPr>
      </w:pPr>
      <w:ins w:author="Ariel Liang" w:id="10" w:date="2022-01-07T18:30:16Z">
        <w:r w:rsidDel="00000000" w:rsidR="00000000" w:rsidRPr="00000000">
          <w:rPr>
            <w:rFonts w:ascii="Calibri" w:cs="Calibri" w:eastAsia="Calibri" w:hAnsi="Calibri"/>
            <w:color w:val="333333"/>
            <w:sz w:val="24"/>
            <w:szCs w:val="24"/>
            <w:rtl w:val="0"/>
          </w:rPr>
          <w:t xml:space="preserve">Be clear that “withheld-same-entity” definition is intended for a specific purpose as it relates to IDNs, as it may have different meanings in different parts of the community. Support removing reference to “withheld” as it was an older definition in the Integrated Issues Report and it was no longer relevant in the </w:t>
        </w:r>
        <w:r w:rsidDel="00000000" w:rsidR="00000000" w:rsidRPr="00000000">
          <w:rPr>
            <w:rFonts w:ascii="Calibri" w:cs="Calibri" w:eastAsia="Calibri" w:hAnsi="Calibri"/>
            <w:color w:val="333333"/>
            <w:sz w:val="24"/>
            <w:szCs w:val="24"/>
            <w:rtl w:val="0"/>
          </w:rPr>
          <w:t xml:space="preserve">variant</w:t>
        </w:r>
        <w:r w:rsidDel="00000000" w:rsidR="00000000" w:rsidRPr="00000000">
          <w:rPr>
            <w:rFonts w:ascii="Calibri" w:cs="Calibri" w:eastAsia="Calibri" w:hAnsi="Calibri"/>
            <w:color w:val="333333"/>
            <w:sz w:val="24"/>
            <w:szCs w:val="24"/>
            <w:rtl w:val="0"/>
          </w:rPr>
          <w:t xml:space="preserve"> management context. </w:t>
        </w:r>
      </w:ins>
    </w:p>
    <w:p w:rsidR="00000000" w:rsidDel="00000000" w:rsidP="00000000" w:rsidRDefault="00000000" w:rsidRPr="00000000" w14:paraId="000000B5">
      <w:pPr>
        <w:numPr>
          <w:ilvl w:val="1"/>
          <w:numId w:val="3"/>
        </w:numPr>
        <w:spacing w:line="240" w:lineRule="auto"/>
        <w:ind w:left="1440" w:hanging="360"/>
        <w:rPr>
          <w:ins w:author="Ariel Liang" w:id="10" w:date="2022-01-07T18:30:16Z"/>
          <w:rFonts w:ascii="Calibri" w:cs="Calibri" w:eastAsia="Calibri" w:hAnsi="Calibri"/>
          <w:color w:val="333333"/>
          <w:sz w:val="24"/>
          <w:szCs w:val="24"/>
          <w:u w:val="none"/>
        </w:rPr>
      </w:pPr>
      <w:ins w:author="Ariel Liang" w:id="10" w:date="2022-01-07T18:30:16Z">
        <w:r w:rsidDel="00000000" w:rsidR="00000000" w:rsidRPr="00000000">
          <w:rPr>
            <w:rFonts w:ascii="Calibri" w:cs="Calibri" w:eastAsia="Calibri" w:hAnsi="Calibri"/>
            <w:color w:val="333333"/>
            <w:sz w:val="24"/>
            <w:szCs w:val="24"/>
            <w:rtl w:val="0"/>
          </w:rPr>
          <w:t xml:space="preserve">May need to include definition for “reserved” (to differentiate from “withheld-same-entity” and “blocked”).  </w:t>
        </w:r>
      </w:ins>
    </w:p>
    <w:p w:rsidR="00000000" w:rsidDel="00000000" w:rsidP="00000000" w:rsidRDefault="00000000" w:rsidRPr="00000000" w14:paraId="000000B6">
      <w:pPr>
        <w:numPr>
          <w:ilvl w:val="1"/>
          <w:numId w:val="3"/>
        </w:numPr>
        <w:spacing w:line="240" w:lineRule="auto"/>
        <w:ind w:left="1440" w:hanging="360"/>
        <w:rPr>
          <w:ins w:author="Ariel Liang" w:id="10" w:date="2022-01-07T18:30:16Z"/>
          <w:rFonts w:ascii="Calibri" w:cs="Calibri" w:eastAsia="Calibri" w:hAnsi="Calibri"/>
          <w:color w:val="333333"/>
          <w:sz w:val="24"/>
          <w:szCs w:val="24"/>
          <w:u w:val="none"/>
        </w:rPr>
      </w:pPr>
      <w:ins w:author="Ariel Liang" w:id="10" w:date="2022-01-07T18:30:16Z">
        <w:r w:rsidDel="00000000" w:rsidR="00000000" w:rsidRPr="00000000">
          <w:rPr>
            <w:rFonts w:ascii="Calibri" w:cs="Calibri" w:eastAsia="Calibri" w:hAnsi="Calibri"/>
            <w:color w:val="333333"/>
            <w:sz w:val="24"/>
            <w:szCs w:val="24"/>
            <w:rtl w:val="0"/>
          </w:rPr>
          <w:t xml:space="preserve">May need to define other terms not related to label states, such as “variant” and “bundle”, as the EPDP Team goes through the charter – the task of defining those additional terms can be a “parking lot” item. </w:t>
        </w:r>
      </w:ins>
    </w:p>
    <w:p w:rsidR="00000000" w:rsidDel="00000000" w:rsidP="00000000" w:rsidRDefault="00000000" w:rsidRPr="00000000" w14:paraId="000000B7">
      <w:pPr>
        <w:numPr>
          <w:ilvl w:val="1"/>
          <w:numId w:val="3"/>
        </w:numPr>
        <w:spacing w:line="240" w:lineRule="auto"/>
        <w:ind w:left="1440" w:hanging="360"/>
        <w:rPr>
          <w:ins w:author="Ariel Liang" w:id="10" w:date="2022-01-07T18:30:16Z"/>
          <w:rFonts w:ascii="Calibri" w:cs="Calibri" w:eastAsia="Calibri" w:hAnsi="Calibri"/>
          <w:color w:val="333333"/>
          <w:sz w:val="24"/>
          <w:szCs w:val="24"/>
          <w:u w:val="none"/>
        </w:rPr>
      </w:pPr>
      <w:ins w:author="Ariel Liang" w:id="10" w:date="2022-01-07T18:30:16Z">
        <w:r w:rsidDel="00000000" w:rsidR="00000000" w:rsidRPr="00000000">
          <w:rPr>
            <w:rFonts w:ascii="Calibri" w:cs="Calibri" w:eastAsia="Calibri" w:hAnsi="Calibri"/>
            <w:color w:val="333333"/>
            <w:sz w:val="24"/>
            <w:szCs w:val="24"/>
            <w:rtl w:val="0"/>
          </w:rPr>
          <w:t xml:space="preserve">Revisit and finalize the definitions after the EPDP Team has explored all the possible scenarios when addressing other charter questions. </w:t>
        </w:r>
      </w:ins>
    </w:p>
    <w:p w:rsidR="00000000" w:rsidDel="00000000" w:rsidP="00000000" w:rsidRDefault="00000000" w:rsidRPr="00000000" w14:paraId="000000B8">
      <w:pPr>
        <w:spacing w:line="240" w:lineRule="auto"/>
        <w:rPr>
          <w:ins w:author="Ariel Liang" w:id="10" w:date="2022-01-07T18:30:16Z"/>
          <w:rFonts w:ascii="Calibri" w:cs="Calibri" w:eastAsia="Calibri" w:hAnsi="Calibri"/>
          <w:color w:val="333333"/>
          <w:sz w:val="24"/>
          <w:szCs w:val="24"/>
        </w:rPr>
      </w:pPr>
      <w:ins w:author="Ariel Liang" w:id="10" w:date="2022-01-07T18:30:16Z">
        <w:r w:rsidDel="00000000" w:rsidR="00000000" w:rsidRPr="00000000">
          <w:rPr>
            <w:rtl w:val="0"/>
          </w:rPr>
        </w:r>
      </w:ins>
    </w:p>
    <w:p w:rsidR="00000000" w:rsidDel="00000000" w:rsidP="00000000" w:rsidRDefault="00000000" w:rsidRPr="00000000" w14:paraId="000000B9">
      <w:pPr>
        <w:spacing w:line="240" w:lineRule="auto"/>
        <w:rPr>
          <w:rFonts w:ascii="Arial" w:cs="Arial" w:eastAsia="Arial" w:hAnsi="Arial"/>
          <w:b w:val="0"/>
          <w:i w:val="0"/>
          <w:smallCaps w:val="0"/>
          <w:strike w:val="0"/>
          <w:color w:val="000000"/>
          <w:sz w:val="22"/>
          <w:szCs w:val="22"/>
          <w:u w:val="none"/>
          <w:shd w:fill="auto" w:val="clear"/>
          <w:vertAlign w:val="baseline"/>
          <w:rPrChange w:author="Ariel Liang" w:id="12" w:date="2022-01-07T18:34:59Z">
            <w:rPr>
              <w:rFonts w:ascii="Calibri" w:cs="Calibri" w:eastAsia="Calibri" w:hAnsi="Calibri"/>
              <w:color w:val="333333"/>
              <w:sz w:val="24"/>
              <w:szCs w:val="24"/>
              <w:u w:val="none"/>
            </w:rPr>
          </w:rPrChange>
        </w:rPr>
        <w:pPrChange w:author="Ariel Liang" w:id="0" w:date="2022-01-07T18:34:59Z">
          <w:pPr>
            <w:numPr>
              <w:ilvl w:val="1"/>
              <w:numId w:val="3"/>
            </w:numPr>
            <w:spacing w:line="240" w:lineRule="auto"/>
            <w:ind w:left="1440" w:hanging="360"/>
          </w:pPr>
        </w:pPrChange>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BA">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BB">
            <w:pPr>
              <w:numPr>
                <w:ilvl w:val="0"/>
                <w:numId w:val="10"/>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BC">
            <w:pPr>
              <w:numPr>
                <w:ilvl w:val="0"/>
                <w:numId w:val="10"/>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BD">
            <w:pPr>
              <w:numPr>
                <w:ilvl w:val="0"/>
                <w:numId w:val="10"/>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BE">
            <w:pPr>
              <w:numPr>
                <w:ilvl w:val="0"/>
                <w:numId w:val="10"/>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BF">
            <w:pPr>
              <w:numPr>
                <w:ilvl w:val="0"/>
                <w:numId w:val="10"/>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C0">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C1">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C2">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C3">
      <w:pPr>
        <w:spacing w:line="240" w:lineRule="auto"/>
        <w:rPr/>
      </w:pPr>
      <w:r w:rsidDel="00000000" w:rsidR="00000000" w:rsidRPr="00000000">
        <w:rPr>
          <w:rtl w:val="0"/>
        </w:rPr>
      </w:r>
    </w:p>
    <w:p w:rsidR="00000000" w:rsidDel="00000000" w:rsidP="00000000" w:rsidRDefault="00000000" w:rsidRPr="00000000" w14:paraId="000000C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As noted in SAC062, “ICANN should ensure that the number of strings that are activated is as small as possible.”</w:t>
      </w:r>
    </w:p>
    <w:p w:rsidR="00000000" w:rsidDel="00000000" w:rsidP="00000000" w:rsidRDefault="00000000" w:rsidRPr="00000000" w14:paraId="000000C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C6">
      <w:pPr>
        <w:numPr>
          <w:ilvl w:val="0"/>
          <w:numId w:val="3"/>
        </w:numPr>
        <w:spacing w:line="240" w:lineRule="auto"/>
        <w:ind w:left="720" w:hanging="360"/>
        <w:rPr>
          <w:ins w:author="Ariel Liang" w:id="13" w:date="2022-01-07T19:29:40Z"/>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 with the deliberations captured under a9 above.</w:t>
      </w:r>
      <w:ins w:author="Ariel Liang" w:id="13" w:date="2022-01-07T19:29:40Z">
        <w:r w:rsidDel="00000000" w:rsidR="00000000" w:rsidRPr="00000000">
          <w:rPr>
            <w:rtl w:val="0"/>
          </w:rPr>
        </w:r>
      </w:ins>
    </w:p>
    <w:p w:rsidR="00000000" w:rsidDel="00000000" w:rsidP="00000000" w:rsidRDefault="00000000" w:rsidRPr="00000000" w14:paraId="000000C7">
      <w:pPr>
        <w:numPr>
          <w:ilvl w:val="0"/>
          <w:numId w:val="3"/>
        </w:numPr>
        <w:spacing w:line="240" w:lineRule="auto"/>
        <w:ind w:left="720" w:hanging="360"/>
        <w:rPr>
          <w:rFonts w:ascii="Calibri" w:cs="Calibri" w:eastAsia="Calibri" w:hAnsi="Calibri"/>
          <w:sz w:val="24"/>
          <w:szCs w:val="24"/>
          <w:rPrChange w:author="Ariel Liang" w:id="14" w:date="2022-01-07T19:29:40Z">
            <w:rPr>
              <w:rFonts w:ascii="Calibri" w:cs="Calibri" w:eastAsia="Calibri" w:hAnsi="Calibri"/>
              <w:i w:val="1"/>
              <w:sz w:val="24"/>
              <w:szCs w:val="24"/>
            </w:rPr>
          </w:rPrChange>
        </w:rPr>
        <w:pPrChange w:author="Ariel Liang" w:id="0" w:date="2022-01-07T19:29:40Z">
          <w:pPr>
            <w:numPr>
              <w:ilvl w:val="0"/>
              <w:numId w:val="3"/>
            </w:numPr>
            <w:spacing w:line="240" w:lineRule="auto"/>
            <w:ind w:left="720" w:hanging="360"/>
          </w:pPr>
        </w:pPrChange>
      </w:pPr>
      <w:ins w:author="Ariel Liang" w:id="13" w:date="2022-01-07T19:29:40Z">
        <w:r w:rsidDel="00000000" w:rsidR="00000000" w:rsidRPr="00000000">
          <w:rPr>
            <w:rFonts w:ascii="Calibri" w:cs="Calibri" w:eastAsia="Calibri" w:hAnsi="Calibri"/>
            <w:i w:val="1"/>
            <w:sz w:val="24"/>
            <w:szCs w:val="24"/>
            <w:rtl w:val="0"/>
          </w:rPr>
          <w:t xml:space="preserve">The label transition paths noted in the staff paper are fine for the moment. Revisit after the EPDP Team addresses other charter questions and see potential implications. </w:t>
        </w:r>
      </w:ins>
      <w:r w:rsidDel="00000000" w:rsidR="00000000" w:rsidRPr="00000000">
        <w:rPr>
          <w:rtl w:val="0"/>
        </w:rPr>
      </w:r>
    </w:p>
    <w:sectPr>
      <w:footerReference r:id="rId15"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ennis Tan" w:id="0" w:date="2021-12-01T20:24:46Z">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see a potential conflict with SSAC's opinion on question a1. It seems to me that they are suggesting that as long as the IDN label is compliant with IDNA2008 (larger repertoire than RZ-LGR) then it should be allowed to be processed, SO LONG the label is applied for as a stand alone TLD. Variants of that label (it presumes self-identified variants) would not be allowed.</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presents a problem because now we would be in a situation where an applicant who is seeking to apply for a label (whose script is supported) that is deemed invalid per the RZ-LGR but valid by raw IDNA standards, could press the DNS stability panel to approve it.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C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C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C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C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C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C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C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D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0D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0D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0D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0D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0D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0D6">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0D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mmunity.icann.org/download/attachments/180029369/EPDP%20Team%20Meeting%20%2314%20Slides.pdf?version=2&amp;modificationDate=1638481302000&amp;api=v2" TargetMode="External"/><Relationship Id="rId10" Type="http://schemas.openxmlformats.org/officeDocument/2006/relationships/hyperlink" Target="https://community.icann.org/download/attachments/180029369/EPDP%20Team%20Meeting%20%2314%20Slides.pdf?version=2&amp;modificationDate=1638481302000&amp;api=v2" TargetMode="External"/><Relationship Id="rId13" Type="http://schemas.openxmlformats.org/officeDocument/2006/relationships/hyperlink" Target="https://community.icann.org/download/attachments/180029374/EPDP%20Team%20Meeting%20%2315%20Slides.pdf?version=1&amp;modificationDate=1638995159000&amp;api=v2" TargetMode="External"/><Relationship Id="rId12" Type="http://schemas.openxmlformats.org/officeDocument/2006/relationships/hyperlink" Target="https://community.icann.org/download/attachments/180029374/EPDP%20Team%20Meeting%20%2315%20Slides.pdf?version=1&amp;modificationDate=1638995159000&amp;api=v2"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community.icann.org/display/epdpidn/2021-11-04+IDNs+EPDP#:~:text=EPDP%20Team%20Meeting%20%2313%20Slides.pdf" TargetMode="External"/><Relationship Id="rId15" Type="http://schemas.openxmlformats.org/officeDocument/2006/relationships/footer" Target="footer1.xml"/><Relationship Id="rId14" Type="http://schemas.openxmlformats.org/officeDocument/2006/relationships/hyperlink" Target="https://community.icann.org/download/attachments/180029377/EPDP%20Team%20Meeting%20%2316%20Slides.pdf?version=2&amp;modificationDate=1639801011000&amp;api=v2" TargetMode="Externa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hyperlink" Target="https://docs.google.com/spreadsheets/d/1m2OKyXsHa9pfyBz2u44UTTSYjAbuxe_FHCsK9LUKPVI/edit#gid=0"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