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38"/>
          <w:szCs w:val="38"/>
        </w:rPr>
      </w:pPr>
      <w:r w:rsidDel="00000000" w:rsidR="00000000" w:rsidRPr="00000000">
        <w:rPr>
          <w:rFonts w:ascii="Calibri" w:cs="Calibri" w:eastAsia="Calibri" w:hAnsi="Calibri"/>
          <w:sz w:val="38"/>
          <w:szCs w:val="38"/>
          <w:rtl w:val="0"/>
        </w:rPr>
        <w:t xml:space="preserve">Topic A: </w:t>
      </w:r>
      <w:r w:rsidDel="00000000" w:rsidR="00000000" w:rsidRPr="00000000">
        <w:rPr>
          <w:rFonts w:ascii="Calibri" w:cs="Calibri" w:eastAsia="Calibri" w:hAnsi="Calibri"/>
          <w:sz w:val="38"/>
          <w:szCs w:val="38"/>
          <w:rtl w:val="0"/>
        </w:rPr>
        <w:t xml:space="preserve">Consistent definition and </w:t>
      </w:r>
    </w:p>
    <w:p w:rsidR="00000000" w:rsidDel="00000000" w:rsidP="00000000" w:rsidRDefault="00000000" w:rsidRPr="00000000" w14:paraId="0000000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technical utilization of RZ-LGR</w:t>
      </w:r>
      <w:r w:rsidDel="00000000" w:rsidR="00000000" w:rsidRPr="00000000">
        <w:rPr>
          <w:rtl w:val="0"/>
        </w:rPr>
      </w:r>
    </w:p>
    <w:p w:rsidR="00000000" w:rsidDel="00000000" w:rsidP="00000000" w:rsidRDefault="00000000" w:rsidRPr="00000000" w14:paraId="00000004">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8">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9">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A">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C">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A1 High-level Notes: </w:t>
      </w:r>
    </w:p>
    <w:p w:rsidR="00000000" w:rsidDel="00000000" w:rsidP="00000000" w:rsidRDefault="00000000" w:rsidRPr="00000000" w14:paraId="00000010">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2">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7">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8">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p>
    <w:p w:rsidR="00000000" w:rsidDel="00000000" w:rsidP="00000000" w:rsidRDefault="00000000" w:rsidRPr="00000000" w14:paraId="00000019">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agreed that the RZ-LGR should be an absolute quantifier or rule set for what should be allowed in the root zone. </w:t>
      </w:r>
    </w:p>
    <w:p w:rsidR="00000000" w:rsidDel="00000000" w:rsidP="00000000" w:rsidRDefault="00000000" w:rsidRPr="00000000" w14:paraId="0000001A">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B">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C">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E">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20">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A2 </w:t>
      </w: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7">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p>
    <w:p w:rsidR="00000000" w:rsidDel="00000000" w:rsidP="00000000" w:rsidRDefault="00000000" w:rsidRPr="00000000" w14:paraId="00000029">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SSAC members suggested an analysis of the “synchronized TLDs” against the most current version of LGR to determine whether Charter Question A2 is a hypothetical question. They further suggested that If such a situation mentioned in A2 did happen, the applicant can request a review on the LGR to see if the LGR needs to be updated.</w:t>
      </w:r>
      <w:r w:rsidDel="00000000" w:rsidR="00000000" w:rsidRPr="00000000">
        <w:rPr>
          <w:rtl w:val="0"/>
        </w:rPr>
      </w:r>
    </w:p>
    <w:p w:rsidR="00000000" w:rsidDel="00000000" w:rsidP="00000000" w:rsidRDefault="00000000" w:rsidRPr="00000000" w14:paraId="0000002A">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B">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A3 High-level Notes: </w:t>
      </w:r>
    </w:p>
    <w:p w:rsidR="00000000" w:rsidDel="00000000" w:rsidP="00000000" w:rsidRDefault="00000000" w:rsidRPr="00000000" w14:paraId="0000002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31">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32">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3">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7">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4">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5">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7">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8">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9">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C">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D">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F">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40">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4">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5">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8">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D">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50">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51">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3">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6">
      <w:pPr>
        <w:numPr>
          <w:ilvl w:val="0"/>
          <w:numId w:val="18"/>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9">
      <w:pPr>
        <w:numPr>
          <w:ilvl w:val="0"/>
          <w:numId w:val="15"/>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C">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D">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E">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0">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61">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2">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5">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6">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7">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C">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A4 High-Level Notes:</w:t>
      </w:r>
    </w:p>
    <w:p w:rsidR="00000000" w:rsidDel="00000000" w:rsidP="00000000" w:rsidRDefault="00000000" w:rsidRPr="00000000" w14:paraId="0000006D">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9">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E">
      <w:pPr>
        <w:numPr>
          <w:ilvl w:val="0"/>
          <w:numId w:val="16"/>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F">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70">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71">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72">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3">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4">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5">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A">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A5 High-Level Notes: </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Staff presentation provided an overview of the background/origin of the charter question, including SAC060, TSG Recommendation 14, and Appendix C of Staff Paper: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sz w:val="24"/>
          <w:szCs w:val="24"/>
          <w:rtl w:val="0"/>
        </w:rPr>
        <w:t xml:space="preserve">SSAC is the main entity that advised limiting allocatable variants for delegation </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F">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80">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81">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Members want to see more data that can help inform whether there should be a ceiling value or other limit to be proposed.</w:t>
      </w:r>
    </w:p>
    <w:p w:rsidR="00000000" w:rsidDel="00000000" w:rsidP="00000000" w:rsidRDefault="00000000" w:rsidRPr="00000000" w14:paraId="00000082">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SSAC members commented that the language communities are in a better position to make decisions about criteria for limits to ensure that the number of delegated top-level variant labels remains small. They advised applying a conservative approach initially in order to reduce the risk of a combinatorial explosion. </w:t>
      </w:r>
    </w:p>
    <w:p w:rsidR="00000000" w:rsidDel="00000000" w:rsidP="00000000" w:rsidRDefault="00000000" w:rsidRPr="00000000" w14:paraId="00000083">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Start with the question: Is one label sufficient? If not, are two sufficient? If not, which candidate variants are uniquely differentiated from the primary label and widely used in the community? </w:t>
      </w:r>
    </w:p>
    <w:p w:rsidR="00000000" w:rsidDel="00000000" w:rsidP="00000000" w:rsidRDefault="00000000" w:rsidRPr="00000000" w14:paraId="00000084">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For example, the Chinese language community allows for three variant labels, one which has been applied-for, one which is the Simplified Chinese version and one which is the Traditional Chinese version. </w:t>
      </w:r>
    </w:p>
    <w:p w:rsidR="00000000" w:rsidDel="00000000" w:rsidP="00000000" w:rsidRDefault="00000000" w:rsidRPr="00000000" w14:paraId="00000085">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A similar limit may be imposed in the beginning to ensure conservatism, and may be relaxed over time, as the community gains experience with IDN variant TLD delegation and associated usability and manageability challenges.</w:t>
      </w:r>
    </w:p>
    <w:p w:rsidR="00000000" w:rsidDel="00000000" w:rsidP="00000000" w:rsidRDefault="00000000" w:rsidRPr="00000000" w14:paraId="00000086">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that it is a policy question to define synchronization and determine how synchronization can be achieved.</w:t>
      </w:r>
    </w:p>
    <w:p w:rsidR="00000000" w:rsidDel="00000000" w:rsidP="00000000" w:rsidRDefault="00000000" w:rsidRPr="00000000" w14:paraId="00000087">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possible alternative solution – in the application process, a registry needs to demonstrate that it is in a position to effectively manage the variants it is requesting. There may be different elements of this evaluation depending on what is being proposed in terms of variants. Illustrative examples can be provided to demonstrate registry’s ability to manage the variants, but those examples should not be converted into definitive criteria. </w:t>
      </w:r>
    </w:p>
    <w:p w:rsidR="00000000" w:rsidDel="00000000" w:rsidP="00000000" w:rsidRDefault="00000000" w:rsidRPr="00000000" w14:paraId="00000088">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Currently most registries just activate one domain name and block its variants at the second level. If variants belong to the same registrant, there is no technical concern in terms of allowing a registrant to switch the primary label at the second level among the variants. </w:t>
      </w:r>
    </w:p>
    <w:p w:rsidR="00000000" w:rsidDel="00000000" w:rsidP="00000000" w:rsidRDefault="00000000" w:rsidRPr="00000000" w14:paraId="00000089">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ICANN org staff checked all scripts in the RZ-LGR and those that will be </w:t>
      </w:r>
      <w:r w:rsidDel="00000000" w:rsidR="00000000" w:rsidRPr="00000000">
        <w:rPr>
          <w:rFonts w:ascii="Calibri" w:cs="Calibri" w:eastAsia="Calibri" w:hAnsi="Calibri"/>
          <w:sz w:val="24"/>
          <w:szCs w:val="24"/>
          <w:rtl w:val="0"/>
        </w:rPr>
        <w:t xml:space="preserve">incorporated</w:t>
      </w:r>
      <w:r w:rsidDel="00000000" w:rsidR="00000000" w:rsidRPr="00000000">
        <w:rPr>
          <w:rFonts w:ascii="Calibri" w:cs="Calibri" w:eastAsia="Calibri" w:hAnsi="Calibri"/>
          <w:sz w:val="24"/>
          <w:szCs w:val="24"/>
          <w:rtl w:val="0"/>
        </w:rPr>
        <w:t xml:space="preserve"> in the next version to see if there are mechanisms in place to reduce the number of allocatable variants (see slides </w:t>
      </w:r>
      <w:hyperlink r:id="rId11">
        <w:r w:rsidDel="00000000" w:rsidR="00000000" w:rsidRPr="00000000">
          <w:rPr>
            <w:rFonts w:ascii="Calibri" w:cs="Calibri" w:eastAsia="Calibri" w:hAnsi="Calibri"/>
            <w:color w:val="1155cc"/>
            <w:sz w:val="24"/>
            <w:szCs w:val="24"/>
            <w:u w:val="single"/>
            <w:rtl w:val="0"/>
          </w:rPr>
          <w:t xml:space="preserve">here</w:t>
        </w:r>
      </w:hyperlink>
      <w:r w:rsidDel="00000000" w:rsidR="00000000" w:rsidRPr="00000000">
        <w:rPr>
          <w:rFonts w:ascii="Calibri" w:cs="Calibri" w:eastAsia="Calibri" w:hAnsi="Calibri"/>
          <w:sz w:val="24"/>
          <w:szCs w:val="24"/>
          <w:rtl w:val="0"/>
        </w:rPr>
        <w:t xml:space="preserve">). Only seven scripts have allocatable variants: Arabic, Bengali, Chinese, Greek, Latin, Myanmar, and Tamil. The remaining scripts either do not have variants at all (based on the judgement of the script community and the way variants are defined), or do not have allocatable variants (due to the lack of usability of those variants). </w:t>
      </w:r>
    </w:p>
    <w:p w:rsidR="00000000" w:rsidDel="00000000" w:rsidP="00000000" w:rsidRDefault="00000000" w:rsidRPr="00000000" w14:paraId="0000008A">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 the scripts with allocatable variant labels, ICANN org staff ran them through the RZ-LGR to see how many variants are created. Most scripts have been able to put a reasonable ceiling on the number of variants (2-4 variant labels), but Arabic and Chinese might create an unanticipated number of variant labels. </w:t>
      </w:r>
    </w:p>
    <w:p w:rsidR="00000000" w:rsidDel="00000000" w:rsidP="00000000" w:rsidRDefault="00000000" w:rsidRPr="00000000" w14:paraId="0000008B">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Recalling the SSAC engagement session on 13 January 2022, SSAC members seemed to agree that there shouldn’t be an arbitrary limit/ceiling value but there should be a focus on evaluation criteria in order to understand that the registry can manage any issues that arise with variants.</w:t>
      </w:r>
    </w:p>
    <w:p w:rsidR="00000000" w:rsidDel="00000000" w:rsidP="00000000" w:rsidRDefault="00000000" w:rsidRPr="00000000" w14:paraId="0000008C">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w:t>
      </w:r>
      <w:r w:rsidDel="00000000" w:rsidR="00000000" w:rsidRPr="00000000">
        <w:rPr>
          <w:rFonts w:ascii="Calibri" w:cs="Calibri" w:eastAsia="Calibri" w:hAnsi="Calibri"/>
          <w:sz w:val="24"/>
          <w:szCs w:val="24"/>
          <w:rtl w:val="0"/>
        </w:rPr>
        <w:t xml:space="preserve">EPDP Team agreed that only a limited number of scripts are potentially impacted by the issue of over production of allocatable variant labels. There is general support not to recommend a ceiling value. Some support the idea that making variant domains manageable is something for the market to provide for. The EPDP Team may develop some implementation guidelines with input from Registries and Registrars.</w:t>
      </w: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E">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F">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90">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9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9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9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A6 High-Level Notes: </w:t>
      </w:r>
    </w:p>
    <w:p w:rsidR="00000000" w:rsidDel="00000000" w:rsidP="00000000" w:rsidRDefault="00000000" w:rsidRPr="00000000" w14:paraId="00000097">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2">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8">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99">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9A">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9B">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9C">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9D">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E">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p>
    <w:p w:rsidR="00000000" w:rsidDel="00000000" w:rsidP="00000000" w:rsidRDefault="00000000" w:rsidRPr="00000000" w14:paraId="0000009F">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to refine the draft recommendation language and restrict grandfathering to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(not to address blocked or withheld-same-entity variant labels). </w:t>
      </w:r>
    </w:p>
    <w:p w:rsidR="00000000" w:rsidDel="00000000" w:rsidP="00000000" w:rsidRDefault="00000000" w:rsidRPr="00000000" w14:paraId="000000A0">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supported the draft recommendation language that </w:t>
      </w:r>
      <w:r w:rsidDel="00000000" w:rsidR="00000000" w:rsidRPr="00000000">
        <w:rPr>
          <w:rFonts w:ascii="Calibri" w:cs="Calibri" w:eastAsia="Calibri" w:hAnsi="Calibri"/>
          <w:color w:val="333333"/>
          <w:sz w:val="24"/>
          <w:szCs w:val="24"/>
          <w:rtl w:val="0"/>
        </w:rPr>
        <w:t xml:space="preserve">existing</w:t>
      </w:r>
      <w:r w:rsidDel="00000000" w:rsidR="00000000" w:rsidRPr="00000000">
        <w:rPr>
          <w:rFonts w:ascii="Calibri" w:cs="Calibri" w:eastAsia="Calibri" w:hAnsi="Calibri"/>
          <w:color w:val="333333"/>
          <w:sz w:val="24"/>
          <w:szCs w:val="24"/>
          <w:rtl w:val="0"/>
        </w:rPr>
        <w:t xml:space="preserve"> gTLDs and their delegated and allocated variant labels will be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except as set forth in the limited circumstances, to be </w:t>
      </w:r>
      <w:r w:rsidDel="00000000" w:rsidR="00000000" w:rsidRPr="00000000">
        <w:rPr>
          <w:rFonts w:ascii="Calibri" w:cs="Calibri" w:eastAsia="Calibri" w:hAnsi="Calibri"/>
          <w:color w:val="333333"/>
          <w:sz w:val="24"/>
          <w:szCs w:val="24"/>
          <w:rtl w:val="0"/>
        </w:rPr>
        <w:t xml:space="preserve">specified</w:t>
      </w:r>
      <w:r w:rsidDel="00000000" w:rsidR="00000000" w:rsidRPr="00000000">
        <w:rPr>
          <w:rFonts w:ascii="Calibri" w:cs="Calibri" w:eastAsia="Calibri" w:hAnsi="Calibri"/>
          <w:color w:val="333333"/>
          <w:sz w:val="24"/>
          <w:szCs w:val="24"/>
          <w:rtl w:val="0"/>
        </w:rPr>
        <w:t xml:space="preserve"> in the LGR Procedure, that could result in an RZ-LGR update not being able to retain full backward </w:t>
      </w:r>
      <w:r w:rsidDel="00000000" w:rsidR="00000000" w:rsidRPr="00000000">
        <w:rPr>
          <w:rFonts w:ascii="Calibri" w:cs="Calibri" w:eastAsia="Calibri" w:hAnsi="Calibri"/>
          <w:color w:val="333333"/>
          <w:sz w:val="24"/>
          <w:szCs w:val="24"/>
          <w:rtl w:val="0"/>
        </w:rPr>
        <w:t xml:space="preserve">compatibility (additional edits for this recommendation language is needed). </w:t>
      </w:r>
      <w:r w:rsidDel="00000000" w:rsidR="00000000" w:rsidRPr="00000000">
        <w:rPr>
          <w:rtl w:val="0"/>
        </w:rPr>
      </w:r>
    </w:p>
    <w:p w:rsidR="00000000" w:rsidDel="00000000" w:rsidP="00000000" w:rsidRDefault="00000000" w:rsidRPr="00000000" w14:paraId="000000A1">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Determining whether a specific label should be delegated or </w:t>
      </w:r>
      <w:r w:rsidDel="00000000" w:rsidR="00000000" w:rsidRPr="00000000">
        <w:rPr>
          <w:rFonts w:ascii="Calibri" w:cs="Calibri" w:eastAsia="Calibri" w:hAnsi="Calibri"/>
          <w:color w:val="333333"/>
          <w:sz w:val="24"/>
          <w:szCs w:val="24"/>
          <w:rtl w:val="0"/>
        </w:rPr>
        <w:t xml:space="preserve">grandfathered</w:t>
      </w:r>
      <w:r w:rsidDel="00000000" w:rsidR="00000000" w:rsidRPr="00000000">
        <w:rPr>
          <w:rFonts w:ascii="Calibri" w:cs="Calibri" w:eastAsia="Calibri" w:hAnsi="Calibri"/>
          <w:color w:val="333333"/>
          <w:sz w:val="24"/>
          <w:szCs w:val="24"/>
          <w:rtl w:val="0"/>
        </w:rPr>
        <w:t xml:space="preserve"> in the root zone is outside the purview of the Generation Panels. Generation Panels do not have power over contracts they are not a party to. It is okay for Generation Panels to make a recommendation, subject to a process between ICANN org and the Registry. Further discussion may be needed about what that process would be following the recommendation from Generation Panels.</w:t>
      </w:r>
    </w:p>
    <w:p w:rsidR="00000000" w:rsidDel="00000000" w:rsidP="00000000" w:rsidRDefault="00000000" w:rsidRPr="00000000" w14:paraId="000000A2">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EPDP Team discussed the following suggestions to revise the draft recommendations: </w:t>
      </w:r>
    </w:p>
    <w:p w:rsidR="00000000" w:rsidDel="00000000" w:rsidP="00000000" w:rsidRDefault="00000000" w:rsidRPr="00000000" w14:paraId="000000A3">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Add a recommendation affirming the principle of backward compatibility. </w:t>
      </w:r>
    </w:p>
    <w:p w:rsidR="00000000" w:rsidDel="00000000" w:rsidP="00000000" w:rsidRDefault="00000000" w:rsidRPr="00000000" w14:paraId="000000A4">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Be more specific in the definition of grandfathering and the circumstances throughout the TLD lifecycle where this applies.</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A5">
      <w:pPr>
        <w:numPr>
          <w:ilvl w:val="2"/>
          <w:numId w:val="7"/>
        </w:numPr>
        <w:spacing w:line="240" w:lineRule="auto"/>
        <w:ind w:left="216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Example: In case RZ-LGR is updated, all existing TLDs will be subject to the RZ-LGR version applied when they were allocated.</w:t>
      </w:r>
    </w:p>
    <w:p w:rsidR="00000000" w:rsidDel="00000000" w:rsidP="00000000" w:rsidRDefault="00000000" w:rsidRPr="00000000" w14:paraId="000000A6">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Provide safeguards for the existing contracted parties in the event that backward compatibility cannot be achieved. </w:t>
      </w:r>
    </w:p>
    <w:p w:rsidR="00000000" w:rsidDel="00000000" w:rsidP="00000000" w:rsidRDefault="00000000" w:rsidRPr="00000000" w14:paraId="000000A7">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In recommendation 1.4, take out “to the extent feasible” and include that the RZ-LGR MUST be updated to specify the limited circumstances where backward compatibility cannot be achieved. </w:t>
      </w:r>
    </w:p>
    <w:p w:rsidR="00000000" w:rsidDel="00000000" w:rsidP="00000000" w:rsidRDefault="00000000" w:rsidRPr="00000000" w14:paraId="000000A8">
      <w:pPr>
        <w:numPr>
          <w:ilvl w:val="1"/>
          <w:numId w:val="7"/>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Add implementation guidance explaining specific expectations regarding the limited circumstances for exceptions to backwards compatibility.</w:t>
      </w:r>
    </w:p>
    <w:p w:rsidR="00000000" w:rsidDel="00000000" w:rsidP="00000000" w:rsidRDefault="00000000" w:rsidRPr="00000000" w14:paraId="000000A9">
      <w:pPr>
        <w:numPr>
          <w:ilvl w:val="1"/>
          <w:numId w:val="7"/>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In relation to recommendation 1.5, draft implementation guidance focusing on who should provide assessment on and suggest mitigatory actions for potential impact on the Registry Operator and other user experience as part of the public comment.</w:t>
      </w:r>
    </w:p>
    <w:p w:rsidR="00000000" w:rsidDel="00000000" w:rsidP="00000000" w:rsidRDefault="00000000" w:rsidRPr="00000000" w14:paraId="000000AA">
      <w:pPr>
        <w:numPr>
          <w:ilvl w:val="2"/>
          <w:numId w:val="7"/>
        </w:numPr>
        <w:spacing w:line="240" w:lineRule="auto"/>
        <w:ind w:left="216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Both the RO and ICANN org should have an opportunity to provide an assessment. If there is a disagreement, there should be a process to address any conflicts between the assessments. GPs could also consult with RO to suggest mitigatory actions. </w:t>
      </w:r>
      <w:r w:rsidDel="00000000" w:rsidR="00000000" w:rsidRPr="00000000">
        <w:rPr>
          <w:rtl w:val="0"/>
        </w:rPr>
      </w:r>
    </w:p>
    <w:p w:rsidR="00000000" w:rsidDel="00000000" w:rsidP="00000000" w:rsidRDefault="00000000" w:rsidRPr="00000000" w14:paraId="000000AB">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D">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AE">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F">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B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2">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A7 High-Level Notes: </w:t>
      </w:r>
    </w:p>
    <w:p w:rsidR="00000000" w:rsidDel="00000000" w:rsidP="00000000" w:rsidRDefault="00000000" w:rsidRPr="00000000" w14:paraId="000000B3">
      <w:pPr>
        <w:numPr>
          <w:ilvl w:val="0"/>
          <w:numId w:val="1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B4">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B5">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is the only ideographic script that is being used in the root zone. If the EPDP Team are looking only at ideographic scripts, it might still be useful to go back to the relevant GPs (i.e., Chinese, Japanese, Korean)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B6">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 for Chinese, Japanese, and Korean as well as the IP to identify a list of allowable characters that can be used for single character TLDs.</w:t>
      </w:r>
    </w:p>
    <w:p w:rsidR="00000000" w:rsidDel="00000000" w:rsidP="00000000" w:rsidRDefault="00000000" w:rsidRPr="00000000" w14:paraId="000000B7">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p>
    <w:p w:rsidR="00000000" w:rsidDel="00000000" w:rsidP="00000000" w:rsidRDefault="00000000" w:rsidRPr="00000000" w14:paraId="000000B8">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p>
    <w:p w:rsidR="00000000" w:rsidDel="00000000" w:rsidP="00000000" w:rsidRDefault="00000000" w:rsidRPr="00000000" w14:paraId="000000B9">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p>
    <w:p w:rsidR="00000000" w:rsidDel="00000000" w:rsidP="00000000" w:rsidRDefault="00000000" w:rsidRPr="00000000" w14:paraId="000000BA">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p>
    <w:p w:rsidR="00000000" w:rsidDel="00000000" w:rsidP="00000000" w:rsidRDefault="00000000" w:rsidRPr="00000000" w14:paraId="000000BB">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w:t>
      </w:r>
      <w:r w:rsidDel="00000000" w:rsidR="00000000" w:rsidRPr="00000000">
        <w:rPr>
          <w:rFonts w:ascii="Calibri" w:cs="Calibri" w:eastAsia="Calibri" w:hAnsi="Calibri"/>
          <w:color w:val="333333"/>
          <w:sz w:val="24"/>
          <w:szCs w:val="24"/>
          <w:rtl w:val="0"/>
        </w:rPr>
        <w:t xml:space="preserve">affirms the SubPro recommendation that single character TLDs are allowed for ideographic scripts. The implementation is the specific languages listed on the </w:t>
      </w:r>
      <w:hyperlink r:id="rId14">
        <w:r w:rsidDel="00000000" w:rsidR="00000000" w:rsidRPr="00000000">
          <w:rPr>
            <w:rFonts w:ascii="Calibri" w:cs="Calibri" w:eastAsia="Calibri" w:hAnsi="Calibri"/>
            <w:color w:val="1155cc"/>
            <w:sz w:val="24"/>
            <w:szCs w:val="24"/>
            <w:u w:val="single"/>
            <w:rtl w:val="0"/>
          </w:rPr>
          <w:t xml:space="preserve">slides</w:t>
        </w:r>
      </w:hyperlink>
      <w:r w:rsidDel="00000000" w:rsidR="00000000" w:rsidRPr="00000000">
        <w:rPr>
          <w:rFonts w:ascii="Calibri" w:cs="Calibri" w:eastAsia="Calibri" w:hAnsi="Calibri"/>
          <w:color w:val="333333"/>
          <w:sz w:val="24"/>
          <w:szCs w:val="24"/>
          <w:rtl w:val="0"/>
        </w:rPr>
        <w:t xml:space="preserve"> (Han script; Chinese, Japanese, and Korean languages). </w:t>
      </w:r>
    </w:p>
    <w:p w:rsidR="00000000" w:rsidDel="00000000" w:rsidP="00000000" w:rsidRDefault="00000000" w:rsidRPr="00000000" w14:paraId="000000BC">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provided support for outsourcing the second part of the charter question and asking the CJK Generational Panels to take on the task of developing a specific list of allowable characters for single-character gTLDs. A clear set of instructions should be sent to the GPs. </w:t>
      </w:r>
    </w:p>
    <w:p w:rsidR="00000000" w:rsidDel="00000000" w:rsidP="00000000" w:rsidRDefault="00000000" w:rsidRPr="00000000" w14:paraId="000000BD">
      <w:pPr>
        <w:numPr>
          <w:ilvl w:val="0"/>
          <w:numId w:val="1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also discussed the scenario that the review process in the New gTLD Application round can incorporate the evaluation of single character gTLD application from security/stability, string similarity, and other perspectives. One possibility is that the string similarity review panel could take up an additional role with respect to evaluating such applications. </w:t>
      </w:r>
    </w:p>
    <w:p w:rsidR="00000000" w:rsidDel="00000000" w:rsidP="00000000" w:rsidRDefault="00000000" w:rsidRPr="00000000" w14:paraId="000000BE">
      <w:pPr>
        <w:numPr>
          <w:ilvl w:val="0"/>
          <w:numId w:val="1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w:t>
      </w:r>
      <w:hyperlink r:id="rId15">
        <w:r w:rsidDel="00000000" w:rsidR="00000000" w:rsidRPr="00000000">
          <w:rPr>
            <w:rFonts w:ascii="Calibri" w:cs="Calibri" w:eastAsia="Calibri" w:hAnsi="Calibri"/>
            <w:color w:val="1155cc"/>
            <w:sz w:val="24"/>
            <w:szCs w:val="24"/>
            <w:u w:val="single"/>
            <w:rtl w:val="0"/>
          </w:rPr>
          <w:t xml:space="preserve">presented</w:t>
        </w:r>
      </w:hyperlink>
      <w:r w:rsidDel="00000000" w:rsidR="00000000" w:rsidRPr="00000000">
        <w:rPr>
          <w:rFonts w:ascii="Calibri" w:cs="Calibri" w:eastAsia="Calibri" w:hAnsi="Calibri"/>
          <w:color w:val="333333"/>
          <w:sz w:val="24"/>
          <w:szCs w:val="24"/>
          <w:rtl w:val="0"/>
        </w:rPr>
        <w:t xml:space="preserve"> a proposal for addressing the second part of A7 – Chinese/Japanese/Korean GPs to develop a “hard no” list of disqualified Han characters (e.g., single or two stroke characters); EPDP Team to provide clear instructions to GPs and IP for developing additional criteria to evaluate single-character gTLD application and be used by DNS stability, string sim, and other areas.</w:t>
      </w:r>
    </w:p>
    <w:p w:rsidR="00000000" w:rsidDel="00000000" w:rsidP="00000000" w:rsidRDefault="00000000" w:rsidRPr="00000000" w14:paraId="000000BF">
      <w:pPr>
        <w:numPr>
          <w:ilvl w:val="0"/>
          <w:numId w:val="17"/>
        </w:numPr>
        <w:spacing w:line="240" w:lineRule="auto"/>
        <w:ind w:left="720" w:hanging="360"/>
        <w:rPr>
          <w:ins w:author="Ariel Liang" w:id="0" w:date="2022-04-04T14:23:51Z"/>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support for consulting with the CJK GPs on the confusability question of single character gTLDs. SubPro also welcomed the clarity of a prescriptive list of allowable characters to make the application process more predictable. Nevertheless, some members are concerned the suggested criteria is being over complicated. </w:t>
      </w:r>
      <w:ins w:author="Ariel Liang" w:id="0" w:date="2022-04-04T14:23:51Z">
        <w:r w:rsidDel="00000000" w:rsidR="00000000" w:rsidRPr="00000000">
          <w:rPr>
            <w:rtl w:val="0"/>
          </w:rPr>
        </w:r>
      </w:ins>
    </w:p>
    <w:p w:rsidR="00000000" w:rsidDel="00000000" w:rsidP="00000000" w:rsidRDefault="00000000" w:rsidRPr="00000000" w14:paraId="000000C0">
      <w:pPr>
        <w:numPr>
          <w:ilvl w:val="0"/>
          <w:numId w:val="17"/>
        </w:numPr>
        <w:spacing w:line="240" w:lineRule="auto"/>
        <w:ind w:left="720" w:hanging="360"/>
        <w:rPr>
          <w:ins w:author="Ariel Liang" w:id="0" w:date="2022-04-04T14:23:51Z"/>
          <w:rFonts w:ascii="Calibri" w:cs="Calibri" w:eastAsia="Calibri" w:hAnsi="Calibri"/>
          <w:color w:val="333333"/>
          <w:sz w:val="24"/>
          <w:szCs w:val="24"/>
          <w:u w:val="none"/>
        </w:rPr>
      </w:pPr>
      <w:ins w:author="Ariel Liang" w:id="0" w:date="2022-04-04T14:23:51Z">
        <w:r w:rsidDel="00000000" w:rsidR="00000000" w:rsidRPr="00000000">
          <w:rPr>
            <w:rFonts w:ascii="Calibri" w:cs="Calibri" w:eastAsia="Calibri" w:hAnsi="Calibri"/>
            <w:color w:val="333333"/>
            <w:sz w:val="24"/>
            <w:szCs w:val="24"/>
            <w:rtl w:val="0"/>
          </w:rPr>
          <w:t xml:space="preserve">Staff </w:t>
        </w:r>
        <w:r w:rsidDel="00000000" w:rsidR="00000000" w:rsidRPr="00000000">
          <w:fldChar w:fldCharType="begin"/>
        </w:r>
        <w:r w:rsidDel="00000000" w:rsidR="00000000" w:rsidRPr="00000000">
          <w:instrText xml:space="preserve">HYPERLINK "https://community.icann.org/download/attachments/192217191/EPDP%20Team%20Meeting%20%2328%20Slides%20-%20B4a%2C%20B5%2C%20A7%2C%20A10.pdf?version=1&amp;modificationDate=1648750678000&amp;api=v2"</w:instrText>
        </w:r>
        <w:r w:rsidDel="00000000" w:rsidR="00000000" w:rsidRPr="00000000">
          <w:fldChar w:fldCharType="separate"/>
        </w:r>
        <w:r w:rsidDel="00000000" w:rsidR="00000000" w:rsidRPr="00000000">
          <w:rPr>
            <w:rFonts w:ascii="Calibri" w:cs="Calibri" w:eastAsia="Calibri" w:hAnsi="Calibri"/>
            <w:color w:val="333333"/>
            <w:sz w:val="24"/>
            <w:szCs w:val="24"/>
            <w:rtl w:val="0"/>
          </w:rPr>
          <w:t xml:space="preserve">presented</w:t>
        </w:r>
        <w:r w:rsidDel="00000000" w:rsidR="00000000" w:rsidRPr="00000000">
          <w:fldChar w:fldCharType="end"/>
        </w:r>
        <w:r w:rsidDel="00000000" w:rsidR="00000000" w:rsidRPr="00000000">
          <w:rPr>
            <w:rFonts w:ascii="Calibri" w:cs="Calibri" w:eastAsia="Calibri" w:hAnsi="Calibri"/>
            <w:color w:val="333333"/>
            <w:sz w:val="24"/>
            <w:szCs w:val="24"/>
            <w:rtl w:val="0"/>
          </w:rPr>
          <w:t xml:space="preserve"> a revised proposal for consultation with CJK GPs. </w:t>
        </w:r>
      </w:ins>
    </w:p>
    <w:p w:rsidR="00000000" w:rsidDel="00000000" w:rsidP="00000000" w:rsidRDefault="00000000" w:rsidRPr="00000000" w14:paraId="000000C1">
      <w:pPr>
        <w:numPr>
          <w:ilvl w:val="0"/>
          <w:numId w:val="17"/>
        </w:numPr>
        <w:spacing w:line="240" w:lineRule="auto"/>
        <w:ind w:left="720" w:hanging="360"/>
        <w:rPr>
          <w:ins w:author="Ariel Liang" w:id="0" w:date="2022-04-04T14:23:51Z"/>
          <w:rFonts w:ascii="Calibri" w:cs="Calibri" w:eastAsia="Calibri" w:hAnsi="Calibri"/>
          <w:color w:val="333333"/>
          <w:sz w:val="24"/>
          <w:szCs w:val="24"/>
          <w:u w:val="none"/>
        </w:rPr>
      </w:pPr>
      <w:ins w:author="Ariel Liang" w:id="0" w:date="2022-04-04T14:23:51Z">
        <w:r w:rsidDel="00000000" w:rsidR="00000000" w:rsidRPr="00000000">
          <w:rPr>
            <w:rFonts w:ascii="Calibri" w:cs="Calibri" w:eastAsia="Calibri" w:hAnsi="Calibri"/>
            <w:color w:val="333333"/>
            <w:sz w:val="24"/>
            <w:szCs w:val="24"/>
            <w:rtl w:val="0"/>
          </w:rPr>
          <w:t xml:space="preserve">Regarding further points for setting expectations for the GPs: The Chair’s perspective is that we should consider any feedback from the GPs as an input to EPDP Team deliberations. On the question “should the outcomes be encoded in the RZ-LGR, or should they be published as a document for reference,” it may be that we need to see the output before we can decide.</w:t>
        </w:r>
      </w:ins>
    </w:p>
    <w:p w:rsidR="00000000" w:rsidDel="00000000" w:rsidP="00000000" w:rsidRDefault="00000000" w:rsidRPr="00000000" w14:paraId="000000C2">
      <w:pPr>
        <w:numPr>
          <w:ilvl w:val="0"/>
          <w:numId w:val="17"/>
        </w:numPr>
        <w:spacing w:line="240" w:lineRule="auto"/>
        <w:ind w:left="720" w:hanging="360"/>
        <w:rPr>
          <w:rFonts w:ascii="Calibri" w:cs="Calibri" w:eastAsia="Calibri" w:hAnsi="Calibri"/>
          <w:color w:val="333333"/>
          <w:sz w:val="24"/>
          <w:szCs w:val="24"/>
          <w:u w:val="none"/>
          <w:rPrChange w:author="Ariel Liang" w:id="1" w:date="2022-04-04T14:23:51Z">
            <w:rPr>
              <w:rFonts w:ascii="Calibri" w:cs="Calibri" w:eastAsia="Calibri" w:hAnsi="Calibri"/>
              <w:color w:val="333333"/>
              <w:sz w:val="24"/>
              <w:szCs w:val="24"/>
            </w:rPr>
          </w:rPrChange>
        </w:rPr>
        <w:pPrChange w:author="Ariel Liang" w:id="0" w:date="2022-04-04T14:23:51Z">
          <w:pPr>
            <w:numPr>
              <w:ilvl w:val="0"/>
              <w:numId w:val="17"/>
            </w:numPr>
            <w:spacing w:line="240" w:lineRule="auto"/>
            <w:ind w:left="720" w:hanging="360"/>
          </w:pPr>
        </w:pPrChange>
      </w:pPr>
      <w:ins w:author="Ariel Liang" w:id="0" w:date="2022-04-04T14:23:51Z">
        <w:r w:rsidDel="00000000" w:rsidR="00000000" w:rsidRPr="00000000">
          <w:rPr>
            <w:rFonts w:ascii="Calibri" w:cs="Calibri" w:eastAsia="Calibri" w:hAnsi="Calibri"/>
            <w:color w:val="333333"/>
            <w:sz w:val="24"/>
            <w:szCs w:val="24"/>
            <w:rtl w:val="0"/>
          </w:rPr>
          <w:t xml:space="preserve">EPDP Team was tasked to review the consultation approach on the mailing list and provide response, if any. The goal is to wrap up the discussion of the outreach approach by EOB Friday, 8 April on the mailing list. </w:t>
        </w:r>
      </w:ins>
      <w:r w:rsidDel="00000000" w:rsidR="00000000" w:rsidRPr="00000000">
        <w:rPr>
          <w:rtl w:val="0"/>
        </w:rPr>
      </w:r>
    </w:p>
    <w:p w:rsidR="00000000" w:rsidDel="00000000" w:rsidP="00000000" w:rsidRDefault="00000000" w:rsidRPr="00000000" w14:paraId="000000C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4">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5">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C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7">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A8 Parking lot for future discussion:</w:t>
      </w:r>
    </w:p>
    <w:p w:rsidR="00000000" w:rsidDel="00000000" w:rsidP="00000000" w:rsidRDefault="00000000" w:rsidRPr="00000000" w14:paraId="000000C8">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C9">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CB">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C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C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CE">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F">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A9 </w:t>
      </w:r>
      <w:r w:rsidDel="00000000" w:rsidR="00000000" w:rsidRPr="00000000">
        <w:rPr>
          <w:rFonts w:ascii="Calibri" w:cs="Calibri" w:eastAsia="Calibri" w:hAnsi="Calibri"/>
          <w:b w:val="1"/>
          <w:sz w:val="24"/>
          <w:szCs w:val="24"/>
          <w:rtl w:val="0"/>
        </w:rPr>
        <w:t xml:space="preserve">High-Level Notes:</w:t>
      </w:r>
    </w:p>
    <w:p w:rsidR="00000000" w:rsidDel="00000000" w:rsidP="00000000" w:rsidRDefault="00000000" w:rsidRPr="00000000" w14:paraId="000000D0">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D1">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6">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D2">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D3">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w:t>
      </w:r>
    </w:p>
    <w:p w:rsidR="00000000" w:rsidDel="00000000" w:rsidP="00000000" w:rsidRDefault="00000000" w:rsidRPr="00000000" w14:paraId="000000D4">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D5">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discussed there additional suggestions from members: </w:t>
      </w:r>
    </w:p>
    <w:p w:rsidR="00000000" w:rsidDel="00000000" w:rsidP="00000000" w:rsidRDefault="00000000" w:rsidRPr="00000000" w14:paraId="000000D6">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in everyday speak, people tend to use “allocated” and “delegated” interchangeably. </w:t>
      </w:r>
    </w:p>
    <w:p w:rsidR="00000000" w:rsidDel="00000000" w:rsidP="00000000" w:rsidRDefault="00000000" w:rsidRPr="00000000" w14:paraId="000000D7">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variant management context. </w:t>
      </w:r>
    </w:p>
    <w:p w:rsidR="00000000" w:rsidDel="00000000" w:rsidP="00000000" w:rsidRDefault="00000000" w:rsidRPr="00000000" w14:paraId="000000D8">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p>
    <w:p w:rsidR="00000000" w:rsidDel="00000000" w:rsidP="00000000" w:rsidRDefault="00000000" w:rsidRPr="00000000" w14:paraId="000000D9">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p>
    <w:p w:rsidR="00000000" w:rsidDel="00000000" w:rsidP="00000000" w:rsidRDefault="00000000" w:rsidRPr="00000000" w14:paraId="000000DA">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p>
    <w:p w:rsidR="00000000" w:rsidDel="00000000" w:rsidP="00000000" w:rsidRDefault="00000000" w:rsidRPr="00000000" w14:paraId="000000DB">
      <w:pPr>
        <w:numPr>
          <w:ilvl w:val="0"/>
          <w:numId w:val="3"/>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further discussed the difference between “allocated” and “delegated” states: “allocated” relates to an administrative step in the application processing, and “delegated” relates to a technical step after the contract is executed. From the perspective of ccTLDs, the administrative step of “allocated” occurs at successful evaluation; there is a formal announcement. For gTLDs, “allocated” would likely be when the string is formally administratively assigned to the applicant; it may be the signing of the contract. </w:t>
      </w:r>
    </w:p>
    <w:p w:rsidR="00000000" w:rsidDel="00000000" w:rsidP="00000000" w:rsidRDefault="00000000" w:rsidRPr="00000000" w14:paraId="000000DC">
      <w:pPr>
        <w:numPr>
          <w:ilvl w:val="0"/>
          <w:numId w:val="3"/>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Regarding the suggestion to add “reserved” definition, the EPDP Team discussed the lack of clarity if variants of reserved names have been identified and if they will be identified going forward.</w:t>
      </w:r>
    </w:p>
    <w:p w:rsidR="00000000" w:rsidDel="00000000" w:rsidP="00000000" w:rsidRDefault="00000000" w:rsidRPr="00000000" w14:paraId="000000DD">
      <w:pPr>
        <w:numPr>
          <w:ilvl w:val="0"/>
          <w:numId w:val="3"/>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Team stressed the important purpose of the label state definitions. Once you start applying definitions to a process that has similar words that don’t mean the same things, it becomes more confusing. The definitions the Team is trying to nail down are associated with the New gTLD process. The EPDP also needs to be mindful that there is a need for consistency with the ccTLD fast track process. There might be some differences in what happens after delegations with gTLDs and ccTLDs because the processes are different.</w:t>
      </w:r>
    </w:p>
    <w:p w:rsidR="00000000" w:rsidDel="00000000" w:rsidP="00000000" w:rsidRDefault="00000000" w:rsidRPr="00000000" w14:paraId="000000DE">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EPDP Team further discussed some possible scenarios when a label transits from “delegated” to “allocated”: for example, a gTLD got terminated but it’s still attached to some legal entity. The Team suggests that additional explanations might be needed for clarifying this transition path, as transitioning from “delegated” back to “allocated” may have a few possibilities that need to be fleshed out further. </w:t>
      </w:r>
    </w:p>
    <w:p w:rsidR="00000000" w:rsidDel="00000000" w:rsidP="00000000" w:rsidRDefault="00000000" w:rsidRPr="00000000" w14:paraId="000000DF">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Board liaison to the EPDP Team proposed the following rough diagram to map out the various label transition paths. The diagram covers the most common cases and represents the new gTLD application for the main label. Consideration of edge cases and application for a variant label of a delegated gTLD is needed to make the diagram more comprehensive. </w:t>
      </w:r>
    </w:p>
    <w:p w:rsidR="00000000" w:rsidDel="00000000" w:rsidP="00000000" w:rsidRDefault="00000000" w:rsidRPr="00000000" w14:paraId="000000E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5943600" cy="339090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3390900"/>
                    </a:xfrm>
                    <a:prstGeom prst="rect"/>
                    <a:ln/>
                  </pic:spPr>
                </pic:pic>
              </a:graphicData>
            </a:graphic>
          </wp:inline>
        </w:drawing>
      </w:r>
      <w:r w:rsidDel="00000000" w:rsidR="00000000" w:rsidRPr="00000000">
        <w:rPr>
          <w:rtl w:val="0"/>
        </w:rPr>
      </w:r>
    </w:p>
    <w:p w:rsidR="00000000" w:rsidDel="00000000" w:rsidP="00000000" w:rsidRDefault="00000000" w:rsidRPr="00000000" w14:paraId="000000E1">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the need to apply the label states practically to the new gTLD application process and fill in the gaps (e.g., adding “contract execution” as an explicit step”). </w:t>
      </w:r>
    </w:p>
    <w:p w:rsidR="00000000" w:rsidDel="00000000" w:rsidP="00000000" w:rsidRDefault="00000000" w:rsidRPr="00000000" w14:paraId="000000E2">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Team discussed different perspectives with regard to whether a blocked variant should come into consideration in any contention resolution. This question will be tackled in Topic E of the charter. </w:t>
      </w:r>
    </w:p>
    <w:p w:rsidR="00000000" w:rsidDel="00000000" w:rsidP="00000000" w:rsidRDefault="00000000" w:rsidRPr="00000000" w14:paraId="000000E3">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is tasked to draft a document overlaying definitions with label states in the new gTLD process. </w:t>
      </w:r>
    </w:p>
    <w:p w:rsidR="00000000" w:rsidDel="00000000" w:rsidP="00000000" w:rsidRDefault="00000000" w:rsidRPr="00000000" w14:paraId="000000E4">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Council liaison to the ccPDP4 is expected to share the status/outcome of the ccPDP4 discussion related to A9/A10. </w:t>
      </w:r>
    </w:p>
    <w:p w:rsidR="00000000" w:rsidDel="00000000" w:rsidP="00000000" w:rsidRDefault="00000000" w:rsidRPr="00000000" w14:paraId="000000E5">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support for the staff’s suggestion to accept the label states, as proposed in the Staff Paper, as a preliminary recommendation. Rationale is that label states are not dependent upon the application statuses and the EPDP Team is not asked to expand the application statuses. The variant labels and their respective states will be leveraged in different processes and considered by the EPDP Team later (e.g., string sim, objections, etc.). ccPDP4 also accepted the staff paper recommendation for the label states. </w:t>
      </w:r>
    </w:p>
    <w:p w:rsidR="00000000" w:rsidDel="00000000" w:rsidP="00000000" w:rsidRDefault="00000000" w:rsidRPr="00000000" w14:paraId="000000E6">
      <w:pPr>
        <w:numPr>
          <w:ilvl w:val="0"/>
          <w:numId w:val="1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also suggested making a recommendation to ensure that the definitions of the label states are not inconsistent with what the SubPro ODP is working on and consistent with terminology in the new gTLD Program (and ccTLDs to the extent possible).</w:t>
      </w:r>
    </w:p>
    <w:p w:rsidR="00000000" w:rsidDel="00000000" w:rsidP="00000000" w:rsidRDefault="00000000" w:rsidRPr="00000000" w14:paraId="000000E7">
      <w:pPr>
        <w:spacing w:line="240" w:lineRule="auto"/>
        <w:rPr>
          <w:rFonts w:ascii="Calibri" w:cs="Calibri" w:eastAsia="Calibri" w:hAnsi="Calibri"/>
          <w:color w:val="333333"/>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E8">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E9">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EA">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EB">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EC">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ED">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EE">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EF">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F0">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F1">
      <w:pPr>
        <w:spacing w:line="240" w:lineRule="auto"/>
        <w:rPr/>
      </w:pPr>
      <w:r w:rsidDel="00000000" w:rsidR="00000000" w:rsidRPr="00000000">
        <w:rPr>
          <w:rtl w:val="0"/>
        </w:rPr>
      </w:r>
    </w:p>
    <w:p w:rsidR="00000000" w:rsidDel="00000000" w:rsidP="00000000" w:rsidRDefault="00000000" w:rsidRPr="00000000" w14:paraId="000000F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F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F4">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A10 High-Level Notes: </w:t>
      </w:r>
    </w:p>
    <w:p w:rsidR="00000000" w:rsidDel="00000000" w:rsidP="00000000" w:rsidRDefault="00000000" w:rsidRPr="00000000" w14:paraId="000000F5">
      <w:pPr>
        <w:numPr>
          <w:ilvl w:val="0"/>
          <w:numId w:val="3"/>
        </w:numPr>
        <w:spacing w:line="240" w:lineRule="auto"/>
        <w:ind w:left="720" w:hanging="360"/>
        <w:rPr>
          <w:ins w:author="Ariel Liang" w:id="2" w:date="2022-04-04T14:33:47Z"/>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ins w:author="Ariel Liang" w:id="2" w:date="2022-04-04T14:33:47Z">
        <w:r w:rsidDel="00000000" w:rsidR="00000000" w:rsidRPr="00000000">
          <w:rPr>
            <w:rtl w:val="0"/>
          </w:rPr>
        </w:r>
      </w:ins>
    </w:p>
    <w:p w:rsidR="00000000" w:rsidDel="00000000" w:rsidP="00000000" w:rsidRDefault="00000000" w:rsidRPr="00000000" w14:paraId="000000F6">
      <w:pPr>
        <w:numPr>
          <w:ilvl w:val="0"/>
          <w:numId w:val="3"/>
        </w:numPr>
        <w:spacing w:line="240" w:lineRule="auto"/>
        <w:ind w:left="720" w:hanging="360"/>
        <w:rPr>
          <w:rFonts w:ascii="Calibri" w:cs="Calibri" w:eastAsia="Calibri" w:hAnsi="Calibri"/>
          <w:sz w:val="24"/>
          <w:szCs w:val="24"/>
          <w:rPrChange w:author="Ariel Liang" w:id="3" w:date="2022-04-04T14:33:47Z">
            <w:rPr>
              <w:rFonts w:ascii="Calibri" w:cs="Calibri" w:eastAsia="Calibri" w:hAnsi="Calibri"/>
              <w:i w:val="1"/>
              <w:sz w:val="24"/>
              <w:szCs w:val="24"/>
            </w:rPr>
          </w:rPrChange>
        </w:rPr>
        <w:pPrChange w:author="Ariel Liang" w:id="0" w:date="2022-04-04T14:33:47Z">
          <w:pPr>
            <w:numPr>
              <w:ilvl w:val="0"/>
              <w:numId w:val="3"/>
            </w:numPr>
            <w:spacing w:line="240" w:lineRule="auto"/>
            <w:ind w:left="720" w:hanging="360"/>
          </w:pPr>
        </w:pPrChange>
      </w:pPr>
      <w:ins w:author="Ariel Liang" w:id="2" w:date="2022-04-04T14:33:47Z">
        <w:r w:rsidDel="00000000" w:rsidR="00000000" w:rsidRPr="00000000">
          <w:rPr>
            <w:rFonts w:ascii="Calibri" w:cs="Calibri" w:eastAsia="Calibri" w:hAnsi="Calibri"/>
            <w:i w:val="1"/>
            <w:sz w:val="24"/>
            <w:szCs w:val="24"/>
            <w:rtl w:val="0"/>
          </w:rPr>
          <w:t xml:space="preserve">Staff </w:t>
        </w:r>
        <w:r w:rsidDel="00000000" w:rsidR="00000000" w:rsidRPr="00000000">
          <w:fldChar w:fldCharType="begin"/>
        </w:r>
        <w:r w:rsidDel="00000000" w:rsidR="00000000" w:rsidRPr="00000000">
          <w:instrText xml:space="preserve">HYPERLINK "https://community.icann.org/download/attachments/192217191/EPDP%20Team%20Meeting%20%2328%20Slides%20-%20B4a%2C%20B5%2C%20A7%2C%20A10.pdf?version=1&amp;modificationDate=1648750678000&amp;api=v2"</w:instrText>
        </w:r>
        <w:r w:rsidDel="00000000" w:rsidR="00000000" w:rsidRPr="00000000">
          <w:fldChar w:fldCharType="separate"/>
        </w:r>
        <w:r w:rsidDel="00000000" w:rsidR="00000000" w:rsidRPr="00000000">
          <w:rPr>
            <w:rFonts w:ascii="Calibri" w:cs="Calibri" w:eastAsia="Calibri" w:hAnsi="Calibri"/>
            <w:i w:val="1"/>
            <w:sz w:val="24"/>
            <w:szCs w:val="24"/>
            <w:rtl w:val="0"/>
          </w:rPr>
          <w:t xml:space="preserve">presented</w:t>
        </w:r>
        <w:r w:rsidDel="00000000" w:rsidR="00000000" w:rsidRPr="00000000">
          <w:fldChar w:fldCharType="end"/>
        </w:r>
        <w:r w:rsidDel="00000000" w:rsidR="00000000" w:rsidRPr="00000000">
          <w:rPr>
            <w:rFonts w:ascii="Calibri" w:cs="Calibri" w:eastAsia="Calibri" w:hAnsi="Calibri"/>
            <w:i w:val="1"/>
            <w:sz w:val="24"/>
            <w:szCs w:val="24"/>
            <w:rtl w:val="0"/>
          </w:rPr>
          <w:t xml:space="preserve"> a suggested path forward to draft a response to the charter question in support of the recommendations in the staff paper. One thing to clarify is that the transition from “rejected” to “</w:t>
        </w:r>
        <w:r w:rsidDel="00000000" w:rsidR="00000000" w:rsidRPr="00000000">
          <w:rPr>
            <w:rFonts w:ascii="Calibri" w:cs="Calibri" w:eastAsia="Calibri" w:hAnsi="Calibri"/>
            <w:i w:val="1"/>
            <w:sz w:val="24"/>
            <w:szCs w:val="24"/>
            <w:rtl w:val="0"/>
          </w:rPr>
          <w:t xml:space="preserve">withheld</w:t>
        </w:r>
        <w:r w:rsidDel="00000000" w:rsidR="00000000" w:rsidRPr="00000000">
          <w:rPr>
            <w:rFonts w:ascii="Calibri" w:cs="Calibri" w:eastAsia="Calibri" w:hAnsi="Calibri"/>
            <w:i w:val="1"/>
            <w:sz w:val="24"/>
            <w:szCs w:val="24"/>
            <w:rtl w:val="0"/>
          </w:rPr>
          <w:t xml:space="preserve"> same entity” is not automatic; it depends on whether the ground for rejection is removed. </w:t>
        </w:r>
      </w:ins>
      <w:r w:rsidDel="00000000" w:rsidR="00000000" w:rsidRPr="00000000">
        <w:rPr>
          <w:rtl w:val="0"/>
        </w:rPr>
      </w:r>
    </w:p>
    <w:sectPr>
      <w:footerReference r:id="rId1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F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F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F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F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F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F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F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F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10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10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10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10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10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105">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10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3992731/EPDP%20on%20IDNs%20-%20A5%20-%2020%20Jan%202022.pdf?version=1&amp;modificationDate=1642693642936&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mmunity.icann.org/download/attachments/180029369/EPDP%20Team%20Meeting%20%2314%20Slides.pdf?version=2&amp;modificationDate=1638481302000&amp;api=v2" TargetMode="External"/><Relationship Id="rId15" Type="http://schemas.openxmlformats.org/officeDocument/2006/relationships/hyperlink" Target="https://community.icann.org/download/attachments/183992752/EPDP%20Team%20Meeting%20%2325%20Slides%20-%20A7%2C%20A9%2C%20D1b.pdf?version=2&amp;modificationDate=1645795472000&amp;api=v2" TargetMode="External"/><Relationship Id="rId14" Type="http://schemas.openxmlformats.org/officeDocument/2006/relationships/hyperlink" Target="https://community.icann.org/download/attachments/183992733/EPDP%20on%20IDNs%20-%20Call%20%2321%20-%2027%20January%202022.pdf?version=1&amp;modificationDate=1643297272000&amp;api=v2" TargetMode="External"/><Relationship Id="rId17" Type="http://schemas.openxmlformats.org/officeDocument/2006/relationships/image" Target="media/image1.png"/><Relationship Id="rId16" Type="http://schemas.openxmlformats.org/officeDocument/2006/relationships/hyperlink" Target="https://community.icann.org/download/attachments/180029377/EPDP%20Team%20Meeting%20%2316%20Slides.pdf?version=2&amp;modificationDate=1639801011000&amp;api=v2" TargetMode="External"/><Relationship Id="rId5" Type="http://schemas.openxmlformats.org/officeDocument/2006/relationships/numbering" Target="numbering.xml"/><Relationship Id="rId6" Type="http://schemas.openxmlformats.org/officeDocument/2006/relationships/styles" Target="styles.xml"/><Relationship Id="rId18" Type="http://schemas.openxmlformats.org/officeDocument/2006/relationships/footer" Target="footer1.xml"/><Relationship Id="rId7" Type="http://schemas.openxmlformats.org/officeDocument/2006/relationships/hyperlink" Target="https://docs.google.com/spreadsheets/d/1m2OKyXsHa9pfyBz2u44UTTSYjAbuxe_FHCsK9LUKPVI/edit#gid=0" TargetMode="External"/><Relationship Id="rId8" Type="http://schemas.openxmlformats.org/officeDocument/2006/relationships/hyperlink" Target="https://community.icann.org/display/epdpidn/2021-11-04+IDNs+EPDP#:~:text=EPDP%20Team%20Meeting%20%2313%20Slides.pdf"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