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Consistent definition and technical utilization of RZ-LGR</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9">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A">
      <w:pPr>
        <w:spacing w:line="240" w:lineRule="auto"/>
        <w:ind w:left="0" w:firstLine="0"/>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In SAC60, the SSAC recommends that: “The root zone must use one and only one set of rules for the Root LGR procedure.” (SAC060 Recommendation 1) The recommendation applies to all future TLDs (gTLDs and ccTLDs) as well as for existing delegated TLD labels.</w:t>
      </w:r>
      <w:r w:rsidDel="00000000" w:rsidR="00000000" w:rsidRPr="00000000">
        <w:rPr>
          <w:rtl w:val="0"/>
        </w:rPr>
      </w:r>
    </w:p>
    <w:p w:rsidR="00000000" w:rsidDel="00000000" w:rsidP="00000000" w:rsidRDefault="00000000" w:rsidRPr="00000000" w14:paraId="0000000B">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 </w:t>
      </w:r>
      <w:r w:rsidDel="00000000" w:rsidR="00000000" w:rsidRPr="00000000">
        <w:rPr>
          <w:rFonts w:ascii="Calibri" w:cs="Calibri" w:eastAsia="Calibri" w:hAnsi="Calibri"/>
          <w:color w:val="ff9900"/>
          <w:sz w:val="24"/>
          <w:szCs w:val="24"/>
          <w:rtl w:val="0"/>
        </w:rPr>
        <w:t xml:space="preserve">ccPDP4 VM Subgroup Recommendation: Definition of Variants. Compliance with Root Zone Label Generation Rules (RZ-LGR, RZ-LGR-2, and any future RZ-LGR rules sets) MUST be required for the generation of IDNccTLDs and variants labels, including the determination of whether the label is blocked or allocatable. IDN TLDs must comply with IDNA2008 (RFCs 5890-5895) or its successor(s). </w:t>
      </w:r>
      <w:r w:rsidDel="00000000" w:rsidR="00000000" w:rsidRPr="00000000">
        <w:rPr>
          <w:rtl w:val="0"/>
        </w:rPr>
      </w:r>
    </w:p>
    <w:p w:rsidR="00000000" w:rsidDel="00000000" w:rsidP="00000000" w:rsidRDefault="00000000" w:rsidRPr="00000000" w14:paraId="0000000D">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F">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0">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1">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RySG has no concerns in using the RZ-LGR as the authoritative source to calculate variants of existing gTLDs.</w:t>
      </w:r>
    </w:p>
    <w:p w:rsidR="00000000" w:rsidDel="00000000" w:rsidP="00000000" w:rsidRDefault="00000000" w:rsidRPr="00000000" w14:paraId="00000012">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Update on data collection -- this exercise is to use the latest version of the RZ-LGR to determine the variant labels of delegated and to-be delegated gTLDs in the 2012 New gTLD Round and determine whether the list of calculated variants match those that were identified by the applicant.</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no significant difference between the variants calculated by the RZ-LGR and those self-identified variants from the 2012 round.</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are two cases where there is a difference  -- one likely related to an alternative spelling and the other potentially a typo.</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scenario where an applicant applied for an ASCII gTLD and would like to apply for a self-identified “variant” (e.g., .Quebec and .Québec). This might be an opportunity for .Quebec to submit a public comment on the Initial Report if they want that specific use case to be taken into account, but the EPDP Team agreed that RZ-LGR should be the only authoritative source for defining variants, and alternative spellings should therefore not be considered variants. </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Based on the data collected, the EPDP Team agreed that if the RZ-LGR is decided to be the sole source for calculating variant labels and disposition values for existing gTLDs, it would not have a major impact on existing gTLD operators. </w:t>
      </w:r>
    </w:p>
    <w:p w:rsidR="00000000" w:rsidDel="00000000" w:rsidP="00000000" w:rsidRDefault="00000000" w:rsidRPr="00000000" w14:paraId="00000017">
      <w:pPr>
        <w:numPr>
          <w:ilvl w:val="0"/>
          <w:numId w:val="1"/>
        </w:numPr>
        <w:spacing w:line="240" w:lineRule="auto"/>
        <w:ind w:left="720" w:hanging="360"/>
        <w:rPr>
          <w:ins w:author="Ariel Liang" w:id="0" w:date="2022-01-18T20:15:11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RZ-LGR is used to calculate variants for existing gTLDs going forward, some of the self-identified variants, which conform to RZ-LGR, would be blocked. But this would not impact the EPDP Team’s agreement above.  </w:t>
      </w:r>
      <w:ins w:author="Ariel Liang" w:id="0" w:date="2022-01-18T20:15:11Z">
        <w:r w:rsidDel="00000000" w:rsidR="00000000" w:rsidRPr="00000000">
          <w:rPr>
            <w:rtl w:val="0"/>
          </w:rPr>
        </w:r>
      </w:ins>
    </w:p>
    <w:p w:rsidR="00000000" w:rsidDel="00000000" w:rsidP="00000000" w:rsidRDefault="00000000" w:rsidRPr="00000000" w14:paraId="00000018">
      <w:pPr>
        <w:numPr>
          <w:ilvl w:val="0"/>
          <w:numId w:val="1"/>
        </w:numPr>
        <w:spacing w:line="240" w:lineRule="auto"/>
        <w:ind w:left="720" w:hanging="360"/>
        <w:rPr>
          <w:rFonts w:ascii="Calibri" w:cs="Calibri" w:eastAsia="Calibri" w:hAnsi="Calibri"/>
          <w:sz w:val="24"/>
          <w:szCs w:val="24"/>
          <w:u w:val="none"/>
        </w:rPr>
      </w:pPr>
      <w:ins w:author="Ariel Liang" w:id="0" w:date="2022-01-18T20:15:11Z">
        <w:r w:rsidDel="00000000" w:rsidR="00000000" w:rsidRPr="00000000">
          <w:rPr>
            <w:rFonts w:ascii="Calibri" w:cs="Calibri" w:eastAsia="Calibri" w:hAnsi="Calibri"/>
            <w:sz w:val="24"/>
            <w:szCs w:val="24"/>
            <w:rtl w:val="0"/>
          </w:rPr>
          <w:t xml:space="preserve">SSAC members agreed that the RZ-LGR should be an absolute quantifier or rule set for what should be allowed in the root zone. </w:t>
        </w:r>
      </w:ins>
      <w:r w:rsidDel="00000000" w:rsidR="00000000" w:rsidRPr="00000000">
        <w:rPr>
          <w:rtl w:val="0"/>
        </w:rPr>
      </w:r>
    </w:p>
    <w:p w:rsidR="00000000" w:rsidDel="00000000" w:rsidP="00000000" w:rsidRDefault="00000000" w:rsidRPr="00000000" w14:paraId="00000019">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B">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C">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D">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An analysis of the delegated variant labels in ccTLDs against the most current version of LGR would answer whether this is a hypothetical question or not. If such a case did happen, the policy would need to balance (1) the user experience of existing users with variant domains, (2) the stability of rules applying to the root zone.  It would seem the likely course of action is for applicants to make an appeal to the generation or integration panel with all the evidence.</w:t>
      </w:r>
    </w:p>
    <w:p w:rsidR="00000000" w:rsidDel="00000000" w:rsidP="00000000" w:rsidRDefault="00000000" w:rsidRPr="00000000" w14:paraId="0000001F">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data collection exercise found that t</w:t>
      </w:r>
      <w:r w:rsidDel="00000000" w:rsidR="00000000" w:rsidRPr="00000000">
        <w:rPr>
          <w:rFonts w:ascii="Calibri" w:cs="Calibri" w:eastAsia="Calibri" w:hAnsi="Calibri"/>
          <w:sz w:val="24"/>
          <w:szCs w:val="24"/>
          <w:rtl w:val="0"/>
        </w:rPr>
        <w:t xml:space="preserve">here are two cases where the self-identified “variants” did not conform to RZ-LGR -- one likely related to an alternative spelling and the other potentially a typo. It doesn’t seem that they have been used to any extent. </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Former applicants were informed that the self-identified “variants” would not have legal standing so the applicants would not have claims to them. Those labels were for information purposes.</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the extent that new rules are put in place in the New gTLD Program, those rules apply to the specific round and are not retroactively applied. </w:t>
      </w:r>
    </w:p>
    <w:p w:rsidR="00000000" w:rsidDel="00000000" w:rsidP="00000000" w:rsidRDefault="00000000" w:rsidRPr="00000000" w14:paraId="00000027">
      <w:pPr>
        <w:numPr>
          <w:ilvl w:val="0"/>
          <w:numId w:val="4"/>
        </w:numPr>
        <w:spacing w:line="240" w:lineRule="auto"/>
        <w:ind w:left="720" w:hanging="360"/>
        <w:rPr>
          <w:ins w:author="Ariel Liang" w:id="1" w:date="2022-01-18T20:21:06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no further considerations are needed for this charter question, and nothing needs to be done for the self-identified variants. </w:t>
      </w:r>
      <w:ins w:author="Ariel Liang" w:id="1" w:date="2022-01-18T20:21:06Z">
        <w:r w:rsidDel="00000000" w:rsidR="00000000" w:rsidRPr="00000000">
          <w:rPr>
            <w:rtl w:val="0"/>
          </w:rPr>
        </w:r>
      </w:ins>
    </w:p>
    <w:p w:rsidR="00000000" w:rsidDel="00000000" w:rsidP="00000000" w:rsidRDefault="00000000" w:rsidRPr="00000000" w14:paraId="00000028">
      <w:pPr>
        <w:numPr>
          <w:ilvl w:val="0"/>
          <w:numId w:val="4"/>
        </w:numPr>
        <w:spacing w:line="240" w:lineRule="auto"/>
        <w:ind w:left="720" w:hanging="360"/>
        <w:rPr>
          <w:rFonts w:ascii="Calibri" w:cs="Calibri" w:eastAsia="Calibri" w:hAnsi="Calibri"/>
          <w:sz w:val="24"/>
          <w:szCs w:val="24"/>
          <w:rPrChange w:author="Ariel Liang" w:id="2" w:date="2022-01-18T20:21:06Z">
            <w:rPr>
              <w:rFonts w:ascii="Calibri" w:cs="Calibri" w:eastAsia="Calibri" w:hAnsi="Calibri"/>
              <w:sz w:val="24"/>
              <w:szCs w:val="24"/>
              <w:u w:val="none"/>
            </w:rPr>
          </w:rPrChange>
        </w:rPr>
        <w:pPrChange w:author="Ariel Liang" w:id="0" w:date="2022-01-18T20:21:06Z">
          <w:pPr>
            <w:numPr>
              <w:ilvl w:val="0"/>
              <w:numId w:val="4"/>
            </w:numPr>
            <w:spacing w:line="240" w:lineRule="auto"/>
            <w:ind w:left="720" w:hanging="360"/>
          </w:pPr>
        </w:pPrChange>
      </w:pPr>
      <w:ins w:author="Ariel Liang" w:id="1" w:date="2022-01-18T20:21:06Z">
        <w:r w:rsidDel="00000000" w:rsidR="00000000" w:rsidRPr="00000000">
          <w:rPr>
            <w:rFonts w:ascii="Calibri" w:cs="Calibri" w:eastAsia="Calibri" w:hAnsi="Calibri"/>
            <w:sz w:val="24"/>
            <w:szCs w:val="24"/>
            <w:rtl w:val="0"/>
          </w:rPr>
          <w:t xml:space="preserve">SSAC members </w:t>
        </w:r>
        <w:r w:rsidDel="00000000" w:rsidR="00000000" w:rsidRPr="00000000">
          <w:rPr>
            <w:rFonts w:ascii="Calibri" w:cs="Calibri" w:eastAsia="Calibri" w:hAnsi="Calibri"/>
            <w:sz w:val="24"/>
            <w:szCs w:val="24"/>
            <w:rtl w:val="0"/>
          </w:rPr>
          <w:t xml:space="preserve">suggested an analysis of the “</w:t>
        </w:r>
        <w:r w:rsidDel="00000000" w:rsidR="00000000" w:rsidRPr="00000000">
          <w:rPr>
            <w:rFonts w:ascii="Calibri" w:cs="Calibri" w:eastAsia="Calibri" w:hAnsi="Calibri"/>
            <w:sz w:val="24"/>
            <w:szCs w:val="24"/>
            <w:rtl w:val="0"/>
          </w:rPr>
          <w:t xml:space="preserve">synchronized</w:t>
        </w:r>
        <w:r w:rsidDel="00000000" w:rsidR="00000000" w:rsidRPr="00000000">
          <w:rPr>
            <w:rFonts w:ascii="Calibri" w:cs="Calibri" w:eastAsia="Calibri" w:hAnsi="Calibri"/>
            <w:sz w:val="24"/>
            <w:szCs w:val="24"/>
            <w:rtl w:val="0"/>
          </w:rPr>
          <w:t xml:space="preserve"> TLDs” against the most current version of LGR to determine whether Charter Question A2 is a hypothetical question. They further suggested that If such a situation mentioned in A2 did happen, the applicant can request a review on the LGR to see if the LGR needs to be updated.</w:t>
        </w:r>
      </w:ins>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A">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B">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30">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31">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that at a certain point before a round, the version of the RZ-LGR that applies to that round should be fixed, so that everyone is using the same version when testing strings and preparing for the round.</w:t>
      </w:r>
    </w:p>
    <w:p w:rsidR="00000000" w:rsidDel="00000000" w:rsidP="00000000" w:rsidRDefault="00000000" w:rsidRPr="00000000" w14:paraId="00000032">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several </w:t>
      </w:r>
      <w:hyperlink r:id="rId8">
        <w:r w:rsidDel="00000000" w:rsidR="00000000" w:rsidRPr="00000000">
          <w:rPr>
            <w:rFonts w:ascii="Calibri" w:cs="Calibri" w:eastAsia="Calibri" w:hAnsi="Calibri"/>
            <w:color w:val="1155cc"/>
            <w:sz w:val="24"/>
            <w:szCs w:val="24"/>
            <w:u w:val="single"/>
            <w:rtl w:val="0"/>
          </w:rPr>
          <w:t xml:space="preserve">potential scenarios</w:t>
        </w:r>
      </w:hyperlink>
      <w:r w:rsidDel="00000000" w:rsidR="00000000" w:rsidRPr="00000000">
        <w:rPr>
          <w:rFonts w:ascii="Calibri" w:cs="Calibri" w:eastAsia="Calibri" w:hAnsi="Calibri"/>
          <w:sz w:val="24"/>
          <w:szCs w:val="24"/>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33">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scenario 1, an EPDP Team member noted that the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34">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35">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that the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36">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37">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the GP would handle such requests (as opposed to the DNS Stability Panel conducting the original evaluation).</w:t>
      </w:r>
    </w:p>
    <w:p w:rsidR="00000000" w:rsidDel="00000000" w:rsidP="00000000" w:rsidRDefault="00000000" w:rsidRPr="00000000" w14:paraId="00000038">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3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3B">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RZ-LGR process is triggered, should it still be possible to proceed with the application in the same round?</w:t>
      </w:r>
    </w:p>
    <w:p w:rsidR="00000000" w:rsidDel="00000000" w:rsidP="00000000" w:rsidRDefault="00000000" w:rsidRPr="00000000" w14:paraId="0000003D">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3E">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3F">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40">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Feedback on the draft RZ-LGR Application and process flow:</w:t>
      </w:r>
    </w:p>
    <w:p w:rsidR="00000000" w:rsidDel="00000000" w:rsidP="00000000" w:rsidRDefault="00000000" w:rsidRPr="00000000" w14:paraId="00000042">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43">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44">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but does not qualify through the RZ-LGR, that is the layer that it can potentially be challenged through this process.</w:t>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reviewed the updated </w:t>
      </w:r>
      <w:hyperlink r:id="rId9">
        <w:r w:rsidDel="00000000" w:rsidR="00000000" w:rsidRPr="00000000">
          <w:rPr>
            <w:rFonts w:ascii="Calibri" w:cs="Calibri" w:eastAsia="Calibri" w:hAnsi="Calibri"/>
            <w:color w:val="1155cc"/>
            <w:sz w:val="24"/>
            <w:szCs w:val="24"/>
            <w:u w:val="single"/>
            <w:rtl w:val="0"/>
          </w:rPr>
          <w:t xml:space="preserve">process flow</w:t>
        </w:r>
      </w:hyperlink>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agreement in the EPDP Team for the following: </w:t>
      </w:r>
    </w:p>
    <w:p w:rsidR="00000000" w:rsidDel="00000000" w:rsidP="00000000" w:rsidRDefault="00000000" w:rsidRPr="00000000" w14:paraId="00000049">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is applied correctly to the applicant’s label. </w:t>
      </w:r>
    </w:p>
    <w:p w:rsidR="00000000" w:rsidDel="00000000" w:rsidP="00000000" w:rsidRDefault="00000000" w:rsidRPr="00000000" w14:paraId="0000004A">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p>
    <w:p w:rsidR="00000000" w:rsidDel="00000000" w:rsidP="00000000" w:rsidRDefault="00000000" w:rsidRPr="00000000" w14:paraId="0000004B">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p>
    <w:p w:rsidR="00000000" w:rsidDel="00000000" w:rsidP="00000000" w:rsidRDefault="00000000" w:rsidRPr="00000000" w14:paraId="0000004C">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at the early stage of the application process. If the change request process is invoked, the relevant label should not hold up any other application. </w:t>
      </w:r>
    </w:p>
    <w:p w:rsidR="00000000" w:rsidDel="00000000" w:rsidP="00000000" w:rsidRDefault="00000000" w:rsidRPr="00000000" w14:paraId="0000004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p>
    <w:p w:rsidR="00000000" w:rsidDel="00000000" w:rsidP="00000000" w:rsidRDefault="00000000" w:rsidRPr="00000000" w14:paraId="0000004F">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p>
    <w:p w:rsidR="00000000" w:rsidDel="00000000" w:rsidP="00000000" w:rsidRDefault="00000000" w:rsidRPr="00000000" w14:paraId="00000050">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p>
    <w:p w:rsidR="00000000" w:rsidDel="00000000" w:rsidP="00000000" w:rsidRDefault="00000000" w:rsidRPr="00000000" w14:paraId="00000052">
      <w:pPr>
        <w:numPr>
          <w:ilvl w:val="0"/>
          <w:numId w:val="13"/>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labels is an overkill/unnecessary. </w:t>
      </w:r>
    </w:p>
    <w:p w:rsidR="00000000" w:rsidDel="00000000" w:rsidP="00000000" w:rsidRDefault="00000000" w:rsidRPr="00000000" w14:paraId="0000005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p>
    <w:p w:rsidR="00000000" w:rsidDel="00000000" w:rsidP="00000000" w:rsidRDefault="00000000" w:rsidRPr="00000000" w14:paraId="00000055">
      <w:pPr>
        <w:numPr>
          <w:ilvl w:val="0"/>
          <w:numId w:val="17"/>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p>
    <w:p w:rsidR="00000000" w:rsidDel="00000000" w:rsidP="00000000" w:rsidRDefault="00000000" w:rsidRPr="00000000" w14:paraId="0000005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Q4</w:t>
      </w:r>
      <w:r w:rsidDel="00000000" w:rsidR="00000000" w:rsidRPr="00000000">
        <w:rPr>
          <w:rFonts w:ascii="Calibri" w:cs="Calibri" w:eastAsia="Calibri" w:hAnsi="Calibri"/>
          <w:sz w:val="24"/>
          <w:szCs w:val="24"/>
          <w:rtl w:val="0"/>
        </w:rPr>
        <w:t xml:space="preserve">: [Assuming that the application system has correctly incorporated the algorithmic check] Upon receiving rejection from the DNS Stability Panel, should the applicant be allowed to amend the applied-for label in order to conform with the application system?</w:t>
      </w:r>
    </w:p>
    <w:p w:rsidR="00000000" w:rsidDel="00000000" w:rsidP="00000000" w:rsidRDefault="00000000" w:rsidRPr="00000000" w14:paraId="00000058">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p>
    <w:p w:rsidR="00000000" w:rsidDel="00000000" w:rsidP="00000000" w:rsidRDefault="00000000" w:rsidRPr="00000000" w14:paraId="0000005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A">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supported the following high-level points, although some additional detail is needed about the role of the DNS Stability Panel: </w:t>
      </w:r>
    </w:p>
    <w:p w:rsidR="00000000" w:rsidDel="00000000" w:rsidP="00000000" w:rsidRDefault="00000000" w:rsidRPr="00000000" w14:paraId="0000005B">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An applicant can challenge an evaluation determined by the DNS Stability Panel that the applied-for TLD label, whose script is supported by the RZ-LGR, is “invalid” </w:t>
      </w:r>
    </w:p>
    <w:p w:rsidR="00000000" w:rsidDel="00000000" w:rsidP="00000000" w:rsidRDefault="00000000" w:rsidRPr="00000000" w14:paraId="0000005C">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Eligibility for filing such a challenge is limited to the applicant’s belief that the DNS Stability Panel has incorrectly assessed the label as “invalid”. </w:t>
      </w:r>
    </w:p>
    <w:p w:rsidR="00000000" w:rsidDel="00000000" w:rsidP="00000000" w:rsidRDefault="00000000" w:rsidRPr="00000000" w14:paraId="0000005D">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evaluation challenge processes and criteria applicable to the DNS Stability Review recommended in the SubPro Final Report should be used for such a challenge.</w:t>
      </w:r>
    </w:p>
    <w:p w:rsidR="00000000" w:rsidDel="00000000" w:rsidP="00000000" w:rsidRDefault="00000000" w:rsidRPr="00000000" w14:paraId="0000005E">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agreed that all of SubPro’s recommendations and implementation guidance for evaluation challenge processes and criteria are fit for purpose. These recommendations and implementation guidance are under Topic 32 (with the exception of Implementation Guidance 32.6, which only applies to appeals and not applicable to the scenarios being discussed in this EPDP).   </w:t>
      </w:r>
    </w:p>
    <w:p w:rsidR="00000000" w:rsidDel="00000000" w:rsidP="00000000" w:rsidRDefault="00000000" w:rsidRPr="00000000" w14:paraId="00000060">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61">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Some members noted that in the EPDP Recommendation or response to this charter, it should be explained that the DNS Stability Panel is expected to conduct a manual check of the algorithm’s output to confirm the validity of applied-for labels in all cases. </w:t>
      </w:r>
      <w:r w:rsidDel="00000000" w:rsidR="00000000" w:rsidRPr="00000000">
        <w:rPr>
          <w:rtl w:val="0"/>
        </w:rPr>
      </w:r>
    </w:p>
    <w:p w:rsidR="00000000" w:rsidDel="00000000" w:rsidP="00000000" w:rsidRDefault="00000000" w:rsidRPr="00000000" w14:paraId="00000062">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4">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65">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66">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w:t>
      </w:r>
      <w:r w:rsidDel="00000000" w:rsidR="00000000" w:rsidRPr="00000000">
        <w:rPr>
          <w:rFonts w:ascii="Calibri" w:cs="Calibri" w:eastAsia="Calibri" w:hAnsi="Calibri"/>
          <w:color w:val="ff9900"/>
          <w:sz w:val="24"/>
          <w:szCs w:val="24"/>
          <w:rtl w:val="0"/>
        </w:rPr>
        <w:t xml:space="preserve"> </w:t>
      </w:r>
      <w:commentRangeStart w:id="0"/>
      <w:r w:rsidDel="00000000" w:rsidR="00000000" w:rsidRPr="00000000">
        <w:rPr>
          <w:rFonts w:ascii="Calibri" w:cs="Calibri" w:eastAsia="Calibri" w:hAnsi="Calibri"/>
          <w:color w:val="ff9900"/>
          <w:sz w:val="24"/>
          <w:szCs w:val="24"/>
          <w:rtl w:val="0"/>
        </w:rPr>
        <w:t xml:space="preserve">To support the deployment of IDNs, as long as the codepoints are allowed by IDNA, there is no reason to prohibit the application. However, any variant would not be allowed until the script is integrated into LGR.</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6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topic will be discussed shortly by the VM SubGroup.</w:t>
      </w:r>
    </w:p>
    <w:p w:rsidR="00000000" w:rsidDel="00000000" w:rsidP="00000000" w:rsidRDefault="00000000" w:rsidRPr="00000000" w14:paraId="0000006A">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B">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w:t>
      </w:r>
    </w:p>
    <w:p w:rsidR="00000000" w:rsidDel="00000000" w:rsidP="00000000" w:rsidRDefault="00000000" w:rsidRPr="00000000" w14:paraId="0000006C">
      <w:pPr>
        <w:numPr>
          <w:ilvl w:val="0"/>
          <w:numId w:val="15"/>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hyperlink r:id="rId10">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tl w:val="0"/>
        </w:rPr>
      </w:r>
    </w:p>
    <w:p w:rsidR="00000000" w:rsidDel="00000000" w:rsidP="00000000" w:rsidRDefault="00000000" w:rsidRPr="00000000" w14:paraId="0000006D">
      <w:pPr>
        <w:numPr>
          <w:ilvl w:val="0"/>
          <w:numId w:val="15"/>
        </w:numPr>
        <w:spacing w:line="240" w:lineRule="auto"/>
        <w:ind w:left="720" w:hanging="360"/>
        <w:rPr>
          <w:rFonts w:ascii="Calibri" w:cs="Calibri" w:eastAsia="Calibri" w:hAnsi="Calibri"/>
          <w:b w:val="1"/>
          <w:color w:val="333333"/>
          <w:sz w:val="24"/>
          <w:szCs w:val="24"/>
          <w:u w:val="none"/>
        </w:rPr>
      </w:pPr>
      <w:r w:rsidDel="00000000" w:rsidR="00000000" w:rsidRPr="00000000">
        <w:rPr>
          <w:rFonts w:ascii="Calibri" w:cs="Calibri" w:eastAsia="Calibri" w:hAnsi="Calibri"/>
          <w:color w:val="333333"/>
          <w:sz w:val="24"/>
          <w:szCs w:val="24"/>
          <w:rtl w:val="0"/>
        </w:rPr>
        <w:t xml:space="preserve">From another perspective, it is important to first answer the fundamental question of whether an application by an existing RO for a variant gTLD label should be treated as a new gTLD application. If the answer is yes, the charter question becomes moot. </w:t>
      </w:r>
    </w:p>
    <w:p w:rsidR="00000000" w:rsidDel="00000000" w:rsidP="00000000" w:rsidRDefault="00000000" w:rsidRPr="00000000" w14:paraId="0000006E">
      <w:pPr>
        <w:numPr>
          <w:ilvl w:val="0"/>
          <w:numId w:val="15"/>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Answering this fundamental question will help answer other related charter questions. b4 may be the appropriate place to discuss it.</w:t>
      </w:r>
    </w:p>
    <w:p w:rsidR="00000000" w:rsidDel="00000000" w:rsidP="00000000" w:rsidRDefault="00000000" w:rsidRPr="00000000" w14:paraId="0000006F">
      <w:pPr>
        <w:numPr>
          <w:ilvl w:val="0"/>
          <w:numId w:val="15"/>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is important to look at the history: There is an assumption that variants are essentially the same TLD, but because of the technical implementation we are unable to map the two TLDs together. In terms of applications, it should be one and the same.</w:t>
      </w:r>
    </w:p>
    <w:p w:rsidR="00000000" w:rsidDel="00000000" w:rsidP="00000000" w:rsidRDefault="00000000" w:rsidRPr="00000000" w14:paraId="00000070">
      <w:pPr>
        <w:numPr>
          <w:ilvl w:val="0"/>
          <w:numId w:val="15"/>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Upon further discussion, the working group agreed that this question may be moot based on the available data. The working group will not make any conclusions on this charter question and then return to this question to close it after addressing the fundamental question in b4. </w:t>
      </w:r>
    </w:p>
    <w:p w:rsidR="00000000" w:rsidDel="00000000" w:rsidP="00000000" w:rsidRDefault="00000000" w:rsidRPr="00000000" w14:paraId="00000071">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2">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73">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74">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7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Yes, there should be a mechanism to ensure that the number of delegated top-level variant labels remains small. Unless there is demonstrated widespread usage of the variant label, the variant label should not be activated.</w:t>
      </w:r>
    </w:p>
    <w:p w:rsidR="00000000" w:rsidDel="00000000" w:rsidP="00000000" w:rsidRDefault="00000000" w:rsidRPr="00000000" w14:paraId="0000007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issues under a5) will be discussed shortly by the VM SubGroup.</w:t>
      </w:r>
    </w:p>
    <w:p w:rsidR="00000000" w:rsidDel="00000000" w:rsidP="00000000" w:rsidRDefault="00000000" w:rsidRPr="00000000" w14:paraId="0000007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9">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7A">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Staff presentation provided an overview of the background/origin of the charter question, including SAC060, TSG Recommendation 14, and Appendix C of Staff Paper: </w:t>
      </w:r>
      <w:hyperlink r:id="rId11">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Fonts w:ascii="Calibri" w:cs="Calibri" w:eastAsia="Calibri" w:hAnsi="Calibri"/>
          <w:b w:val="1"/>
          <w:color w:val="333333"/>
          <w:sz w:val="24"/>
          <w:szCs w:val="24"/>
          <w:rtl w:val="0"/>
        </w:rPr>
        <w:t xml:space="preserve">. </w:t>
      </w:r>
      <w:r w:rsidDel="00000000" w:rsidR="00000000" w:rsidRPr="00000000">
        <w:rPr>
          <w:rFonts w:ascii="Calibri" w:cs="Calibri" w:eastAsia="Calibri" w:hAnsi="Calibri"/>
          <w:sz w:val="24"/>
          <w:szCs w:val="24"/>
          <w:rtl w:val="0"/>
        </w:rPr>
        <w:t xml:space="preserve">SSAC is the main entity that advised limiting allocatable variants for delegation </w:t>
      </w:r>
    </w:p>
    <w:p w:rsidR="00000000" w:rsidDel="00000000" w:rsidP="00000000" w:rsidRDefault="00000000" w:rsidRPr="00000000" w14:paraId="0000007B">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believed that ICANN should not develop a policy to limit variant labels for delegation. Policy is developed based on actors acting rationally. Registries have an incentive to create their own rules to make this manageable, and it may not be in the public interest to limit variants.</w:t>
      </w:r>
    </w:p>
    <w:p w:rsidR="00000000" w:rsidDel="00000000" w:rsidP="00000000" w:rsidRDefault="00000000" w:rsidRPr="00000000" w14:paraId="0000007C">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question is also related to the broader question of whether the application for a variant TLD is regarded as a regular TLD application with the same costs as a standalone application (related questions are in charter section D)? If so, the issue of limiting variants for delegation might be resolved by the market. The only restriction we should have is the one imposed by the RZ-LGR.</w:t>
      </w:r>
    </w:p>
    <w:p w:rsidR="00000000" w:rsidDel="00000000" w:rsidP="00000000" w:rsidRDefault="00000000" w:rsidRPr="00000000" w14:paraId="0000007D">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Suggestion: The policy could be that although there is no limit of the number of allocatable variants for delegation, registries must take action to ensure that the variant labels are manageable for registrars and registrants.</w:t>
      </w:r>
    </w:p>
    <w:p w:rsidR="00000000" w:rsidDel="00000000" w:rsidP="00000000" w:rsidRDefault="00000000" w:rsidRPr="00000000" w14:paraId="0000007E">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supported the approach to look at the probability and consequences of variant overproduction issues analyzed in the Staff Paper Appendix C, and if appropriate, identify potential mitigation measures.</w:t>
      </w:r>
    </w:p>
    <w:p w:rsidR="00000000" w:rsidDel="00000000" w:rsidP="00000000" w:rsidRDefault="00000000" w:rsidRPr="00000000" w14:paraId="0000007F">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charter question can be strictly interpreted, as in a specific ceiling value number for variants for delegation, or more broadly as a question of whether there should be limitation in terms of delegation. Some script communities already proposed ceiling values regarding variants for delegation, such as Chinese.  </w:t>
      </w:r>
    </w:p>
    <w:p w:rsidR="00000000" w:rsidDel="00000000" w:rsidP="00000000" w:rsidRDefault="00000000" w:rsidRPr="00000000" w14:paraId="00000080">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Members want to see more data that can help inform whether there should be a ceiling value or other limit to be proposed.</w:t>
      </w:r>
    </w:p>
    <w:p w:rsidR="00000000" w:rsidDel="00000000" w:rsidP="00000000" w:rsidRDefault="00000000" w:rsidRPr="00000000" w14:paraId="00000081">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SSAC members commented that the language communities are in a better position to make decisions about criteria for limits to ensure that the number of delegated top-level variant labels remains small. They advised applying a conservative approach initially in order to reduce the risk of a combinatorial explosion. </w:t>
      </w:r>
    </w:p>
    <w:p w:rsidR="00000000" w:rsidDel="00000000" w:rsidP="00000000" w:rsidRDefault="00000000" w:rsidRPr="00000000" w14:paraId="00000082">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Start with the question: Is one label sufficient? If not, are two sufficient? If not, which candidate variants are uniquely differentiated from the primary label and widely used in the community? </w:t>
      </w:r>
    </w:p>
    <w:p w:rsidR="00000000" w:rsidDel="00000000" w:rsidP="00000000" w:rsidRDefault="00000000" w:rsidRPr="00000000" w14:paraId="00000083">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For example, the Chinese language community allows for three variant labels, one which has been applied-for, one which is the Simplified Chinese version and one which is the Traditional Chinese version. </w:t>
      </w:r>
    </w:p>
    <w:p w:rsidR="00000000" w:rsidDel="00000000" w:rsidP="00000000" w:rsidRDefault="00000000" w:rsidRPr="00000000" w14:paraId="00000084">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A similar limit may be imposed in the beginning to ensure conservatism, and may be relaxed over time, as the community gains experience with IDN variant TLD delegation and associated usability and manageability challenges.</w:t>
      </w:r>
    </w:p>
    <w:p w:rsidR="00000000" w:rsidDel="00000000" w:rsidP="00000000" w:rsidRDefault="00000000" w:rsidRPr="00000000" w14:paraId="00000085">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stressed that it is a policy question to define synchronization and determine how synchronization can be achieved.</w:t>
      </w:r>
    </w:p>
    <w:p w:rsidR="00000000" w:rsidDel="00000000" w:rsidP="00000000" w:rsidRDefault="00000000" w:rsidRPr="00000000" w14:paraId="00000086">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possible alternative solution – in the application process, a registry needs to demonstrate that it is in a position to effectively manage the variants it is requesting. There may be different elements of this evaluation depending on what is being proposed in terms of variants. Illustrative examples can be provided to demonstrate registry’s ability to manage the variants, but those examples should not be converted into definitive criteria. </w:t>
      </w:r>
    </w:p>
    <w:p w:rsidR="00000000" w:rsidDel="00000000" w:rsidP="00000000" w:rsidRDefault="00000000" w:rsidRPr="00000000" w14:paraId="00000087">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Currently most registries just activate one domain name and block its variants at the second level. If variants belong to the same registrant, there is no technical concern in terms of allowing a registrant to switch the primary label at the second level among the variants. </w:t>
      </w:r>
    </w:p>
    <w:p w:rsidR="00000000" w:rsidDel="00000000" w:rsidP="00000000" w:rsidRDefault="00000000" w:rsidRPr="00000000" w14:paraId="00000088">
      <w:pPr>
        <w:numPr>
          <w:ilvl w:val="0"/>
          <w:numId w:val="6"/>
        </w:numPr>
        <w:spacing w:line="240" w:lineRule="auto"/>
        <w:ind w:left="720" w:hanging="360"/>
        <w:rPr>
          <w:ins w:author="Ariel Liang" w:id="3" w:date="2022-01-20T19:50:09Z"/>
          <w:rFonts w:ascii="Calibri" w:cs="Calibri" w:eastAsia="Calibri" w:hAnsi="Calibri"/>
          <w:sz w:val="24"/>
          <w:szCs w:val="24"/>
          <w:u w:val="none"/>
        </w:rPr>
      </w:pPr>
      <w:ins w:author="Ariel Liang" w:id="3" w:date="2022-01-20T19:50:09Z">
        <w:r w:rsidDel="00000000" w:rsidR="00000000" w:rsidRPr="00000000">
          <w:rPr>
            <w:rFonts w:ascii="Calibri" w:cs="Calibri" w:eastAsia="Calibri" w:hAnsi="Calibri"/>
            <w:sz w:val="24"/>
            <w:szCs w:val="24"/>
            <w:rtl w:val="0"/>
          </w:rPr>
          <w:t xml:space="preserve">ICANN org staff checked all scripts in the RZ-LGR and those that will be </w:t>
        </w:r>
        <w:r w:rsidDel="00000000" w:rsidR="00000000" w:rsidRPr="00000000">
          <w:rPr>
            <w:rFonts w:ascii="Calibri" w:cs="Calibri" w:eastAsia="Calibri" w:hAnsi="Calibri"/>
            <w:sz w:val="24"/>
            <w:szCs w:val="24"/>
            <w:rtl w:val="0"/>
          </w:rPr>
          <w:t xml:space="preserve">incorporated</w:t>
        </w:r>
        <w:r w:rsidDel="00000000" w:rsidR="00000000" w:rsidRPr="00000000">
          <w:rPr>
            <w:rFonts w:ascii="Calibri" w:cs="Calibri" w:eastAsia="Calibri" w:hAnsi="Calibri"/>
            <w:sz w:val="24"/>
            <w:szCs w:val="24"/>
            <w:rtl w:val="0"/>
          </w:rPr>
          <w:t xml:space="preserve"> in the next version to see if there are mechanisms in place to reduce the number of allocatable variants (see slides </w:t>
        </w:r>
        <w:r w:rsidDel="00000000" w:rsidR="00000000" w:rsidRPr="00000000">
          <w:fldChar w:fldCharType="begin"/>
        </w:r>
        <w:r w:rsidDel="00000000" w:rsidR="00000000" w:rsidRPr="00000000">
          <w:instrText xml:space="preserve">HYPERLINK "https://community.icann.org/download/attachments/183992731/EPDP%20on%20IDNs%20-%20A5%20-%2020%20Jan%202022.pdf?version=1&amp;modificationDate=1642693642936&amp;api=v2"</w:instrText>
        </w:r>
        <w:r w:rsidDel="00000000" w:rsidR="00000000" w:rsidRPr="00000000">
          <w:fldChar w:fldCharType="separate"/>
        </w:r>
        <w:r w:rsidDel="00000000" w:rsidR="00000000" w:rsidRPr="00000000">
          <w:rPr>
            <w:rFonts w:ascii="Calibri" w:cs="Calibri" w:eastAsia="Calibri" w:hAnsi="Calibri"/>
            <w:sz w:val="24"/>
            <w:szCs w:val="24"/>
            <w:rtl w:val="0"/>
          </w:rPr>
          <w:t xml:space="preserve">here</w:t>
        </w:r>
        <w:r w:rsidDel="00000000" w:rsidR="00000000" w:rsidRPr="00000000">
          <w:fldChar w:fldCharType="end"/>
        </w:r>
        <w:r w:rsidDel="00000000" w:rsidR="00000000" w:rsidRPr="00000000">
          <w:rPr>
            <w:rFonts w:ascii="Calibri" w:cs="Calibri" w:eastAsia="Calibri" w:hAnsi="Calibri"/>
            <w:sz w:val="24"/>
            <w:szCs w:val="24"/>
            <w:rtl w:val="0"/>
          </w:rPr>
          <w:t xml:space="preserve">). Only seven scripts have allocatable variants: Arabic, Bengali, Chinese, Greek, Latin, Myanmar, and Tamil. The remaining scripts either do not have variants at all (based on the judgement of the script community and the way variants are defined), or do not have allocatable variants (due to the lack of usability of those variants). </w:t>
        </w:r>
      </w:ins>
    </w:p>
    <w:p w:rsidR="00000000" w:rsidDel="00000000" w:rsidP="00000000" w:rsidRDefault="00000000" w:rsidRPr="00000000" w14:paraId="00000089">
      <w:pPr>
        <w:numPr>
          <w:ilvl w:val="0"/>
          <w:numId w:val="6"/>
        </w:numPr>
        <w:spacing w:line="240" w:lineRule="auto"/>
        <w:ind w:left="720" w:hanging="360"/>
        <w:rPr>
          <w:ins w:author="Ariel Liang" w:id="3" w:date="2022-01-20T19:50:09Z"/>
          <w:rFonts w:ascii="Calibri" w:cs="Calibri" w:eastAsia="Calibri" w:hAnsi="Calibri"/>
          <w:sz w:val="24"/>
          <w:szCs w:val="24"/>
          <w:u w:val="none"/>
        </w:rPr>
      </w:pPr>
      <w:ins w:author="Ariel Liang" w:id="3" w:date="2022-01-20T19:50:09Z">
        <w:r w:rsidDel="00000000" w:rsidR="00000000" w:rsidRPr="00000000">
          <w:rPr>
            <w:rFonts w:ascii="Calibri" w:cs="Calibri" w:eastAsia="Calibri" w:hAnsi="Calibri"/>
            <w:sz w:val="24"/>
            <w:szCs w:val="24"/>
            <w:rtl w:val="0"/>
          </w:rPr>
          <w:t xml:space="preserve">For the scripts with allocatable variant labels, ICANN org staff ran them through the RZ-LGR to see how many variants are created. Most scripts have been able to put a reasonable ceiling on the number of variants (2-4 variant labels), but Arabic and Chinese might create an unanticipated number of variant labels. </w:t>
        </w:r>
      </w:ins>
    </w:p>
    <w:p w:rsidR="00000000" w:rsidDel="00000000" w:rsidP="00000000" w:rsidRDefault="00000000" w:rsidRPr="00000000" w14:paraId="0000008A">
      <w:pPr>
        <w:numPr>
          <w:ilvl w:val="0"/>
          <w:numId w:val="6"/>
        </w:numPr>
        <w:spacing w:line="240" w:lineRule="auto"/>
        <w:ind w:left="720" w:hanging="360"/>
        <w:rPr>
          <w:ins w:author="Ariel Liang" w:id="3" w:date="2022-01-20T19:50:09Z"/>
          <w:rFonts w:ascii="Calibri" w:cs="Calibri" w:eastAsia="Calibri" w:hAnsi="Calibri"/>
          <w:sz w:val="24"/>
          <w:szCs w:val="24"/>
          <w:u w:val="none"/>
        </w:rPr>
      </w:pPr>
      <w:ins w:author="Ariel Liang" w:id="3" w:date="2022-01-20T19:50:09Z">
        <w:r w:rsidDel="00000000" w:rsidR="00000000" w:rsidRPr="00000000">
          <w:rPr>
            <w:rFonts w:ascii="Calibri" w:cs="Calibri" w:eastAsia="Calibri" w:hAnsi="Calibri"/>
            <w:sz w:val="24"/>
            <w:szCs w:val="24"/>
            <w:rtl w:val="0"/>
          </w:rPr>
          <w:t xml:space="preserve">Recalling the SSAC engagement session on 13 January 2022, SSAC members seemed to agree that there shouldn’t be an arbitrary limit/ceiling value but there should be a focus on evaluation criteria in order to understand that the registry can manage any issues that arise with variants.</w:t>
        </w:r>
      </w:ins>
    </w:p>
    <w:p w:rsidR="00000000" w:rsidDel="00000000" w:rsidP="00000000" w:rsidRDefault="00000000" w:rsidRPr="00000000" w14:paraId="0000008B">
      <w:pPr>
        <w:numPr>
          <w:ilvl w:val="0"/>
          <w:numId w:val="6"/>
        </w:numPr>
        <w:spacing w:line="240" w:lineRule="auto"/>
        <w:ind w:left="720" w:hanging="360"/>
        <w:rPr>
          <w:rFonts w:ascii="Calibri" w:cs="Calibri" w:eastAsia="Calibri" w:hAnsi="Calibri"/>
          <w:sz w:val="24"/>
          <w:szCs w:val="24"/>
          <w:u w:val="none"/>
          <w:rPrChange w:author="Ariel Liang" w:id="4" w:date="2022-01-20T19:53:46Z">
            <w:rPr>
              <w:rFonts w:ascii="Calibri" w:cs="Calibri" w:eastAsia="Calibri" w:hAnsi="Calibri"/>
              <w:sz w:val="24"/>
              <w:szCs w:val="24"/>
              <w:u w:val="none"/>
            </w:rPr>
          </w:rPrChange>
        </w:rPr>
        <w:pPrChange w:author="Ariel Liang" w:id="0" w:date="2022-01-20T19:53:46Z">
          <w:pPr>
            <w:numPr>
              <w:ilvl w:val="0"/>
              <w:numId w:val="6"/>
            </w:numPr>
            <w:spacing w:line="240" w:lineRule="auto"/>
            <w:ind w:left="720" w:hanging="360"/>
          </w:pPr>
        </w:pPrChange>
      </w:pPr>
      <w:ins w:author="Ariel Liang" w:id="3" w:date="2022-01-20T19:50:09Z">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rtl w:val="0"/>
          </w:rPr>
          <w:t xml:space="preserve">EPDP Team agreed that only a limited number of scripts are potentially impacted by the issue of over production of allocatable variant labels. There is general support not to recommend a ceiling value. Some support the idea that making variant domains manageable is something for the market to provide for. The EPDP Team may develop some implementation guidelines with input from Registries and Registrars.</w:t>
        </w:r>
      </w:ins>
      <w:r w:rsidDel="00000000" w:rsidR="00000000" w:rsidRPr="00000000">
        <w:rPr>
          <w:rtl w:val="0"/>
        </w:rPr>
      </w:r>
    </w:p>
    <w:p w:rsidR="00000000" w:rsidDel="00000000" w:rsidP="00000000" w:rsidRDefault="00000000" w:rsidRPr="00000000" w14:paraId="0000008C">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D">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8E">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8F">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9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1">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Data is needed here. Also see answers to question a2 above.</w:t>
      </w:r>
    </w:p>
    <w:p w:rsidR="00000000" w:rsidDel="00000000" w:rsidP="00000000" w:rsidRDefault="00000000" w:rsidRPr="00000000" w14:paraId="00000092">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3">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issue under a6) will be discussed shortly by the VM SubGroup.</w:t>
      </w:r>
    </w:p>
    <w:p w:rsidR="00000000" w:rsidDel="00000000" w:rsidP="00000000" w:rsidRDefault="00000000" w:rsidRPr="00000000" w14:paraId="00000094">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5">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96">
      <w:pPr>
        <w:numPr>
          <w:ilvl w:val="0"/>
          <w:numId w:val="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 and preliminary analysis of the charter question: </w:t>
      </w:r>
      <w:hyperlink r:id="rId12">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97">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Context for the TSG recommendation: RZ-LGR is not intended to be static and new rules could be put into place. There is a possibility that a new version of RZ-LGR may invalidate an existing TLD label, but the probability is low because of the measures that are in place.</w:t>
      </w:r>
    </w:p>
    <w:p w:rsidR="00000000" w:rsidDel="00000000" w:rsidP="00000000" w:rsidRDefault="00000000" w:rsidRPr="00000000" w14:paraId="00000098">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This charter question focuses on future update of the RZ-LGR and its implication on existing gTLDs in the future. Based on data collected, all current existing TLDs are valid. Trigger events for RZ-LGR updates mostly involve adding materials as opposed to subtracting materials from the RZ-LGR. Invalidating an existing gTLD and its variant labels (if any) by the proposed RZ-LGR update is extremely unlikely, as it will cause instability in the root-zone. TSG recommendation 12 provides a recommendation to address cases where backwards compatibility cannot be achieved.</w:t>
      </w:r>
    </w:p>
    <w:p w:rsidR="00000000" w:rsidDel="00000000" w:rsidP="00000000" w:rsidRDefault="00000000" w:rsidRPr="00000000" w14:paraId="00000099">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w:t>
      </w:r>
      <w:r w:rsidDel="00000000" w:rsidR="00000000" w:rsidRPr="00000000">
        <w:rPr>
          <w:rFonts w:ascii="Calibri" w:cs="Calibri" w:eastAsia="Calibri" w:hAnsi="Calibri"/>
          <w:color w:val="333333"/>
          <w:sz w:val="24"/>
          <w:szCs w:val="24"/>
          <w:rtl w:val="0"/>
        </w:rPr>
        <w:t xml:space="preserve">two theoretical cases: 1) a new version of RZ-LGR no longer validates an existing TLD and 2) a new version of RZ-LGR determines that an existing variant of an existing TLD is not an allocatable variant anymore. In these cases, the existing TLDs should remain as they are in “frozen” state. They will not be able to get further variants if not valid with the new RZ-LGR but existing TLDs and relationships should be kept.</w:t>
      </w:r>
    </w:p>
    <w:p w:rsidR="00000000" w:rsidDel="00000000" w:rsidP="00000000" w:rsidRDefault="00000000" w:rsidRPr="00000000" w14:paraId="0000009A">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members questioned whether a recommendation of maintaining full backward compatibility that becomes policy can be enforceable over the Generation Panels and Integration Panel. Others commented that changes to the RZ-LGR dictated by a Generation Panel are outside the scope of allowable changes under the Registry Agreement. A change to the RZ-LGR could be motivated by one or more of the multiple layers, including the IDNA2008 layer and Unicode layer at the base, which has a high bar to pass.</w:t>
      </w:r>
    </w:p>
    <w:p w:rsidR="00000000" w:rsidDel="00000000" w:rsidP="00000000" w:rsidRDefault="00000000" w:rsidRPr="00000000" w14:paraId="0000009B">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agreed that in the event that backward compatibility cannot be achieved, the GP must call out such an exception during the public comment period and explain the analysis and reasons for not supporting the existing TLD in their script LGR proposal as well as the potential impact on the TLD. </w:t>
      </w:r>
    </w:p>
    <w:p w:rsidR="00000000" w:rsidDel="00000000" w:rsidP="00000000" w:rsidRDefault="00000000" w:rsidRPr="00000000" w14:paraId="0000009C">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grandfathering existing TLDs and potentially their variants with an emphasis on the importance of backward compatibility. </w:t>
      </w:r>
    </w:p>
    <w:p w:rsidR="00000000" w:rsidDel="00000000" w:rsidP="00000000" w:rsidRDefault="00000000" w:rsidRPr="00000000" w14:paraId="0000009D">
      <w:pPr>
        <w:numPr>
          <w:ilvl w:val="0"/>
          <w:numId w:val="7"/>
        </w:numPr>
        <w:spacing w:line="240" w:lineRule="auto"/>
        <w:ind w:left="720" w:hanging="360"/>
        <w:rPr>
          <w:ins w:author="Ariel Liang" w:id="5" w:date="2022-01-20T20:21:09Z"/>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the following approach: Combination of grandfathering and assurances from ICANN/IP that retaining 100% backward compatibility is a hard requirement, anything contrary to 100% backward compatibility needs to have a very high bar to pass. </w:t>
      </w:r>
      <w:ins w:author="Ariel Liang" w:id="5" w:date="2022-01-20T20:21:09Z">
        <w:r w:rsidDel="00000000" w:rsidR="00000000" w:rsidRPr="00000000">
          <w:rPr>
            <w:rtl w:val="0"/>
          </w:rPr>
        </w:r>
      </w:ins>
    </w:p>
    <w:p w:rsidR="00000000" w:rsidDel="00000000" w:rsidP="00000000" w:rsidRDefault="00000000" w:rsidRPr="00000000" w14:paraId="0000009E">
      <w:pPr>
        <w:numPr>
          <w:ilvl w:val="0"/>
          <w:numId w:val="7"/>
        </w:numPr>
        <w:spacing w:line="240" w:lineRule="auto"/>
        <w:ind w:left="720" w:hanging="360"/>
        <w:rPr>
          <w:ins w:author="Ariel Liang" w:id="5" w:date="2022-01-20T20:21:09Z"/>
          <w:rFonts w:ascii="Calibri" w:cs="Calibri" w:eastAsia="Calibri" w:hAnsi="Calibri"/>
          <w:color w:val="333333"/>
          <w:sz w:val="24"/>
          <w:szCs w:val="24"/>
          <w:u w:val="none"/>
        </w:rPr>
      </w:pPr>
      <w:ins w:author="Ariel Liang" w:id="5" w:date="2022-01-20T20:21:09Z">
        <w:r w:rsidDel="00000000" w:rsidR="00000000" w:rsidRPr="00000000">
          <w:rPr>
            <w:rFonts w:ascii="Calibri" w:cs="Calibri" w:eastAsia="Calibri" w:hAnsi="Calibri"/>
            <w:color w:val="333333"/>
            <w:sz w:val="24"/>
            <w:szCs w:val="24"/>
            <w:rtl w:val="0"/>
          </w:rPr>
          <w:t xml:space="preserve">The EPDP Team agreed to refine the draft recommendation language and restrict grandfathering to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(not to address blocked or withheld-same-entity variant labels). </w:t>
        </w:r>
      </w:ins>
    </w:p>
    <w:p w:rsidR="00000000" w:rsidDel="00000000" w:rsidP="00000000" w:rsidRDefault="00000000" w:rsidRPr="00000000" w14:paraId="0000009F">
      <w:pPr>
        <w:numPr>
          <w:ilvl w:val="0"/>
          <w:numId w:val="7"/>
        </w:numPr>
        <w:spacing w:line="240" w:lineRule="auto"/>
        <w:ind w:left="720" w:hanging="360"/>
        <w:rPr>
          <w:ins w:author="Ariel Liang" w:id="5" w:date="2022-01-20T20:21:09Z"/>
          <w:rFonts w:ascii="Calibri" w:cs="Calibri" w:eastAsia="Calibri" w:hAnsi="Calibri"/>
          <w:color w:val="333333"/>
          <w:sz w:val="24"/>
          <w:szCs w:val="24"/>
          <w:u w:val="none"/>
        </w:rPr>
      </w:pPr>
      <w:ins w:author="Ariel Liang" w:id="5" w:date="2022-01-20T20:21:09Z">
        <w:r w:rsidDel="00000000" w:rsidR="00000000" w:rsidRPr="00000000">
          <w:rPr>
            <w:rFonts w:ascii="Calibri" w:cs="Calibri" w:eastAsia="Calibri" w:hAnsi="Calibri"/>
            <w:color w:val="333333"/>
            <w:sz w:val="24"/>
            <w:szCs w:val="24"/>
            <w:rtl w:val="0"/>
          </w:rPr>
          <w:t xml:space="preserve">The EPDP Team also supported the draft recommendation language that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will be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except as set forth in the limited circumstances, to be </w:t>
        </w:r>
        <w:r w:rsidDel="00000000" w:rsidR="00000000" w:rsidRPr="00000000">
          <w:rPr>
            <w:rFonts w:ascii="Calibri" w:cs="Calibri" w:eastAsia="Calibri" w:hAnsi="Calibri"/>
            <w:color w:val="333333"/>
            <w:sz w:val="24"/>
            <w:szCs w:val="24"/>
            <w:rtl w:val="0"/>
          </w:rPr>
          <w:t xml:space="preserve">specified</w:t>
        </w:r>
        <w:r w:rsidDel="00000000" w:rsidR="00000000" w:rsidRPr="00000000">
          <w:rPr>
            <w:rFonts w:ascii="Calibri" w:cs="Calibri" w:eastAsia="Calibri" w:hAnsi="Calibri"/>
            <w:color w:val="333333"/>
            <w:sz w:val="24"/>
            <w:szCs w:val="24"/>
            <w:rtl w:val="0"/>
          </w:rPr>
          <w:t xml:space="preserve"> in the LGR Procedure, that could result in an RZ-LGR update not being able to retain full backward </w:t>
        </w:r>
        <w:r w:rsidDel="00000000" w:rsidR="00000000" w:rsidRPr="00000000">
          <w:rPr>
            <w:rFonts w:ascii="Calibri" w:cs="Calibri" w:eastAsia="Calibri" w:hAnsi="Calibri"/>
            <w:color w:val="333333"/>
            <w:sz w:val="24"/>
            <w:szCs w:val="24"/>
            <w:rtl w:val="0"/>
          </w:rPr>
          <w:t xml:space="preserve">compatibility (additional edits for this recommendation language is needed). </w:t>
        </w:r>
        <w:r w:rsidDel="00000000" w:rsidR="00000000" w:rsidRPr="00000000">
          <w:rPr>
            <w:rtl w:val="0"/>
          </w:rPr>
        </w:r>
      </w:ins>
    </w:p>
    <w:p w:rsidR="00000000" w:rsidDel="00000000" w:rsidP="00000000" w:rsidRDefault="00000000" w:rsidRPr="00000000" w14:paraId="000000A0">
      <w:pPr>
        <w:numPr>
          <w:ilvl w:val="0"/>
          <w:numId w:val="7"/>
        </w:numPr>
        <w:spacing w:line="240" w:lineRule="auto"/>
        <w:ind w:left="720" w:hanging="360"/>
        <w:rPr>
          <w:rFonts w:ascii="Calibri" w:cs="Calibri" w:eastAsia="Calibri" w:hAnsi="Calibri"/>
          <w:color w:val="333333"/>
          <w:sz w:val="24"/>
          <w:szCs w:val="24"/>
          <w:u w:val="none"/>
          <w:rPrChange w:author="Ariel Liang" w:id="6" w:date="2022-01-20T20:21:09Z">
            <w:rPr>
              <w:rFonts w:ascii="Calibri" w:cs="Calibri" w:eastAsia="Calibri" w:hAnsi="Calibri"/>
              <w:color w:val="333333"/>
              <w:sz w:val="24"/>
              <w:szCs w:val="24"/>
            </w:rPr>
          </w:rPrChange>
        </w:rPr>
        <w:pPrChange w:author="Ariel Liang" w:id="0" w:date="2022-01-20T20:21:09Z">
          <w:pPr>
            <w:numPr>
              <w:ilvl w:val="0"/>
              <w:numId w:val="7"/>
            </w:numPr>
            <w:spacing w:line="240" w:lineRule="auto"/>
            <w:ind w:left="720" w:hanging="360"/>
          </w:pPr>
        </w:pPrChange>
      </w:pPr>
      <w:ins w:author="Ariel Liang" w:id="5" w:date="2022-01-20T20:21:09Z">
        <w:r w:rsidDel="00000000" w:rsidR="00000000" w:rsidRPr="00000000">
          <w:rPr>
            <w:rFonts w:ascii="Calibri" w:cs="Calibri" w:eastAsia="Calibri" w:hAnsi="Calibri"/>
            <w:color w:val="333333"/>
            <w:sz w:val="24"/>
            <w:szCs w:val="24"/>
            <w:rtl w:val="0"/>
          </w:rPr>
          <w:t xml:space="preserve">Determining whether a specific label should be delegated or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in the root zone is outside the purview of the Generation Panels. Generation Panels do not have power over contracts they are not a party to. It is okay for Generation Panels to make a recommendation, subject to a process between ICANN org and the Registry. Further discussion may be needed about what that process would be following the recommendation from Generation Panels.</w:t>
        </w:r>
      </w:ins>
      <w:r w:rsidDel="00000000" w:rsidR="00000000" w:rsidRPr="00000000">
        <w:rPr>
          <w:rtl w:val="0"/>
        </w:rPr>
      </w:r>
    </w:p>
    <w:p w:rsidR="00000000" w:rsidDel="00000000" w:rsidP="00000000" w:rsidRDefault="00000000" w:rsidRPr="00000000" w14:paraId="000000A1">
      <w:pPr>
        <w:spacing w:line="240" w:lineRule="auto"/>
        <w:rPr>
          <w:rFonts w:ascii="Calibri" w:cs="Calibri" w:eastAsia="Calibri" w:hAnsi="Calibri"/>
          <w:b w:val="1"/>
          <w:color w:val="ff9900"/>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A2">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A3">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A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SAC052 Recommendation 1 is still valid.</w:t>
      </w:r>
    </w:p>
    <w:p w:rsidR="00000000" w:rsidDel="00000000" w:rsidP="00000000" w:rsidRDefault="00000000" w:rsidRPr="00000000" w14:paraId="000000A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A7">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A8">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background/origin of the charter question, including SubPro recommendation 25.4, TSG Report Appendix B, SAC052 findings and recommendations, and JIG Final Report on Single Character IDN TLDs : </w:t>
      </w:r>
      <w:hyperlink r:id="rId13">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A9">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the original thinking about this issue -- it was to avoid situations where a single stroke of the keyboard would enter a TLD – typos could result in security issues. Usually with ideographs, it takes more than a single keyboard stroke to type the TLD. If in the future, there would be voice input, a single word would suffice to enter a TLD.</w:t>
      </w:r>
    </w:p>
    <w:p w:rsidR="00000000" w:rsidDel="00000000" w:rsidP="00000000" w:rsidRDefault="00000000" w:rsidRPr="00000000" w14:paraId="000000AA">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recognized that Han script is the only ideographic script that is being used in the root zone. If the EPDP Team are looking only at ideographic scripts, it might still be useful to go back to the relevant GPs (i.e., Chinese, Japanese, Korean) to see if they have identified characters that might be appropriate for single character TLDs. The key issue for consideration regarding ideographs – for Han characters (Chinese, Japanese, Korean) -- is that one ideograph could represent a whole concept/word. </w:t>
      </w:r>
    </w:p>
    <w:p w:rsidR="00000000" w:rsidDel="00000000" w:rsidP="00000000" w:rsidRDefault="00000000" w:rsidRPr="00000000" w14:paraId="000000AB">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Suggestion: Use the existing GPs for Chinese, Japanese, and Korean as well as the IP to identify a list of allowable characters that can be used for single character TLDs.</w:t>
      </w:r>
    </w:p>
    <w:p w:rsidR="00000000" w:rsidDel="00000000" w:rsidP="00000000" w:rsidRDefault="00000000" w:rsidRPr="00000000" w14:paraId="000000AC">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Those GPs have not not done such work, as it was </w:t>
      </w:r>
      <w:r w:rsidDel="00000000" w:rsidR="00000000" w:rsidRPr="00000000">
        <w:rPr>
          <w:rFonts w:ascii="Calibri" w:cs="Calibri" w:eastAsia="Calibri" w:hAnsi="Calibri"/>
          <w:color w:val="333333"/>
          <w:sz w:val="24"/>
          <w:szCs w:val="24"/>
          <w:rtl w:val="0"/>
        </w:rPr>
        <w:t xml:space="preserve">not an expected</w:t>
      </w:r>
      <w:r w:rsidDel="00000000" w:rsidR="00000000" w:rsidRPr="00000000">
        <w:rPr>
          <w:rFonts w:ascii="Calibri" w:cs="Calibri" w:eastAsia="Calibri" w:hAnsi="Calibri"/>
          <w:color w:val="333333"/>
          <w:sz w:val="24"/>
          <w:szCs w:val="24"/>
          <w:rtl w:val="0"/>
        </w:rPr>
        <w:t xml:space="preserve">/required work item for them. If the EPDP Team wishes to outsource this work to the GPs as a recommendation, prior communication is needed to ensure GPs, as well as the IP, have the will and </w:t>
      </w:r>
      <w:r w:rsidDel="00000000" w:rsidR="00000000" w:rsidRPr="00000000">
        <w:rPr>
          <w:rFonts w:ascii="Calibri" w:cs="Calibri" w:eastAsia="Calibri" w:hAnsi="Calibri"/>
          <w:color w:val="333333"/>
          <w:sz w:val="24"/>
          <w:szCs w:val="24"/>
          <w:rtl w:val="0"/>
        </w:rPr>
        <w:t xml:space="preserve">resources</w:t>
      </w:r>
      <w:r w:rsidDel="00000000" w:rsidR="00000000" w:rsidRPr="00000000">
        <w:rPr>
          <w:rFonts w:ascii="Calibri" w:cs="Calibri" w:eastAsia="Calibri" w:hAnsi="Calibri"/>
          <w:color w:val="333333"/>
          <w:sz w:val="24"/>
          <w:szCs w:val="24"/>
          <w:rtl w:val="0"/>
        </w:rPr>
        <w:t xml:space="preserve"> to take on this work. In such communication, staff suggested the EPDP </w:t>
      </w:r>
      <w:r w:rsidDel="00000000" w:rsidR="00000000" w:rsidRPr="00000000">
        <w:rPr>
          <w:rFonts w:ascii="Calibri" w:cs="Calibri" w:eastAsia="Calibri" w:hAnsi="Calibri"/>
          <w:color w:val="333333"/>
          <w:sz w:val="24"/>
          <w:szCs w:val="24"/>
          <w:rtl w:val="0"/>
        </w:rPr>
        <w:t xml:space="preserve">Team specifies</w:t>
      </w:r>
      <w:r w:rsidDel="00000000" w:rsidR="00000000" w:rsidRPr="00000000">
        <w:rPr>
          <w:rFonts w:ascii="Calibri" w:cs="Calibri" w:eastAsia="Calibri" w:hAnsi="Calibri"/>
          <w:color w:val="333333"/>
          <w:sz w:val="24"/>
          <w:szCs w:val="24"/>
          <w:rtl w:val="0"/>
        </w:rPr>
        <w:t xml:space="preserve"> what is expected to be covered within RZ-LGR and what should be covered in additional separate process(es) like string similarity review.</w:t>
      </w:r>
    </w:p>
    <w:p w:rsidR="00000000" w:rsidDel="00000000" w:rsidP="00000000" w:rsidRDefault="00000000" w:rsidRPr="00000000" w14:paraId="000000AD">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Staff suggestion: a group with the technical capacity could suggest clear rules for what should NOT be allowed as single character TLDs, e.g., single stroke characters may be more confusable than multi-stroke characters.</w:t>
      </w:r>
      <w:r w:rsidDel="00000000" w:rsidR="00000000" w:rsidRPr="00000000">
        <w:rPr>
          <w:rtl w:val="0"/>
        </w:rPr>
      </w:r>
    </w:p>
    <w:p w:rsidR="00000000" w:rsidDel="00000000" w:rsidP="00000000" w:rsidRDefault="00000000" w:rsidRPr="00000000" w14:paraId="000000AE">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One EPDP Team member suggested an alternative approach: </w:t>
      </w:r>
      <w:r w:rsidDel="00000000" w:rsidR="00000000" w:rsidRPr="00000000">
        <w:rPr>
          <w:rFonts w:ascii="Calibri" w:cs="Calibri" w:eastAsia="Calibri" w:hAnsi="Calibri"/>
          <w:color w:val="333333"/>
          <w:sz w:val="24"/>
          <w:szCs w:val="24"/>
          <w:rtl w:val="0"/>
        </w:rPr>
        <w:t xml:space="preserve">instead</w:t>
      </w:r>
      <w:r w:rsidDel="00000000" w:rsidR="00000000" w:rsidRPr="00000000">
        <w:rPr>
          <w:rFonts w:ascii="Calibri" w:cs="Calibri" w:eastAsia="Calibri" w:hAnsi="Calibri"/>
          <w:color w:val="333333"/>
          <w:sz w:val="24"/>
          <w:szCs w:val="24"/>
          <w:rtl w:val="0"/>
        </w:rPr>
        <w:t xml:space="preserve"> of doing the work upfront, if an applicant applies for single-character TLD, they pay for an analysis as part of the application process that identifies security and stability risks, string similarity concerns, etc.</w:t>
      </w:r>
    </w:p>
    <w:p w:rsidR="00000000" w:rsidDel="00000000" w:rsidP="00000000" w:rsidRDefault="00000000" w:rsidRPr="00000000" w14:paraId="000000AF">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may be able to answer the first part of the charter question – </w:t>
      </w:r>
      <w:r w:rsidDel="00000000" w:rsidR="00000000" w:rsidRPr="00000000">
        <w:rPr>
          <w:rFonts w:ascii="Calibri" w:cs="Calibri" w:eastAsia="Calibri" w:hAnsi="Calibri"/>
          <w:color w:val="333333"/>
          <w:sz w:val="24"/>
          <w:szCs w:val="24"/>
          <w:rtl w:val="0"/>
        </w:rPr>
        <w:t xml:space="preserve">identifying the</w:t>
      </w:r>
      <w:r w:rsidDel="00000000" w:rsidR="00000000" w:rsidRPr="00000000">
        <w:rPr>
          <w:rFonts w:ascii="Calibri" w:cs="Calibri" w:eastAsia="Calibri" w:hAnsi="Calibri"/>
          <w:color w:val="333333"/>
          <w:sz w:val="24"/>
          <w:szCs w:val="24"/>
          <w:rtl w:val="0"/>
        </w:rPr>
        <w:t xml:space="preserve"> Han script and Chinese, Japanese, and Korean languages which are appropriate for single character TLDs. The EPDP Team may not be in position to answer the second part of the charter question. </w:t>
      </w:r>
      <w:r w:rsidDel="00000000" w:rsidR="00000000" w:rsidRPr="00000000">
        <w:rPr>
          <w:rtl w:val="0"/>
        </w:rPr>
      </w:r>
    </w:p>
    <w:p w:rsidR="00000000" w:rsidDel="00000000" w:rsidP="00000000" w:rsidRDefault="00000000" w:rsidRPr="00000000" w14:paraId="000000B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B1">
      <w:pPr>
        <w:spacing w:line="240" w:lineRule="auto"/>
        <w:rPr>
          <w:rFonts w:ascii="Calibri" w:cs="Calibri" w:eastAsia="Calibri" w:hAnsi="Calibri"/>
          <w:b w:val="1"/>
          <w:color w:val="ff9900"/>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B2">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B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Parking lot for future discussion:</w:t>
      </w:r>
    </w:p>
    <w:p w:rsidR="00000000" w:rsidDel="00000000" w:rsidP="00000000" w:rsidRDefault="00000000" w:rsidRPr="00000000" w14:paraId="000000B5">
      <w:pPr>
        <w:numPr>
          <w:ilvl w:val="0"/>
          <w:numId w:val="8"/>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plans to discuss whether contextual information should be provided as it regards IDL statuses. By way of example, a user seeing a TLD that has the status of withheld-same-entity, may benefit from knowing the primary string that generated the variant TLD.</w:t>
      </w:r>
    </w:p>
    <w:p w:rsidR="00000000" w:rsidDel="00000000" w:rsidP="00000000" w:rsidRDefault="00000000" w:rsidRPr="00000000" w14:paraId="000000B6">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B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B8">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B9">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VM SubGroup has identified the need for a consistent definition of the status variant labels as well. To date the terms have been defined loosely, but where possible the VM SubGroup proposes to coordinate the definition of the status of labels/strings</w:t>
      </w:r>
    </w:p>
    <w:p w:rsidR="00000000" w:rsidDel="00000000" w:rsidP="00000000" w:rsidRDefault="00000000" w:rsidRPr="00000000" w14:paraId="000000B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B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High-Level Notes:</w:t>
      </w:r>
    </w:p>
    <w:p w:rsidR="00000000" w:rsidDel="00000000" w:rsidP="00000000" w:rsidRDefault="00000000" w:rsidRPr="00000000" w14:paraId="000000BD">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w:t>
      </w:r>
    </w:p>
    <w:p w:rsidR="00000000" w:rsidDel="00000000" w:rsidP="00000000" w:rsidRDefault="00000000" w:rsidRPr="00000000" w14:paraId="000000BE">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Staff presentation provided an overview of why variant label statuses are needed, background/past work on determining the label status definitions, understanding what the statuses mean, and how a variant label can transition from one state to another: </w:t>
      </w:r>
      <w:hyperlink r:id="rId14">
        <w:r w:rsidDel="00000000" w:rsidR="00000000" w:rsidRPr="00000000">
          <w:rPr>
            <w:rFonts w:ascii="Calibri" w:cs="Calibri" w:eastAsia="Calibri" w:hAnsi="Calibri"/>
            <w:color w:val="1155cc"/>
            <w:sz w:val="24"/>
            <w:szCs w:val="24"/>
            <w:u w:val="single"/>
            <w:rtl w:val="0"/>
          </w:rPr>
          <w:t xml:space="preserve">https://community.icann.org/download/attachments/180029377/EPDP%20Team%20Meeting%20%2316%20Slides.pdf?version=2&amp;modificationDate=1639801011000&amp;api=v2</w:t>
        </w:r>
      </w:hyperlink>
      <w:r w:rsidDel="00000000" w:rsidR="00000000" w:rsidRPr="00000000">
        <w:rPr>
          <w:rtl w:val="0"/>
        </w:rPr>
      </w:r>
    </w:p>
    <w:p w:rsidR="00000000" w:rsidDel="00000000" w:rsidP="00000000" w:rsidRDefault="00000000" w:rsidRPr="00000000" w14:paraId="000000BF">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It was noted that the variant label statuses as proposed in the Integrated Issues Report and subsequently the staff paper were intended to be relevant to both gTLDs and ccTLDs. The ccPDP4 has not yet considered this topic, but consistency between gTLDs and ccTLDs should be considered. However, the gTLD and ccTLD processes are quite different, so it may not be possible.</w:t>
      </w:r>
    </w:p>
    <w:p w:rsidR="00000000" w:rsidDel="00000000" w:rsidP="00000000" w:rsidRDefault="00000000" w:rsidRPr="00000000" w14:paraId="000000C0">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While the group recognized and understand the reasons for the possible label transitions as described on slide 7, another scenario was considered: if a gTLD and its variants change ownership and the new operator does not want to maintain one of the allocated variants, the variant label could go from Delegated back to Allocated or Withheld-Same-Entity. This is understood to be a rare occurrence (e.g., retired ccTLDs).</w:t>
      </w:r>
    </w:p>
    <w:p w:rsidR="00000000" w:rsidDel="00000000" w:rsidP="00000000" w:rsidRDefault="00000000" w:rsidRPr="00000000" w14:paraId="000000C1">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There was a suggestion to consider the five states in buckets as a means to simplify things, with Blocked, Allocatable (which would include withheld-same-entity, allocated, rejected), and Delegated. </w:t>
      </w:r>
    </w:p>
    <w:p w:rsidR="00000000" w:rsidDel="00000000" w:rsidP="00000000" w:rsidRDefault="00000000" w:rsidRPr="00000000" w14:paraId="000000C2">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discussed there additional suggestions from members: </w:t>
      </w:r>
    </w:p>
    <w:p w:rsidR="00000000" w:rsidDel="00000000" w:rsidP="00000000" w:rsidRDefault="00000000" w:rsidRPr="00000000" w14:paraId="000000C3">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Come up with some other term to differentiate the “delegated” from the “allocated”, as in everyday speak, people tend to use “allocated” and “delegated” interchangeably. </w:t>
      </w:r>
    </w:p>
    <w:p w:rsidR="00000000" w:rsidDel="00000000" w:rsidP="00000000" w:rsidRDefault="00000000" w:rsidRPr="00000000" w14:paraId="000000C4">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Be clear that “withheld-same-entity” definition is intended for a specific purpose as it relates to IDNs, as it may have different meanings in different parts of the community. Support removing reference to “withheld” as it was an older definition in the Integrated Issues Report and it was no longer relevant in the variant management context. </w:t>
      </w:r>
    </w:p>
    <w:p w:rsidR="00000000" w:rsidDel="00000000" w:rsidP="00000000" w:rsidRDefault="00000000" w:rsidRPr="00000000" w14:paraId="000000C5">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include definition for “reserved” (to differentiate from “withheld-same-entity” and “blocked”).  </w:t>
      </w:r>
    </w:p>
    <w:p w:rsidR="00000000" w:rsidDel="00000000" w:rsidP="00000000" w:rsidRDefault="00000000" w:rsidRPr="00000000" w14:paraId="000000C6">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define other terms not related to label states, such as “variant” and “bundle”, as the EPDP Team goes through the charter – the task of defining those additional terms can be a “parking lot” item. </w:t>
      </w:r>
    </w:p>
    <w:p w:rsidR="00000000" w:rsidDel="00000000" w:rsidP="00000000" w:rsidRDefault="00000000" w:rsidRPr="00000000" w14:paraId="000000C7">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Revisit and finalize the definitions after the EPDP Team has explored all the possible scenarios when addressing other charter questions. </w:t>
      </w:r>
    </w:p>
    <w:p w:rsidR="00000000" w:rsidDel="00000000" w:rsidP="00000000" w:rsidRDefault="00000000" w:rsidRPr="00000000" w14:paraId="000000C8">
      <w:pPr>
        <w:spacing w:line="240" w:lineRule="auto"/>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C9">
      <w:pPr>
        <w:spacing w:line="240" w:lineRule="auto"/>
        <w:rPr>
          <w:rFonts w:ascii="Calibri" w:cs="Calibri" w:eastAsia="Calibri" w:hAnsi="Calibri"/>
          <w:color w:val="333333"/>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A">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CB">
            <w:pPr>
              <w:numPr>
                <w:ilvl w:val="0"/>
                <w:numId w:val="10"/>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CC">
            <w:pPr>
              <w:numPr>
                <w:ilvl w:val="0"/>
                <w:numId w:val="10"/>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CD">
            <w:pPr>
              <w:numPr>
                <w:ilvl w:val="0"/>
                <w:numId w:val="10"/>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CE">
            <w:pPr>
              <w:numPr>
                <w:ilvl w:val="0"/>
                <w:numId w:val="10"/>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CF">
            <w:pPr>
              <w:numPr>
                <w:ilvl w:val="0"/>
                <w:numId w:val="10"/>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D0">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D1">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D2">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D3">
      <w:pPr>
        <w:spacing w:line="240" w:lineRule="auto"/>
        <w:rPr/>
      </w:pPr>
      <w:r w:rsidDel="00000000" w:rsidR="00000000" w:rsidRPr="00000000">
        <w:rPr>
          <w:rtl w:val="0"/>
        </w:rPr>
      </w:r>
    </w:p>
    <w:p w:rsidR="00000000" w:rsidDel="00000000" w:rsidP="00000000" w:rsidRDefault="00000000" w:rsidRPr="00000000" w14:paraId="000000D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As noted in SAC062, “ICANN should ensure that the number of strings that are activated is as small as possible.”</w:t>
      </w:r>
    </w:p>
    <w:p w:rsidR="00000000" w:rsidDel="00000000" w:rsidP="00000000" w:rsidRDefault="00000000" w:rsidRPr="00000000" w14:paraId="000000D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D6">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 with the deliberations captured under a9 above.</w:t>
      </w:r>
    </w:p>
    <w:p w:rsidR="00000000" w:rsidDel="00000000" w:rsidP="00000000" w:rsidRDefault="00000000" w:rsidRPr="00000000" w14:paraId="000000D7">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label transition paths noted in the staff paper are fine for the moment. Revisit after the EPDP Team addresses other charter questions and examines potential implications. </w:t>
      </w:r>
      <w:r w:rsidDel="00000000" w:rsidR="00000000" w:rsidRPr="00000000">
        <w:rPr>
          <w:rtl w:val="0"/>
        </w:rPr>
      </w:r>
    </w:p>
    <w:sectPr>
      <w:footerReference r:id="rId15"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ennis Tan" w:id="0" w:date="2021-12-01T20:24:46Z">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see a potential conflict with SSAC's opinion on question a1. It seems to me that they are suggesting that as long as the IDN label is compliant with IDNA2008 (larger repertoire than RZ-LGR) then it should be allowed to be processed, SO LONG the label is applied for as a stand alone TLD. Variants of that label (it presumes self-identified variants) would not be allowed.</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presents a problem because now we would be in a situation where an applicant who is seeking to apply for a label (whose script is supported) that is deemed invalid per the RZ-LGR but valid by raw IDNA standards, could press the DNS stability panel to approve it.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D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D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D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D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D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D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D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E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0E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0E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0E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0E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0E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0E6">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0E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mmunity.icann.org/download/attachments/180029369/EPDP%20Team%20Meeting%20%2314%20Slides.pdf?version=2&amp;modificationDate=1638481302000&amp;api=v2" TargetMode="External"/><Relationship Id="rId10" Type="http://schemas.openxmlformats.org/officeDocument/2006/relationships/hyperlink" Target="https://community.icann.org/download/attachments/180029369/EPDP%20Team%20Meeting%20%2314%20Slides.pdf?version=2&amp;modificationDate=1638481302000&amp;api=v2" TargetMode="External"/><Relationship Id="rId13" Type="http://schemas.openxmlformats.org/officeDocument/2006/relationships/hyperlink" Target="https://community.icann.org/download/attachments/180029374/EPDP%20Team%20Meeting%20%2315%20Slides.pdf?version=1&amp;modificationDate=1638995159000&amp;api=v2" TargetMode="External"/><Relationship Id="rId12" Type="http://schemas.openxmlformats.org/officeDocument/2006/relationships/hyperlink" Target="https://community.icann.org/download/attachments/180029374/EPDP%20Team%20Meeting%20%2315%20Slides.pdf?version=1&amp;modificationDate=1638995159000&amp;api=v2"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community.icann.org/display/epdpidn/2021-11-04+IDNs+EPDP#:~:text=EPDP%20Team%20Meeting%20%2313%20Slides.pdf" TargetMode="External"/><Relationship Id="rId15" Type="http://schemas.openxmlformats.org/officeDocument/2006/relationships/footer" Target="footer1.xml"/><Relationship Id="rId14" Type="http://schemas.openxmlformats.org/officeDocument/2006/relationships/hyperlink" Target="https://community.icann.org/download/attachments/180029377/EPDP%20Team%20Meeting%20%2316%20Slides.pdf?version=2&amp;modificationDate=1639801011000&amp;api=v2" TargetMode="Externa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hyperlink" Target="https://docs.google.com/spreadsheets/d/1m2OKyXsHa9pfyBz2u44UTTSYjAbuxe_FHCsK9LUKPVI/edit#gid=0"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