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1C6F1293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E74BF8">
        <w:rPr>
          <w:sz w:val="28"/>
        </w:rPr>
        <w:t>2</w:t>
      </w:r>
      <w:r w:rsidR="00E51700" w:rsidRPr="00B57027">
        <w:rPr>
          <w:sz w:val="28"/>
        </w:rPr>
        <w:t xml:space="preserve"> Budget consideration is </w:t>
      </w:r>
      <w:r w:rsidR="00E74BF8">
        <w:rPr>
          <w:b/>
          <w:sz w:val="28"/>
        </w:rPr>
        <w:t>29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</w:t>
      </w:r>
      <w:r w:rsidR="00E74BF8">
        <w:rPr>
          <w:b/>
          <w:sz w:val="28"/>
        </w:rPr>
        <w:t>1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667DD481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 w:rsidR="00065CBB">
              <w:rPr>
                <w:noProof w:val="0"/>
              </w:rPr>
              <w:t xml:space="preserve">: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1CC87C99" w:rsidR="00946200" w:rsidRDefault="00224889">
            <w:pPr>
              <w:pStyle w:val="FormLabel1"/>
              <w:keepNext/>
              <w:spacing w:before="40" w:after="40"/>
              <w:rPr>
                <w:noProof w:val="0"/>
              </w:rPr>
            </w:pPr>
            <w:r>
              <w:rPr>
                <w:noProof w:val="0"/>
              </w:rPr>
              <w:t>Tanzania COMMUNITY NETWORK SUMMIT</w:t>
            </w: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56FAFB48" w14:textId="28120D06" w:rsidR="005A15AF" w:rsidRDefault="00F576B8" w:rsidP="009A206F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064F9FF0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  <w:r w:rsidR="00065CBB">
              <w:rPr>
                <w:smallCaps w:val="0"/>
                <w:noProof w:val="0"/>
                <w:sz w:val="18"/>
              </w:rPr>
              <w:t xml:space="preserve"> – Jabhera Matogoro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50BB57" w14:textId="578A7964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765FE5D7" w:rsidR="00946200" w:rsidRDefault="00946200">
            <w:pPr>
              <w:pStyle w:val="Header"/>
              <w:rPr>
                <w:rFonts w:ascii="Arial" w:hAnsi="Arial"/>
              </w:rPr>
            </w:pP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77777777" w:rsidR="00946200" w:rsidRDefault="00946200">
            <w:pPr>
              <w:pStyle w:val="Header"/>
              <w:rPr>
                <w:rFonts w:ascii="Arial" w:hAnsi="Arial"/>
              </w:rPr>
            </w:pP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135F" w14:textId="04FD571F" w:rsidR="009A058F" w:rsidRDefault="00065CBB" w:rsidP="00EB3F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Tanzania </w:t>
            </w:r>
            <w:r w:rsidR="00224889">
              <w:rPr>
                <w:rFonts w:ascii="Arial" w:hAnsi="Arial"/>
              </w:rPr>
              <w:t xml:space="preserve">Community Networks </w:t>
            </w:r>
            <w:r>
              <w:rPr>
                <w:rFonts w:ascii="Arial" w:hAnsi="Arial"/>
              </w:rPr>
              <w:t>Summit is designed to accommodate technical workshop for Tanzania Community Networks Operator’s Group (</w:t>
            </w:r>
            <w:proofErr w:type="spellStart"/>
            <w:r>
              <w:rPr>
                <w:rFonts w:ascii="Arial" w:hAnsi="Arial"/>
              </w:rPr>
              <w:t>tzcNOG</w:t>
            </w:r>
            <w:proofErr w:type="spellEnd"/>
            <w:r>
              <w:rPr>
                <w:rFonts w:ascii="Arial" w:hAnsi="Arial"/>
              </w:rPr>
              <w:t>), Tanzania Community Networks School of Internet Governance and Annual General Meeting for Tanzania Community Networks Alliance members. It is a localized event similar to African Internet Summit only designed for community networks operators in Tanzania.</w:t>
            </w: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187D1F40" w:rsidR="005428F3" w:rsidRDefault="00065CBB" w:rsidP="009A05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Outreach – Education/Training</w:t>
            </w: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56446F01" w:rsidR="003F32A0" w:rsidRDefault="00065CBB" w:rsidP="001B79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Annual event scheduled 23 – 2</w:t>
            </w:r>
            <w:r w:rsidR="00782070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</w:t>
            </w:r>
            <w:r w:rsidR="00782070">
              <w:rPr>
                <w:rFonts w:ascii="Arial" w:hAnsi="Arial"/>
              </w:rPr>
              <w:t>August</w:t>
            </w:r>
            <w:r>
              <w:rPr>
                <w:rFonts w:ascii="Arial" w:hAnsi="Arial"/>
              </w:rPr>
              <w:t>, 2021</w:t>
            </w: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C364" w14:textId="77777777" w:rsidR="00A4221B" w:rsidRPr="00A4221B" w:rsidRDefault="00A4221B" w:rsidP="00A4221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  <w:lang w:eastAsia="zh-TW"/>
              </w:rPr>
            </w:pPr>
            <w:r w:rsidRPr="00A4221B">
              <w:rPr>
                <w:rFonts w:ascii="Arial" w:hAnsi="Arial"/>
                <w:lang w:eastAsia="zh-TW"/>
              </w:rPr>
              <w:t>Strengthen the security of the Domain Name System and the DNS Root Server System</w:t>
            </w:r>
          </w:p>
          <w:p w14:paraId="4E0E0880" w14:textId="7DE41056" w:rsidR="00F576B8" w:rsidRPr="00A4221B" w:rsidRDefault="00A4221B" w:rsidP="00A4221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  <w:lang w:eastAsia="zh-TW"/>
              </w:rPr>
            </w:pPr>
            <w:r w:rsidRPr="00A4221B">
              <w:rPr>
                <w:rFonts w:ascii="Arial" w:hAnsi="Arial"/>
                <w:lang w:eastAsia="zh-TW"/>
              </w:rPr>
              <w:t>Improve the effectiveness of ICANN’s multi</w:t>
            </w:r>
            <w:r w:rsidR="00782070">
              <w:rPr>
                <w:rFonts w:ascii="Arial" w:hAnsi="Arial"/>
                <w:lang w:eastAsia="zh-TW"/>
              </w:rPr>
              <w:t>-</w:t>
            </w:r>
            <w:r w:rsidRPr="00A4221B">
              <w:rPr>
                <w:rFonts w:ascii="Arial" w:hAnsi="Arial"/>
                <w:lang w:eastAsia="zh-TW"/>
              </w:rPr>
              <w:t>stakeholder model of governance.</w:t>
            </w: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424394B1" w:rsidR="00F576B8" w:rsidRPr="00FB677E" w:rsidRDefault="00A4221B" w:rsidP="00F50A85">
            <w:pPr>
              <w:rPr>
                <w:bCs/>
              </w:rPr>
            </w:pPr>
            <w:r w:rsidRPr="00FB677E">
              <w:rPr>
                <w:bCs/>
              </w:rPr>
              <w:t>Youth, women, technical</w:t>
            </w:r>
            <w:r w:rsidR="00FB677E">
              <w:rPr>
                <w:bCs/>
              </w:rPr>
              <w:t>, community networks operators</w:t>
            </w:r>
            <w:r w:rsidRPr="00FB677E">
              <w:rPr>
                <w:bCs/>
              </w:rPr>
              <w:t xml:space="preserve"> and non-technical members</w:t>
            </w:r>
            <w:r w:rsidR="00FB677E">
              <w:rPr>
                <w:bCs/>
              </w:rPr>
              <w:t>, Tanzania</w:t>
            </w: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47849DA0" w:rsidR="00F576B8" w:rsidRDefault="00FB677E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lastRenderedPageBreak/>
              <w:t>Level of understanding to Internet Governance ecosystem, technical manual for community networks operator’s group, piloted course curriculum and content, improved SLA, improved infrastructure through direct engineering assistance.</w:t>
            </w: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2EC6D12E" w:rsidR="009A058F" w:rsidRDefault="00FB677E" w:rsidP="00B91DD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Media coverage and blogs, pre and post survey, user feedback, improved technical skills for participants</w:t>
            </w: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413"/>
              <w:gridCol w:w="1606"/>
              <w:gridCol w:w="2009"/>
              <w:gridCol w:w="2010"/>
              <w:gridCol w:w="2010"/>
            </w:tblGrid>
            <w:tr w:rsidR="003223B8" w14:paraId="05CA7ED9" w14:textId="77777777" w:rsidTr="00782070">
              <w:trPr>
                <w:trHeight w:val="251"/>
              </w:trPr>
              <w:tc>
                <w:tcPr>
                  <w:tcW w:w="2413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1606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12A24E9B" w:rsidR="00FB677E" w:rsidRPr="003223B8" w:rsidRDefault="003223B8" w:rsidP="00FB677E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  <w:r w:rsidR="00FB677E">
                    <w:rPr>
                      <w:b/>
                      <w:noProof w:val="0"/>
                      <w:sz w:val="18"/>
                      <w:szCs w:val="18"/>
                    </w:rPr>
                    <w:t xml:space="preserve"> (hours)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25329BE5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  <w:r w:rsidR="00973CB7">
                    <w:rPr>
                      <w:b/>
                      <w:noProof w:val="0"/>
                      <w:sz w:val="18"/>
                      <w:szCs w:val="18"/>
                    </w:rPr>
                    <w:t xml:space="preserve"> (USD)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782070">
              <w:trPr>
                <w:trHeight w:val="251"/>
              </w:trPr>
              <w:tc>
                <w:tcPr>
                  <w:tcW w:w="241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7D249838" w:rsidR="003223B8" w:rsidRPr="00F576B8" w:rsidRDefault="00782070" w:rsidP="003223B8">
                  <w:pPr>
                    <w:pStyle w:val="TableText"/>
                    <w:rPr>
                      <w:noProof w:val="0"/>
                    </w:rPr>
                  </w:pPr>
                  <w:r w:rsidRPr="00782070">
                    <w:rPr>
                      <w:noProof w:val="0"/>
                    </w:rPr>
                    <w:t>Global Amount Request</w:t>
                  </w:r>
                  <w:r>
                    <w:rPr>
                      <w:noProof w:val="0"/>
                    </w:rPr>
                    <w:t>ed</w:t>
                  </w:r>
                </w:p>
              </w:tc>
              <w:tc>
                <w:tcPr>
                  <w:tcW w:w="160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2B383013" w:rsidR="003223B8" w:rsidRPr="00F576B8" w:rsidRDefault="00782070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24</w:t>
                  </w: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605BF7C0" w:rsidR="003223B8" w:rsidRPr="00F576B8" w:rsidRDefault="00782070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It will cover one technical workshop and Internet Governance tailor-made for community networks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50475CF4" w:rsidR="003223B8" w:rsidRPr="00F576B8" w:rsidRDefault="00782070" w:rsidP="003223B8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4000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10380830" w:rsidR="003223B8" w:rsidRPr="00F576B8" w:rsidRDefault="00782070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Participants profile will include women, girls, technical and non-technical participants working towards community networks in Tanzania</w:t>
                  </w:r>
                </w:p>
              </w:tc>
            </w:tr>
            <w:tr w:rsidR="003223B8" w14:paraId="700668DE" w14:textId="77777777" w:rsidTr="00782070">
              <w:trPr>
                <w:trHeight w:val="251"/>
              </w:trPr>
              <w:tc>
                <w:tcPr>
                  <w:tcW w:w="24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43E0C33A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1606" w:type="dxa"/>
                  <w:tcBorders>
                    <w:left w:val="single" w:sz="12" w:space="0" w:color="auto"/>
                  </w:tcBorders>
                </w:tcPr>
                <w:p w14:paraId="65B24F32" w14:textId="4D4AA675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2A20946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06BCCF0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3153A19D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782070">
              <w:trPr>
                <w:trHeight w:val="251"/>
              </w:trPr>
              <w:tc>
                <w:tcPr>
                  <w:tcW w:w="2413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160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6859D8CE" w:rsidR="00812455" w:rsidRDefault="00BE5AA9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Human resources and</w:t>
            </w:r>
            <w:r w:rsidR="00973CB7">
              <w:rPr>
                <w:noProof w:val="0"/>
              </w:rPr>
              <w:t xml:space="preserve"> </w:t>
            </w:r>
            <w:r>
              <w:rPr>
                <w:noProof w:val="0"/>
              </w:rPr>
              <w:t>infrastructure</w:t>
            </w: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1B322AF9" w:rsidR="008F4418" w:rsidRDefault="00BE5AA9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Web streaming for the summit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7CEFFEC3" w:rsidR="008F4418" w:rsidRDefault="00BE5AA9" w:rsidP="001B203B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Sign interpreter for hearing impaired participants  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5F493781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  <w:r w:rsidR="00BE5AA9">
              <w:rPr>
                <w:smallCaps w:val="0"/>
                <w:noProof w:val="0"/>
                <w:sz w:val="18"/>
              </w:rPr>
              <w:t xml:space="preserve"> Fellowship Handling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8E91EC5" w:rsidR="001B203B" w:rsidRDefault="00BE5AA9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lastRenderedPageBreak/>
              <w:t>Request to help handle fellowship application process</w:t>
            </w: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3F5AEF3C" w:rsidR="00A8570C" w:rsidRDefault="00BE5AA9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Tanzania Community Networks Alliance, </w:t>
            </w:r>
            <w:proofErr w:type="spellStart"/>
            <w:r>
              <w:rPr>
                <w:noProof w:val="0"/>
              </w:rPr>
              <w:t>dotAfrica</w:t>
            </w:r>
            <w:proofErr w:type="spellEnd"/>
            <w:r>
              <w:rPr>
                <w:noProof w:val="0"/>
              </w:rPr>
              <w:t xml:space="preserve">, </w:t>
            </w:r>
            <w:r w:rsidR="00224889">
              <w:rPr>
                <w:noProof w:val="0"/>
              </w:rPr>
              <w:t xml:space="preserve">Internet Society, Mozilla Foundation, </w:t>
            </w:r>
            <w:proofErr w:type="spellStart"/>
            <w:r w:rsidR="00224889">
              <w:rPr>
                <w:noProof w:val="0"/>
              </w:rPr>
              <w:t>AfriNIC</w:t>
            </w:r>
            <w:proofErr w:type="spellEnd"/>
            <w:r w:rsidR="00224889">
              <w:rPr>
                <w:noProof w:val="0"/>
              </w:rPr>
              <w:t xml:space="preserve">, Tanzania Internet Service Provider’s Association, </w:t>
            </w:r>
            <w:proofErr w:type="spellStart"/>
            <w:r w:rsidR="00224889">
              <w:rPr>
                <w:noProof w:val="0"/>
              </w:rPr>
              <w:t>HabariNode</w:t>
            </w:r>
            <w:proofErr w:type="spellEnd"/>
            <w:r w:rsidR="00224889">
              <w:rPr>
                <w:noProof w:val="0"/>
              </w:rPr>
              <w:t>, SEACOM.</w:t>
            </w: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0ACBB" w14:textId="77777777" w:rsidR="00607956" w:rsidRDefault="00607956">
      <w:r>
        <w:separator/>
      </w:r>
    </w:p>
  </w:endnote>
  <w:endnote w:type="continuationSeparator" w:id="0">
    <w:p w14:paraId="7A1A05C3" w14:textId="77777777" w:rsidR="00607956" w:rsidRDefault="0060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45D47" w14:textId="77777777" w:rsidR="00607956" w:rsidRDefault="00607956">
      <w:r>
        <w:separator/>
      </w:r>
    </w:p>
  </w:footnote>
  <w:footnote w:type="continuationSeparator" w:id="0">
    <w:p w14:paraId="144B5AF6" w14:textId="77777777" w:rsidR="00607956" w:rsidRDefault="0060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5DA296B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E74BF8">
            <w:rPr>
              <w:rFonts w:ascii="Arial" w:hAnsi="Arial"/>
              <w:b/>
              <w:color w:val="FFFFFF"/>
              <w:sz w:val="32"/>
            </w:rPr>
            <w:t>2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C51B79"/>
    <w:multiLevelType w:val="hybridMultilevel"/>
    <w:tmpl w:val="9B90886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3"/>
  </w:num>
  <w:num w:numId="4">
    <w:abstractNumId w:val="2"/>
  </w:num>
  <w:num w:numId="5">
    <w:abstractNumId w:val="3"/>
  </w:num>
  <w:num w:numId="6">
    <w:abstractNumId w:val="19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8"/>
  </w:num>
  <w:num w:numId="12">
    <w:abstractNumId w:val="22"/>
  </w:num>
  <w:num w:numId="13">
    <w:abstractNumId w:val="1"/>
  </w:num>
  <w:num w:numId="14">
    <w:abstractNumId w:val="7"/>
  </w:num>
  <w:num w:numId="15">
    <w:abstractNumId w:val="15"/>
  </w:num>
  <w:num w:numId="16">
    <w:abstractNumId w:val="24"/>
  </w:num>
  <w:num w:numId="17">
    <w:abstractNumId w:val="4"/>
  </w:num>
  <w:num w:numId="18">
    <w:abstractNumId w:val="14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1"/>
  </w:num>
  <w:num w:numId="2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65CB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24889"/>
    <w:rsid w:val="00233567"/>
    <w:rsid w:val="00255477"/>
    <w:rsid w:val="00257880"/>
    <w:rsid w:val="0029254A"/>
    <w:rsid w:val="002D05C0"/>
    <w:rsid w:val="002E1484"/>
    <w:rsid w:val="002F444A"/>
    <w:rsid w:val="003223B8"/>
    <w:rsid w:val="00327418"/>
    <w:rsid w:val="003A7367"/>
    <w:rsid w:val="003D2FC2"/>
    <w:rsid w:val="003F231E"/>
    <w:rsid w:val="003F32A0"/>
    <w:rsid w:val="003F430D"/>
    <w:rsid w:val="00420E54"/>
    <w:rsid w:val="005145C9"/>
    <w:rsid w:val="00514B5C"/>
    <w:rsid w:val="005300CD"/>
    <w:rsid w:val="00542865"/>
    <w:rsid w:val="005428F3"/>
    <w:rsid w:val="005839A1"/>
    <w:rsid w:val="005A15AF"/>
    <w:rsid w:val="005D76FA"/>
    <w:rsid w:val="006003A1"/>
    <w:rsid w:val="00607956"/>
    <w:rsid w:val="0064760B"/>
    <w:rsid w:val="006663E2"/>
    <w:rsid w:val="006E40CC"/>
    <w:rsid w:val="006E71B7"/>
    <w:rsid w:val="006F34E0"/>
    <w:rsid w:val="00714ED8"/>
    <w:rsid w:val="00747390"/>
    <w:rsid w:val="00765F29"/>
    <w:rsid w:val="00782070"/>
    <w:rsid w:val="00794D7A"/>
    <w:rsid w:val="007C1649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41220"/>
    <w:rsid w:val="00946200"/>
    <w:rsid w:val="009676BF"/>
    <w:rsid w:val="00973CB7"/>
    <w:rsid w:val="009933BD"/>
    <w:rsid w:val="009A058F"/>
    <w:rsid w:val="009A206F"/>
    <w:rsid w:val="009F0137"/>
    <w:rsid w:val="00A32217"/>
    <w:rsid w:val="00A4221B"/>
    <w:rsid w:val="00A440E5"/>
    <w:rsid w:val="00A45647"/>
    <w:rsid w:val="00A8570C"/>
    <w:rsid w:val="00AA2BDC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BE5AA9"/>
    <w:rsid w:val="00C25AF0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51A69"/>
    <w:rsid w:val="00D54696"/>
    <w:rsid w:val="00D84646"/>
    <w:rsid w:val="00D86C18"/>
    <w:rsid w:val="00DF023D"/>
    <w:rsid w:val="00E24E60"/>
    <w:rsid w:val="00E51700"/>
    <w:rsid w:val="00E74BF8"/>
    <w:rsid w:val="00E92776"/>
    <w:rsid w:val="00E968F3"/>
    <w:rsid w:val="00EB3FA1"/>
    <w:rsid w:val="00EE1F95"/>
    <w:rsid w:val="00EF13F9"/>
    <w:rsid w:val="00EF3511"/>
    <w:rsid w:val="00F01763"/>
    <w:rsid w:val="00F02B69"/>
    <w:rsid w:val="00F34D86"/>
    <w:rsid w:val="00F50A85"/>
    <w:rsid w:val="00F55153"/>
    <w:rsid w:val="00F55AFA"/>
    <w:rsid w:val="00F576B8"/>
    <w:rsid w:val="00F838DA"/>
    <w:rsid w:val="00FB677E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2021-01-19T22:21:00Z</dcterms:created>
  <dcterms:modified xsi:type="dcterms:W3CDTF">2021-01-19T22:21:00Z</dcterms:modified>
</cp:coreProperties>
</file>