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9CF18" w14:textId="77777777" w:rsidR="00C25AF0" w:rsidRDefault="00C25AF0" w:rsidP="00E51700">
      <w:pPr>
        <w:ind w:left="-810"/>
        <w:rPr>
          <w:sz w:val="28"/>
        </w:rPr>
      </w:pPr>
    </w:p>
    <w:p w14:paraId="26A16981" w14:textId="1C6F1293"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E74BF8">
        <w:rPr>
          <w:sz w:val="28"/>
        </w:rPr>
        <w:t>2</w:t>
      </w:r>
      <w:r w:rsidR="00E51700" w:rsidRPr="00B57027">
        <w:rPr>
          <w:sz w:val="28"/>
        </w:rPr>
        <w:t xml:space="preserve"> Budget consideration is </w:t>
      </w:r>
      <w:r w:rsidR="00E74BF8">
        <w:rPr>
          <w:b/>
          <w:sz w:val="28"/>
        </w:rPr>
        <w:t>29</w:t>
      </w:r>
      <w:r w:rsidR="00CC087D" w:rsidRPr="00CC087D">
        <w:rPr>
          <w:b/>
          <w:sz w:val="28"/>
        </w:rPr>
        <w:t xml:space="preserve"> January</w:t>
      </w:r>
      <w:r w:rsidR="005839A1" w:rsidRPr="00CC087D">
        <w:rPr>
          <w:b/>
          <w:sz w:val="28"/>
        </w:rPr>
        <w:t xml:space="preserve"> 20</w:t>
      </w:r>
      <w:r w:rsidR="006663E2">
        <w:rPr>
          <w:b/>
          <w:sz w:val="28"/>
        </w:rPr>
        <w:t>2</w:t>
      </w:r>
      <w:r w:rsidR="00E74BF8">
        <w:rPr>
          <w:b/>
          <w:sz w:val="28"/>
        </w:rPr>
        <w:t>1</w:t>
      </w:r>
      <w:r w:rsidR="00B57027" w:rsidRPr="00CC087D">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1B6492C8" w:rsidR="005A15AF" w:rsidRDefault="004017C2" w:rsidP="009A206F">
            <w:pPr>
              <w:pStyle w:val="TableText"/>
              <w:rPr>
                <w:noProof w:val="0"/>
              </w:rPr>
            </w:pPr>
            <w:r>
              <w:rPr>
                <w:noProof w:val="0"/>
              </w:rPr>
              <w:t>Translation and Publication of Materials for Individual User Education on DNS Abuse</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60C350EB" w:rsidR="005A15AF" w:rsidRDefault="00EF75A2">
            <w:pPr>
              <w:pStyle w:val="Header"/>
              <w:rPr>
                <w:rFonts w:ascii="Arial" w:hAnsi="Arial"/>
              </w:rPr>
            </w:pPr>
            <w:r>
              <w:rPr>
                <w:rFonts w:ascii="Arial" w:hAnsi="Arial"/>
              </w:rPr>
              <w:t>ALAC</w:t>
            </w:r>
          </w:p>
        </w:tc>
        <w:tc>
          <w:tcPr>
            <w:tcW w:w="5490" w:type="dxa"/>
            <w:gridSpan w:val="2"/>
            <w:tcBorders>
              <w:top w:val="nil"/>
              <w:left w:val="single" w:sz="6" w:space="0" w:color="auto"/>
              <w:bottom w:val="single" w:sz="4" w:space="0" w:color="auto"/>
              <w:right w:val="single" w:sz="4" w:space="0" w:color="auto"/>
            </w:tcBorders>
          </w:tcPr>
          <w:p w14:paraId="132FFA89" w14:textId="33D57B46" w:rsidR="00946200" w:rsidRDefault="00EF75A2">
            <w:pPr>
              <w:pStyle w:val="Header"/>
              <w:rPr>
                <w:rFonts w:ascii="Arial" w:hAnsi="Arial"/>
              </w:rPr>
            </w:pPr>
            <w:r>
              <w:rPr>
                <w:rFonts w:ascii="Arial" w:hAnsi="Arial"/>
              </w:rPr>
              <w:t>Maureen Hilyard</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77777777" w:rsidR="00946200" w:rsidRDefault="00946200">
            <w:pPr>
              <w:pStyle w:val="Header"/>
              <w:rPr>
                <w:rFonts w:ascii="Arial" w:hAnsi="Arial"/>
              </w:rPr>
            </w:pPr>
          </w:p>
          <w:p w14:paraId="5CDF4DD3" w14:textId="01697BB8" w:rsidR="005A15AF" w:rsidRDefault="00EF75A2">
            <w:pPr>
              <w:pStyle w:val="Header"/>
              <w:rPr>
                <w:rFonts w:ascii="Arial" w:hAnsi="Arial"/>
              </w:rPr>
            </w:pPr>
            <w:r>
              <w:rPr>
                <w:rFonts w:ascii="Arial" w:hAnsi="Arial"/>
              </w:rPr>
              <w:t>Heidi Ullrich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37DEE1EC" w14:textId="6B3DC855" w:rsidR="00C91BF4" w:rsidRDefault="008B2D65" w:rsidP="00EB3FA1">
            <w:pPr>
              <w:rPr>
                <w:rFonts w:ascii="Arial" w:hAnsi="Arial"/>
              </w:rPr>
            </w:pPr>
            <w:r>
              <w:rPr>
                <w:rFonts w:ascii="Arial" w:hAnsi="Arial"/>
              </w:rPr>
              <w:t xml:space="preserve">The At-Large intends to create a kind of DNS Abuse Educadtion “toolkit,” for use, not only by the At-Large (and its ALs) but other non-profit organizations and institutions. </w:t>
            </w:r>
            <w:r w:rsidR="004017C2">
              <w:rPr>
                <w:rFonts w:ascii="Arial" w:hAnsi="Arial"/>
              </w:rPr>
              <w:t>The At-Large has played a leadership role in bringing the issue of DNS Abuse to the foreground within the ICANN community. Through, several public meetings, we have brought diverse groups together to cooperate on finding a path forward to mitigate DNS Abuse, something which plagues the individual user community more than any other. That said, there is a recognition, by everyone, that the real answer lies with the users themselves. Only so much can be done to protect users from malicious phishing, pharming, maleware and identify theft.  The best protection for end users is education and diligence on the part of those users.</w:t>
            </w:r>
          </w:p>
          <w:p w14:paraId="1BAC022A" w14:textId="30DBC639" w:rsidR="004017C2" w:rsidRDefault="004017C2" w:rsidP="00EB3FA1">
            <w:pPr>
              <w:rPr>
                <w:rFonts w:ascii="Arial" w:hAnsi="Arial"/>
              </w:rPr>
            </w:pPr>
          </w:p>
          <w:p w14:paraId="7A503EB0" w14:textId="0D1BCE83" w:rsidR="004017C2" w:rsidRDefault="004017C2" w:rsidP="00EB3FA1">
            <w:pPr>
              <w:rPr>
                <w:rFonts w:ascii="Arial" w:hAnsi="Arial"/>
              </w:rPr>
            </w:pPr>
            <w:r>
              <w:rPr>
                <w:rFonts w:ascii="Arial" w:hAnsi="Arial"/>
              </w:rPr>
              <w:t>Accordingly, during ICANN67, the At-Large announced that, in addition to our policy related efforts, we would be launching an education campaign to help individual end users to better protect themselves.</w:t>
            </w:r>
            <w:r w:rsidR="00AC3153">
              <w:rPr>
                <w:rFonts w:ascii="Arial" w:hAnsi="Arial"/>
              </w:rPr>
              <w:t xml:space="preserve"> The At-Large community is in an ideal position to execute on such a campaign, given our broad and deep structure of At-Large Organizations (RALOs) and At-Large Structures (ALSs).  This campaign has the following steps:</w:t>
            </w:r>
          </w:p>
          <w:p w14:paraId="7ECE2FC8" w14:textId="1D48DBCF" w:rsidR="00AC3153" w:rsidRDefault="00AC3153" w:rsidP="00AC3153">
            <w:pPr>
              <w:pStyle w:val="ListParagraph"/>
              <w:numPr>
                <w:ilvl w:val="0"/>
                <w:numId w:val="25"/>
              </w:numPr>
              <w:rPr>
                <w:rFonts w:ascii="Arial" w:hAnsi="Arial"/>
              </w:rPr>
            </w:pPr>
            <w:r w:rsidRPr="00AC3153">
              <w:rPr>
                <w:rFonts w:ascii="Arial" w:hAnsi="Arial"/>
                <w:b/>
                <w:bCs/>
              </w:rPr>
              <w:t>Collect and Evaluate Existing Educational Materials</w:t>
            </w:r>
            <w:r>
              <w:rPr>
                <w:rFonts w:ascii="Arial" w:hAnsi="Arial"/>
              </w:rPr>
              <w:br/>
              <w:t xml:space="preserve">There’s a very high likelihood that all of the materials for such a campaign already exist, having been created by non-profits and consumer protection agencies around the world. </w:t>
            </w:r>
            <w:r w:rsidR="008B2D65">
              <w:rPr>
                <w:rFonts w:ascii="Arial" w:hAnsi="Arial"/>
              </w:rPr>
              <w:t xml:space="preserve">The ALAC have already begun discussions with the GAC and have received materials from both the US Government and the EU. As we collect materials, they will be evaluated for both their accuracy and their accessibility to individual end users. </w:t>
            </w:r>
            <w:r>
              <w:rPr>
                <w:rFonts w:ascii="Arial" w:hAnsi="Arial"/>
              </w:rPr>
              <w:t>Most of these materials are free for us to use for such a campaign. The At-Large and Engagement team will work to gather a broad set of materials that best fit the need and the intended audience. Materials include videos, whitepapers and infographics.</w:t>
            </w:r>
          </w:p>
          <w:p w14:paraId="75D3C3BC" w14:textId="1291D594" w:rsidR="00AC3153" w:rsidRDefault="00AC3153" w:rsidP="00AC3153">
            <w:pPr>
              <w:pStyle w:val="ListParagraph"/>
              <w:numPr>
                <w:ilvl w:val="0"/>
                <w:numId w:val="25"/>
              </w:numPr>
              <w:rPr>
                <w:rFonts w:ascii="Arial" w:hAnsi="Arial"/>
              </w:rPr>
            </w:pPr>
            <w:r w:rsidRPr="00AC3153">
              <w:rPr>
                <w:rFonts w:ascii="Arial" w:hAnsi="Arial"/>
                <w:b/>
                <w:bCs/>
              </w:rPr>
              <w:t>Translate, Standardize and Republish</w:t>
            </w:r>
            <w:r>
              <w:rPr>
                <w:rFonts w:ascii="Arial" w:hAnsi="Arial"/>
              </w:rPr>
              <w:br/>
              <w:t>Once materials have been identified, the At-Large intends to make them available in multiple languages, based on the demographics of the different ALs. Ideally, the At-Large would create a public repository of these materials that can be easily accessed by all of our ALSs.</w:t>
            </w:r>
          </w:p>
          <w:p w14:paraId="7FBB3F3E" w14:textId="21EF13EF" w:rsidR="00AC3153" w:rsidRPr="00056B52" w:rsidRDefault="00AC3153" w:rsidP="00AC3153">
            <w:pPr>
              <w:pStyle w:val="ListParagraph"/>
              <w:numPr>
                <w:ilvl w:val="0"/>
                <w:numId w:val="25"/>
              </w:numPr>
              <w:rPr>
                <w:rFonts w:ascii="Arial" w:hAnsi="Arial"/>
              </w:rPr>
            </w:pPr>
            <w:r>
              <w:rPr>
                <w:rFonts w:ascii="Arial" w:hAnsi="Arial"/>
                <w:b/>
                <w:bCs/>
              </w:rPr>
              <w:t xml:space="preserve">Development of </w:t>
            </w:r>
            <w:r w:rsidR="00056B52">
              <w:rPr>
                <w:rFonts w:ascii="Arial" w:hAnsi="Arial"/>
                <w:b/>
                <w:bCs/>
              </w:rPr>
              <w:t>Webinar</w:t>
            </w:r>
          </w:p>
          <w:p w14:paraId="4B4C71BA" w14:textId="24CD8604" w:rsidR="00056B52" w:rsidRDefault="00056B52" w:rsidP="00056B52">
            <w:pPr>
              <w:pStyle w:val="ListParagraph"/>
              <w:rPr>
                <w:rFonts w:ascii="Arial" w:hAnsi="Arial"/>
              </w:rPr>
            </w:pPr>
            <w:r>
              <w:rPr>
                <w:rFonts w:ascii="Arial" w:hAnsi="Arial"/>
              </w:rPr>
              <w:t>The At-Large will develop these materials into a webinar which we will deliver several times to refine and then train RALOs and ALSs to deliver the materials in their local language and geography.</w:t>
            </w:r>
            <w:r w:rsidR="008B2D65">
              <w:rPr>
                <w:rFonts w:ascii="Arial" w:hAnsi="Arial"/>
              </w:rPr>
              <w:t xml:space="preserve"> The At-Large </w:t>
            </w:r>
            <w:r w:rsidR="008B2D65">
              <w:rPr>
                <w:rFonts w:ascii="Arial" w:hAnsi="Arial"/>
              </w:rPr>
              <w:lastRenderedPageBreak/>
              <w:t>has a long partnership with ISOC and other non-profits which should provide numerous other opportunities and channels for outreach and distribution of the webinar and associated materials.</w:t>
            </w:r>
          </w:p>
          <w:p w14:paraId="4486BB38" w14:textId="58529FBA" w:rsidR="00056B52" w:rsidRDefault="00056B52" w:rsidP="00056B52">
            <w:pPr>
              <w:pStyle w:val="ListParagraph"/>
              <w:numPr>
                <w:ilvl w:val="0"/>
                <w:numId w:val="25"/>
              </w:numPr>
              <w:rPr>
                <w:rFonts w:ascii="Arial" w:hAnsi="Arial"/>
              </w:rPr>
            </w:pPr>
            <w:r w:rsidRPr="00056B52">
              <w:rPr>
                <w:rFonts w:ascii="Arial" w:hAnsi="Arial"/>
                <w:b/>
                <w:bCs/>
              </w:rPr>
              <w:t>Development of a Course</w:t>
            </w:r>
            <w:r w:rsidRPr="00056B52">
              <w:rPr>
                <w:rFonts w:ascii="Arial" w:hAnsi="Arial"/>
              </w:rPr>
              <w:br/>
              <w:t>The At-Large will develop an online course, targeted at individual users, to learn to better protect themselves online. Ideally, this course would be hosted on the ICANN Learn platform.</w:t>
            </w:r>
          </w:p>
          <w:p w14:paraId="74C67F54" w14:textId="70EDEC18" w:rsidR="00056B52" w:rsidRDefault="00056B52" w:rsidP="00056B52">
            <w:pPr>
              <w:rPr>
                <w:rFonts w:ascii="Arial" w:hAnsi="Arial"/>
              </w:rPr>
            </w:pPr>
          </w:p>
          <w:p w14:paraId="72873B71" w14:textId="501FAE3D" w:rsidR="00056B52" w:rsidRPr="00056B52" w:rsidRDefault="00056B52" w:rsidP="00056B52">
            <w:pPr>
              <w:rPr>
                <w:rFonts w:ascii="Arial" w:hAnsi="Arial"/>
              </w:rPr>
            </w:pPr>
            <w:r>
              <w:rPr>
                <w:rFonts w:ascii="Arial" w:hAnsi="Arial"/>
              </w:rPr>
              <w:t>It is anticipated that the primary outside expense will be the translation and republication of the diverse set of materials we identify.</w:t>
            </w: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lastRenderedPageBreak/>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77777777" w:rsidR="005428F3" w:rsidRDefault="005428F3" w:rsidP="009A058F">
            <w:pPr>
              <w:rPr>
                <w:rFonts w:ascii="Arial" w:hAnsi="Arial"/>
              </w:rPr>
            </w:pPr>
          </w:p>
          <w:p w14:paraId="189667B8" w14:textId="6A093AE6" w:rsidR="00F576B8" w:rsidRPr="009A058F" w:rsidRDefault="00EF75A2" w:rsidP="009A058F">
            <w:pPr>
              <w:rPr>
                <w:rFonts w:ascii="Arial" w:hAnsi="Arial"/>
              </w:rPr>
            </w:pPr>
            <w:r>
              <w:rPr>
                <w:rFonts w:ascii="Arial" w:hAnsi="Arial"/>
              </w:rPr>
              <w:t>Education</w:t>
            </w:r>
            <w:r w:rsidR="002508A7">
              <w:rPr>
                <w:rFonts w:ascii="Arial" w:hAnsi="Arial"/>
              </w:rPr>
              <w:t xml:space="preserve">, Outreach, </w:t>
            </w:r>
            <w:r w:rsidR="008B2D65">
              <w:rPr>
                <w:rFonts w:ascii="Arial" w:hAnsi="Arial"/>
              </w:rPr>
              <w:t>Increased Community Participation</w:t>
            </w: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1954E676" w:rsidR="003F32A0" w:rsidRDefault="00262707" w:rsidP="00262707">
            <w:pPr>
              <w:tabs>
                <w:tab w:val="left" w:pos="6280"/>
              </w:tabs>
              <w:rPr>
                <w:rFonts w:ascii="Arial" w:hAnsi="Arial"/>
              </w:rPr>
            </w:pPr>
            <w:r>
              <w:rPr>
                <w:rFonts w:ascii="Arial" w:hAnsi="Arial"/>
              </w:rPr>
              <w:tab/>
            </w:r>
          </w:p>
          <w:p w14:paraId="7DB508AB" w14:textId="46A8E8CE" w:rsidR="00F576B8" w:rsidRPr="009A058F" w:rsidRDefault="00EF75A2" w:rsidP="001B79F2">
            <w:pPr>
              <w:rPr>
                <w:rFonts w:ascii="Arial" w:hAnsi="Arial"/>
              </w:rPr>
            </w:pPr>
            <w:r>
              <w:rPr>
                <w:rFonts w:ascii="Arial" w:hAnsi="Arial"/>
              </w:rPr>
              <w:t>1</w:t>
            </w:r>
            <w:r w:rsidRPr="00EF75A2">
              <w:rPr>
                <w:rFonts w:ascii="Arial" w:hAnsi="Arial"/>
                <w:vertAlign w:val="superscript"/>
              </w:rPr>
              <w:t>st</w:t>
            </w:r>
            <w:r>
              <w:rPr>
                <w:rFonts w:ascii="Arial" w:hAnsi="Arial"/>
              </w:rPr>
              <w:t xml:space="preserve"> Quarter FY22, ongoing</w:t>
            </w: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35342321" w14:textId="3BB3233B" w:rsidR="00F576B8" w:rsidRPr="00B06A16" w:rsidRDefault="00056B52" w:rsidP="002508A7">
            <w:pPr>
              <w:rPr>
                <w:b/>
              </w:rPr>
            </w:pPr>
            <w:r>
              <w:rPr>
                <w:rFonts w:ascii="Arial" w:hAnsi="Arial"/>
                <w:lang w:eastAsia="zh-TW"/>
              </w:rPr>
              <w:t>The Strategic plan calls for ongoing vigilance with respect to security and stability and the bylaws call for At-Large outreach to the individual internet user community.</w:t>
            </w:r>
            <w:r w:rsidR="008B2D65">
              <w:rPr>
                <w:rFonts w:ascii="Arial" w:hAnsi="Arial"/>
                <w:lang w:eastAsia="zh-TW"/>
              </w:rPr>
              <w:t xml:space="preserve"> Furthermore, this is a toolkit to reach beyond the “usual suspects” of the At-Large community and strengthen ties with governments, academia and NGOs.</w:t>
            </w: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3E09CED2" w:rsidR="00F576B8" w:rsidRDefault="00EF75A2" w:rsidP="00F50A85">
            <w:pPr>
              <w:rPr>
                <w:b/>
              </w:rPr>
            </w:pPr>
            <w:r>
              <w:rPr>
                <w:b/>
              </w:rPr>
              <w:t>At-Large Participants. All geographies, all demographics.</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546B10C9" w14:textId="77777777" w:rsidR="00B57027" w:rsidRDefault="008B2D65" w:rsidP="00056B52">
            <w:pPr>
              <w:pStyle w:val="FormHeading1"/>
              <w:rPr>
                <w:b w:val="0"/>
                <w:bCs/>
                <w:smallCaps w:val="0"/>
                <w:noProof w:val="0"/>
                <w:sz w:val="18"/>
              </w:rPr>
            </w:pPr>
            <w:r>
              <w:rPr>
                <w:b w:val="0"/>
                <w:bCs/>
                <w:smallCaps w:val="0"/>
                <w:noProof w:val="0"/>
                <w:sz w:val="18"/>
              </w:rPr>
              <w:t>Resource Library</w:t>
            </w:r>
            <w:r>
              <w:rPr>
                <w:b w:val="0"/>
                <w:bCs/>
                <w:smallCaps w:val="0"/>
                <w:noProof w:val="0"/>
                <w:sz w:val="18"/>
              </w:rPr>
              <w:br/>
              <w:t>Educational Materials (Deliverable Webinar)</w:t>
            </w:r>
          </w:p>
          <w:p w14:paraId="76754C46" w14:textId="77777777" w:rsidR="008B2D65" w:rsidRDefault="008B2D65" w:rsidP="00056B52">
            <w:pPr>
              <w:pStyle w:val="FormHeading1"/>
              <w:rPr>
                <w:b w:val="0"/>
                <w:bCs/>
                <w:smallCaps w:val="0"/>
                <w:noProof w:val="0"/>
                <w:sz w:val="18"/>
              </w:rPr>
            </w:pPr>
            <w:r>
              <w:rPr>
                <w:b w:val="0"/>
                <w:bCs/>
                <w:smallCaps w:val="0"/>
                <w:noProof w:val="0"/>
                <w:sz w:val="18"/>
              </w:rPr>
              <w:t>Delivered Webinars in each Region</w:t>
            </w:r>
          </w:p>
          <w:p w14:paraId="2419FA9E" w14:textId="35312137" w:rsidR="008B2D65" w:rsidRPr="00056B52" w:rsidRDefault="008B2D65" w:rsidP="00056B52">
            <w:pPr>
              <w:pStyle w:val="FormHeading1"/>
              <w:rPr>
                <w:b w:val="0"/>
                <w:bCs/>
                <w:smallCaps w:val="0"/>
                <w:noProof w:val="0"/>
                <w:sz w:val="18"/>
              </w:rPr>
            </w:pPr>
            <w:r>
              <w:rPr>
                <w:b w:val="0"/>
                <w:bCs/>
                <w:smallCaps w:val="0"/>
                <w:noProof w:val="0"/>
                <w:sz w:val="18"/>
              </w:rPr>
              <w:t xml:space="preserve">ICANN Learn Course on “Protecting Yourself from Online Attacks and Malware.” </w:t>
            </w: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7F67D558" w:rsidR="009A058F" w:rsidRDefault="00056B52" w:rsidP="00B91DDC">
            <w:pPr>
              <w:rPr>
                <w:rFonts w:ascii="Arial" w:hAnsi="Arial"/>
                <w:lang w:eastAsia="zh-TW"/>
              </w:rPr>
            </w:pPr>
            <w:r>
              <w:rPr>
                <w:rFonts w:ascii="Arial" w:hAnsi="Arial"/>
                <w:lang w:eastAsia="zh-TW"/>
              </w:rPr>
              <w:t>Completed resource library in FY22</w:t>
            </w:r>
          </w:p>
          <w:p w14:paraId="47B137C4" w14:textId="77777777" w:rsidR="00F576B8" w:rsidRDefault="00F576B8" w:rsidP="00B91DDC">
            <w:pPr>
              <w:rPr>
                <w:b/>
              </w:rPr>
            </w:pPr>
          </w:p>
        </w:tc>
      </w:tr>
    </w:tbl>
    <w:p w14:paraId="67F06C47"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0E89459C"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03CF3A16" w:rsidR="003223B8" w:rsidRPr="00F576B8" w:rsidRDefault="001A5015" w:rsidP="003223B8">
                  <w:pPr>
                    <w:pStyle w:val="TableText"/>
                    <w:rPr>
                      <w:noProof w:val="0"/>
                    </w:rPr>
                  </w:pPr>
                  <w:r>
                    <w:rPr>
                      <w:noProof w:val="0"/>
                    </w:rPr>
                    <w:t>Call facilitation</w:t>
                  </w:r>
                </w:p>
              </w:tc>
              <w:tc>
                <w:tcPr>
                  <w:tcW w:w="2010" w:type="dxa"/>
                  <w:tcBorders>
                    <w:top w:val="single" w:sz="12" w:space="0" w:color="auto"/>
                    <w:left w:val="single" w:sz="12" w:space="0" w:color="auto"/>
                  </w:tcBorders>
                </w:tcPr>
                <w:p w14:paraId="3F687C65" w14:textId="1D0CF086" w:rsidR="003223B8" w:rsidRPr="00F576B8" w:rsidRDefault="002508A7" w:rsidP="001B79F2">
                  <w:pPr>
                    <w:pStyle w:val="TableText"/>
                    <w:rPr>
                      <w:noProof w:val="0"/>
                    </w:rPr>
                  </w:pPr>
                  <w:r>
                    <w:rPr>
                      <w:noProof w:val="0"/>
                    </w:rPr>
                    <w:t>Q1 FY22</w:t>
                  </w: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103E773" w:rsidR="003223B8" w:rsidRDefault="001A5015" w:rsidP="001B79F2">
                  <w:pPr>
                    <w:pStyle w:val="TableText"/>
                    <w:rPr>
                      <w:noProof w:val="0"/>
                    </w:rPr>
                  </w:pPr>
                  <w:r>
                    <w:rPr>
                      <w:noProof w:val="0"/>
                    </w:rPr>
                    <w:t>Language services</w:t>
                  </w:r>
                </w:p>
              </w:tc>
              <w:tc>
                <w:tcPr>
                  <w:tcW w:w="2010" w:type="dxa"/>
                  <w:tcBorders>
                    <w:left w:val="single" w:sz="12" w:space="0" w:color="auto"/>
                  </w:tcBorders>
                </w:tcPr>
                <w:p w14:paraId="65B24F32" w14:textId="013A65D4" w:rsidR="003223B8" w:rsidRDefault="002508A7" w:rsidP="001B79F2">
                  <w:pPr>
                    <w:pStyle w:val="TableText"/>
                    <w:rPr>
                      <w:noProof w:val="0"/>
                    </w:rPr>
                  </w:pPr>
                  <w:r>
                    <w:rPr>
                      <w:noProof w:val="0"/>
                    </w:rPr>
                    <w:t>Q1 FY22</w:t>
                  </w: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2D40D534" w:rsidR="00812455" w:rsidRDefault="002508A7" w:rsidP="00946200">
            <w:pPr>
              <w:pStyle w:val="TableText"/>
              <w:rPr>
                <w:noProof w:val="0"/>
              </w:rPr>
            </w:pPr>
            <w:r>
              <w:rPr>
                <w:noProof w:val="0"/>
              </w:rPr>
              <w:lastRenderedPageBreak/>
              <w:t>N/A</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38528EF1" w14:textId="7A79591D" w:rsidR="008B2D65" w:rsidRDefault="008B2D65" w:rsidP="00946200">
            <w:pPr>
              <w:pStyle w:val="TableText"/>
              <w:rPr>
                <w:noProof w:val="0"/>
              </w:rPr>
            </w:pPr>
            <w:r>
              <w:rPr>
                <w:noProof w:val="0"/>
              </w:rPr>
              <w:t>Zoom Conferences</w:t>
            </w:r>
          </w:p>
          <w:p w14:paraId="123066B8" w14:textId="515D9646" w:rsidR="008B2D65" w:rsidRDefault="008B2D65" w:rsidP="00946200">
            <w:pPr>
              <w:pStyle w:val="TableText"/>
              <w:rPr>
                <w:noProof w:val="0"/>
              </w:rPr>
            </w:pPr>
            <w:r>
              <w:rPr>
                <w:noProof w:val="0"/>
              </w:rPr>
              <w:t>Web Design</w:t>
            </w:r>
          </w:p>
          <w:p w14:paraId="0E5ACF0E" w14:textId="1D8C357F" w:rsidR="008B2D65" w:rsidRDefault="008B2D65" w:rsidP="00946200">
            <w:pPr>
              <w:pStyle w:val="TableText"/>
              <w:rPr>
                <w:noProof w:val="0"/>
              </w:rPr>
            </w:pPr>
            <w:r>
              <w:rPr>
                <w:noProof w:val="0"/>
              </w:rPr>
              <w:t>Resource Management</w:t>
            </w:r>
          </w:p>
          <w:p w14:paraId="26ED053B" w14:textId="46083945" w:rsidR="008B2D65" w:rsidRDefault="008B2D65" w:rsidP="00946200">
            <w:pPr>
              <w:pStyle w:val="TableText"/>
              <w:rPr>
                <w:noProof w:val="0"/>
              </w:rPr>
            </w:pPr>
            <w:r>
              <w:rPr>
                <w:noProof w:val="0"/>
              </w:rPr>
              <w:t>ICANN Learn Support.</w:t>
            </w:r>
          </w:p>
          <w:p w14:paraId="42AFA7FC" w14:textId="4489EDEC" w:rsidR="008F4418" w:rsidRDefault="008F4418" w:rsidP="00946200">
            <w:pPr>
              <w:pStyle w:val="TableText"/>
              <w:rPr>
                <w:noProof w:val="0"/>
              </w:rPr>
            </w:pP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5183BC98" w:rsidR="008F4418" w:rsidRDefault="008B2D65" w:rsidP="001B203B">
            <w:pPr>
              <w:pStyle w:val="TableText"/>
              <w:rPr>
                <w:noProof w:val="0"/>
              </w:rPr>
            </w:pPr>
            <w:r>
              <w:rPr>
                <w:noProof w:val="0"/>
              </w:rPr>
              <w:t>Extensive language services are essential during collection, evaluation and republication phases.</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64880EB8" w:rsidR="001B203B" w:rsidRDefault="002508A7" w:rsidP="00A8570C">
            <w:pPr>
              <w:pStyle w:val="TableText"/>
              <w:rPr>
                <w:noProof w:val="0"/>
              </w:rPr>
            </w:pPr>
            <w:r>
              <w:rPr>
                <w:noProof w:val="0"/>
              </w:rPr>
              <w:t>N/A</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77777777" w:rsidR="009A058F" w:rsidRDefault="009A058F" w:rsidP="00A8570C">
            <w:pPr>
              <w:pStyle w:val="TableText"/>
              <w:rPr>
                <w:noProof w:val="0"/>
                <w:lang w:eastAsia="zh-TW"/>
              </w:rPr>
            </w:pPr>
          </w:p>
          <w:p w14:paraId="399EBA50" w14:textId="4931AA4B" w:rsidR="00F576B8" w:rsidRDefault="002508A7" w:rsidP="00A8570C">
            <w:pPr>
              <w:pStyle w:val="TableText"/>
              <w:rPr>
                <w:noProof w:val="0"/>
                <w:lang w:eastAsia="zh-TW"/>
              </w:rPr>
            </w:pPr>
            <w:r>
              <w:rPr>
                <w:noProof w:val="0"/>
                <w:lang w:eastAsia="zh-TW"/>
              </w:rPr>
              <w:t>N/A</w:t>
            </w: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16F0E" w14:textId="77777777" w:rsidR="006D246E" w:rsidRDefault="006D246E">
      <w:r>
        <w:separator/>
      </w:r>
    </w:p>
  </w:endnote>
  <w:endnote w:type="continuationSeparator" w:id="0">
    <w:p w14:paraId="08259469" w14:textId="77777777" w:rsidR="006D246E" w:rsidRDefault="006D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69AC5" w14:textId="77777777" w:rsidR="006D246E" w:rsidRDefault="006D246E">
      <w:r>
        <w:separator/>
      </w:r>
    </w:p>
  </w:footnote>
  <w:footnote w:type="continuationSeparator" w:id="0">
    <w:p w14:paraId="60D46DEA" w14:textId="77777777" w:rsidR="006D246E" w:rsidRDefault="006D2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5DA296B" w:rsidR="009933BD" w:rsidRDefault="003F430D" w:rsidP="007C1649">
          <w:pPr>
            <w:pStyle w:val="Header"/>
            <w:jc w:val="right"/>
            <w:rPr>
              <w:rFonts w:ascii="Arial" w:hAnsi="Arial"/>
              <w:b/>
              <w:color w:val="FFFFFF"/>
              <w:sz w:val="28"/>
            </w:rPr>
          </w:pPr>
          <w:r>
            <w:rPr>
              <w:rFonts w:ascii="Arial" w:hAnsi="Arial"/>
              <w:b/>
              <w:color w:val="FFFFFF"/>
              <w:sz w:val="32"/>
            </w:rPr>
            <w:t>FY2</w:t>
          </w:r>
          <w:r w:rsidR="00E74BF8">
            <w:rPr>
              <w:rFonts w:ascii="Arial" w:hAnsi="Arial"/>
              <w:b/>
              <w:color w:val="FFFFFF"/>
              <w:sz w:val="32"/>
            </w:rPr>
            <w:t>2</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70B3582"/>
    <w:multiLevelType w:val="hybridMultilevel"/>
    <w:tmpl w:val="D17C3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23"/>
  </w:num>
  <w:num w:numId="4">
    <w:abstractNumId w:val="2"/>
  </w:num>
  <w:num w:numId="5">
    <w:abstractNumId w:val="3"/>
  </w:num>
  <w:num w:numId="6">
    <w:abstractNumId w:val="19"/>
  </w:num>
  <w:num w:numId="7">
    <w:abstractNumId w:val="5"/>
  </w:num>
  <w:num w:numId="8">
    <w:abstractNumId w:val="0"/>
  </w:num>
  <w:num w:numId="9">
    <w:abstractNumId w:val="9"/>
  </w:num>
  <w:num w:numId="10">
    <w:abstractNumId w:val="8"/>
  </w:num>
  <w:num w:numId="11">
    <w:abstractNumId w:val="18"/>
  </w:num>
  <w:num w:numId="12">
    <w:abstractNumId w:val="22"/>
  </w:num>
  <w:num w:numId="13">
    <w:abstractNumId w:val="1"/>
  </w:num>
  <w:num w:numId="14">
    <w:abstractNumId w:val="7"/>
  </w:num>
  <w:num w:numId="15">
    <w:abstractNumId w:val="15"/>
  </w:num>
  <w:num w:numId="16">
    <w:abstractNumId w:val="24"/>
  </w:num>
  <w:num w:numId="17">
    <w:abstractNumId w:val="4"/>
  </w:num>
  <w:num w:numId="18">
    <w:abstractNumId w:val="14"/>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2"/>
  </w:num>
  <w:num w:numId="23">
    <w:abstractNumId w:val="13"/>
  </w:num>
  <w:num w:numId="24">
    <w:abstractNumId w:val="21"/>
  </w:num>
  <w:num w:numId="25">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23ED5"/>
    <w:rsid w:val="00044B6C"/>
    <w:rsid w:val="00045A2A"/>
    <w:rsid w:val="00052B22"/>
    <w:rsid w:val="00056B52"/>
    <w:rsid w:val="00057FAB"/>
    <w:rsid w:val="0007794D"/>
    <w:rsid w:val="00087226"/>
    <w:rsid w:val="00101488"/>
    <w:rsid w:val="00111C1A"/>
    <w:rsid w:val="00116D5D"/>
    <w:rsid w:val="001268ED"/>
    <w:rsid w:val="001375CA"/>
    <w:rsid w:val="00153363"/>
    <w:rsid w:val="00156975"/>
    <w:rsid w:val="00186F43"/>
    <w:rsid w:val="00194C42"/>
    <w:rsid w:val="001A5015"/>
    <w:rsid w:val="001B203B"/>
    <w:rsid w:val="001B79F2"/>
    <w:rsid w:val="001C313A"/>
    <w:rsid w:val="001D2E5A"/>
    <w:rsid w:val="002123F8"/>
    <w:rsid w:val="00214283"/>
    <w:rsid w:val="00214BC5"/>
    <w:rsid w:val="00233567"/>
    <w:rsid w:val="002508A7"/>
    <w:rsid w:val="00255477"/>
    <w:rsid w:val="00257880"/>
    <w:rsid w:val="00262707"/>
    <w:rsid w:val="002D05C0"/>
    <w:rsid w:val="002E1484"/>
    <w:rsid w:val="002F444A"/>
    <w:rsid w:val="003223B8"/>
    <w:rsid w:val="00326CCB"/>
    <w:rsid w:val="00327418"/>
    <w:rsid w:val="003A7367"/>
    <w:rsid w:val="003D2FC2"/>
    <w:rsid w:val="003F231E"/>
    <w:rsid w:val="003F32A0"/>
    <w:rsid w:val="003F430D"/>
    <w:rsid w:val="004017C2"/>
    <w:rsid w:val="0041226D"/>
    <w:rsid w:val="00420E54"/>
    <w:rsid w:val="005145C9"/>
    <w:rsid w:val="00514B5C"/>
    <w:rsid w:val="005300CD"/>
    <w:rsid w:val="00542865"/>
    <w:rsid w:val="005428F3"/>
    <w:rsid w:val="005839A1"/>
    <w:rsid w:val="005A15AF"/>
    <w:rsid w:val="005B7619"/>
    <w:rsid w:val="005D76FA"/>
    <w:rsid w:val="006003A1"/>
    <w:rsid w:val="0064760B"/>
    <w:rsid w:val="006663E2"/>
    <w:rsid w:val="006D246E"/>
    <w:rsid w:val="006E40CC"/>
    <w:rsid w:val="006E71B7"/>
    <w:rsid w:val="006F34E0"/>
    <w:rsid w:val="00714ED8"/>
    <w:rsid w:val="00740A90"/>
    <w:rsid w:val="00747390"/>
    <w:rsid w:val="00765F29"/>
    <w:rsid w:val="00794D7A"/>
    <w:rsid w:val="007C1649"/>
    <w:rsid w:val="007C1D31"/>
    <w:rsid w:val="007C438B"/>
    <w:rsid w:val="00807E1D"/>
    <w:rsid w:val="00812455"/>
    <w:rsid w:val="00836C9F"/>
    <w:rsid w:val="008552EA"/>
    <w:rsid w:val="008B2D65"/>
    <w:rsid w:val="008B5196"/>
    <w:rsid w:val="008C27DD"/>
    <w:rsid w:val="008F2EF4"/>
    <w:rsid w:val="008F4418"/>
    <w:rsid w:val="009032EF"/>
    <w:rsid w:val="00946200"/>
    <w:rsid w:val="009676BF"/>
    <w:rsid w:val="009933BD"/>
    <w:rsid w:val="009A058F"/>
    <w:rsid w:val="009A206F"/>
    <w:rsid w:val="009F0137"/>
    <w:rsid w:val="00A32217"/>
    <w:rsid w:val="00A440E5"/>
    <w:rsid w:val="00A45647"/>
    <w:rsid w:val="00A8570C"/>
    <w:rsid w:val="00AA2BDC"/>
    <w:rsid w:val="00AC3153"/>
    <w:rsid w:val="00AE2210"/>
    <w:rsid w:val="00AE4F8F"/>
    <w:rsid w:val="00B029B7"/>
    <w:rsid w:val="00B06A16"/>
    <w:rsid w:val="00B57027"/>
    <w:rsid w:val="00B919CC"/>
    <w:rsid w:val="00B91DDC"/>
    <w:rsid w:val="00B93C76"/>
    <w:rsid w:val="00BC6E42"/>
    <w:rsid w:val="00BE07C4"/>
    <w:rsid w:val="00C25AF0"/>
    <w:rsid w:val="00C56DB3"/>
    <w:rsid w:val="00C91BF4"/>
    <w:rsid w:val="00CA0B85"/>
    <w:rsid w:val="00CB7AEF"/>
    <w:rsid w:val="00CC087D"/>
    <w:rsid w:val="00CC4C7E"/>
    <w:rsid w:val="00CD143C"/>
    <w:rsid w:val="00CD3520"/>
    <w:rsid w:val="00CE25F6"/>
    <w:rsid w:val="00D037DD"/>
    <w:rsid w:val="00D51A69"/>
    <w:rsid w:val="00D54696"/>
    <w:rsid w:val="00D84646"/>
    <w:rsid w:val="00D86C18"/>
    <w:rsid w:val="00DF023D"/>
    <w:rsid w:val="00E24E60"/>
    <w:rsid w:val="00E51700"/>
    <w:rsid w:val="00E74BF8"/>
    <w:rsid w:val="00E92776"/>
    <w:rsid w:val="00E968F3"/>
    <w:rsid w:val="00EB3FA1"/>
    <w:rsid w:val="00EE1F95"/>
    <w:rsid w:val="00EF13F9"/>
    <w:rsid w:val="00EF3511"/>
    <w:rsid w:val="00EF75A2"/>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 w:type="character" w:styleId="UnresolvedMention">
    <w:name w:val="Unresolved Mention"/>
    <w:basedOn w:val="DefaultParagraphFont"/>
    <w:uiPriority w:val="99"/>
    <w:semiHidden/>
    <w:unhideWhenUsed/>
    <w:rsid w:val="005B7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44910617">
      <w:bodyDiv w:val="1"/>
      <w:marLeft w:val="0"/>
      <w:marRight w:val="0"/>
      <w:marTop w:val="0"/>
      <w:marBottom w:val="0"/>
      <w:divBdr>
        <w:top w:val="none" w:sz="0" w:space="0" w:color="auto"/>
        <w:left w:val="none" w:sz="0" w:space="0" w:color="auto"/>
        <w:bottom w:val="none" w:sz="0" w:space="0" w:color="auto"/>
        <w:right w:val="none" w:sz="0" w:space="0" w:color="auto"/>
      </w:divBdr>
    </w:div>
    <w:div w:id="139782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2021-01-25T16:20:00Z</dcterms:created>
  <dcterms:modified xsi:type="dcterms:W3CDTF">2021-01-25T16:20:00Z</dcterms:modified>
</cp:coreProperties>
</file>