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bwmode="white" o:targetscreensize="1024,768">
      <v:fill r:id="rId5" o:title="banner00007" recolor="t" type="frame"/>
    </v:background>
  </w:background>
  <w:body>
    <w:p w:rsidR="002D4A1C" w:rsidRDefault="002D4A1C" w:rsidP="00D32494">
      <w:pPr>
        <w:rPr>
          <w:rFonts w:ascii="Arial" w:hAnsi="Arial" w:cs="Arial"/>
          <w:i/>
          <w:sz w:val="18"/>
          <w:szCs w:val="18"/>
        </w:rPr>
      </w:pPr>
    </w:p>
    <w:p w:rsidR="00791B61" w:rsidRDefault="00791B61" w:rsidP="00D32494">
      <w:pPr>
        <w:rPr>
          <w:rFonts w:ascii="Arial" w:hAnsi="Arial" w:cs="Arial"/>
          <w:i/>
          <w:sz w:val="18"/>
          <w:szCs w:val="18"/>
        </w:rPr>
      </w:pPr>
      <w:r>
        <w:rPr>
          <w:rFonts w:ascii="Arial" w:hAnsi="Arial" w:cs="Arial"/>
          <w:i/>
          <w:sz w:val="18"/>
          <w:szCs w:val="18"/>
        </w:rPr>
        <w:t>July 2011 – This white paper has been drafted by Danny Younger</w:t>
      </w:r>
      <w:r w:rsidR="00C86A32">
        <w:rPr>
          <w:rStyle w:val="FootnoteReference"/>
          <w:rFonts w:ascii="Arial" w:hAnsi="Arial" w:cs="Arial"/>
          <w:i/>
          <w:sz w:val="18"/>
          <w:szCs w:val="18"/>
        </w:rPr>
        <w:footnoteReference w:id="1"/>
      </w:r>
      <w:r w:rsidR="00514F3C">
        <w:rPr>
          <w:rFonts w:ascii="Arial" w:hAnsi="Arial" w:cs="Arial"/>
          <w:i/>
          <w:sz w:val="18"/>
          <w:szCs w:val="18"/>
        </w:rPr>
        <w:t xml:space="preserve"> as a submission</w:t>
      </w:r>
      <w:r w:rsidR="00A072BB">
        <w:rPr>
          <w:rFonts w:ascii="Arial" w:hAnsi="Arial" w:cs="Arial"/>
          <w:i/>
          <w:sz w:val="18"/>
          <w:szCs w:val="18"/>
        </w:rPr>
        <w:t xml:space="preserve"> to the ICANN </w:t>
      </w:r>
      <w:r w:rsidR="00514F3C" w:rsidRPr="00514F3C">
        <w:rPr>
          <w:rFonts w:ascii="Arial" w:hAnsi="Arial" w:cs="Arial"/>
          <w:i/>
          <w:sz w:val="18"/>
          <w:szCs w:val="18"/>
        </w:rPr>
        <w:t>2012-2015 Strategic Plan Development Process</w:t>
      </w:r>
    </w:p>
    <w:p w:rsidR="00DF42D1" w:rsidRPr="00B12277" w:rsidRDefault="00280F3A" w:rsidP="00B12277">
      <w:pPr>
        <w:pStyle w:val="Heading1"/>
        <w:rPr>
          <w:rFonts w:ascii="Century Gothic" w:hAnsi="Century Gothic"/>
        </w:rPr>
      </w:pPr>
      <w:r>
        <w:rPr>
          <w:rFonts w:ascii="Century Gothic" w:hAnsi="Century Gothic"/>
        </w:rPr>
        <w:t>INTRODUCTION</w:t>
      </w:r>
    </w:p>
    <w:p w:rsidR="00B12277" w:rsidRPr="00B12277" w:rsidRDefault="00B12277" w:rsidP="00B12277"/>
    <w:p w:rsidR="00164831" w:rsidRDefault="00BF3BFE" w:rsidP="00F55804">
      <w:pPr>
        <w:ind w:left="720"/>
        <w:rPr>
          <w:rFonts w:ascii="Century Gothic" w:hAnsi="Century Gothic" w:cs="Arial"/>
          <w:sz w:val="24"/>
          <w:szCs w:val="24"/>
        </w:rPr>
      </w:pPr>
      <w:r w:rsidRPr="00E02902">
        <w:rPr>
          <w:rFonts w:ascii="Century Gothic" w:hAnsi="Century Gothic" w:cs="Arial"/>
          <w:sz w:val="24"/>
          <w:szCs w:val="24"/>
        </w:rPr>
        <w:t>In the next three to five years</w:t>
      </w:r>
      <w:r w:rsidR="00E02902" w:rsidRPr="00E02902">
        <w:rPr>
          <w:rFonts w:ascii="Century Gothic" w:hAnsi="Century Gothic" w:cs="Arial"/>
          <w:sz w:val="24"/>
          <w:szCs w:val="24"/>
        </w:rPr>
        <w:t>,</w:t>
      </w:r>
      <w:r w:rsidRPr="00E02902">
        <w:rPr>
          <w:rFonts w:ascii="Century Gothic" w:hAnsi="Century Gothic" w:cs="Arial"/>
          <w:sz w:val="24"/>
          <w:szCs w:val="24"/>
        </w:rPr>
        <w:t xml:space="preserve"> the ICANN organization will be faced with </w:t>
      </w:r>
      <w:r w:rsidR="00DF42D1" w:rsidRPr="00E02902">
        <w:rPr>
          <w:rFonts w:ascii="Century Gothic" w:hAnsi="Century Gothic" w:cs="Arial"/>
          <w:sz w:val="24"/>
          <w:szCs w:val="24"/>
        </w:rPr>
        <w:t xml:space="preserve">a host of new </w:t>
      </w:r>
      <w:r w:rsidR="00E02902">
        <w:rPr>
          <w:rFonts w:ascii="Century Gothic" w:hAnsi="Century Gothic" w:cs="Arial"/>
          <w:sz w:val="24"/>
          <w:szCs w:val="24"/>
        </w:rPr>
        <w:t>issue</w:t>
      </w:r>
      <w:r w:rsidRPr="00E02902">
        <w:rPr>
          <w:rFonts w:ascii="Century Gothic" w:hAnsi="Century Gothic" w:cs="Arial"/>
          <w:sz w:val="24"/>
          <w:szCs w:val="24"/>
        </w:rPr>
        <w:t xml:space="preserve">s in the wake of </w:t>
      </w:r>
      <w:r w:rsidR="00DF42D1" w:rsidRPr="00E02902">
        <w:rPr>
          <w:rFonts w:ascii="Century Gothic" w:hAnsi="Century Gothic" w:cs="Arial"/>
          <w:sz w:val="24"/>
          <w:szCs w:val="24"/>
        </w:rPr>
        <w:t>its</w:t>
      </w:r>
      <w:r w:rsidRPr="00E02902">
        <w:rPr>
          <w:rFonts w:ascii="Century Gothic" w:hAnsi="Century Gothic" w:cs="Arial"/>
          <w:sz w:val="24"/>
          <w:szCs w:val="24"/>
        </w:rPr>
        <w:t xml:space="preserve"> unprecedented roll-out of </w:t>
      </w:r>
      <w:r w:rsidR="00DF42D1" w:rsidRPr="00E02902">
        <w:rPr>
          <w:rFonts w:ascii="Century Gothic" w:hAnsi="Century Gothic" w:cs="Arial"/>
          <w:sz w:val="24"/>
          <w:szCs w:val="24"/>
        </w:rPr>
        <w:t xml:space="preserve">hundreds of generic </w:t>
      </w:r>
      <w:r w:rsidRPr="00E02902">
        <w:rPr>
          <w:rFonts w:ascii="Century Gothic" w:hAnsi="Century Gothic" w:cs="Arial"/>
          <w:sz w:val="24"/>
          <w:szCs w:val="24"/>
        </w:rPr>
        <w:t xml:space="preserve">top-level </w:t>
      </w:r>
      <w:r w:rsidR="00DF42D1" w:rsidRPr="00E02902">
        <w:rPr>
          <w:rFonts w:ascii="Century Gothic" w:hAnsi="Century Gothic" w:cs="Arial"/>
          <w:sz w:val="24"/>
          <w:szCs w:val="24"/>
        </w:rPr>
        <w:t xml:space="preserve">domain names.  </w:t>
      </w:r>
      <w:r w:rsidR="00E02902">
        <w:rPr>
          <w:rFonts w:ascii="Century Gothic" w:hAnsi="Century Gothic" w:cs="Arial"/>
          <w:sz w:val="24"/>
          <w:szCs w:val="24"/>
        </w:rPr>
        <w:t>While a more limited launch would have served to allay many community fears</w:t>
      </w:r>
      <w:r w:rsidR="00164831">
        <w:rPr>
          <w:rStyle w:val="FootnoteReference"/>
          <w:rFonts w:ascii="Century Gothic" w:hAnsi="Century Gothic" w:cs="Arial"/>
          <w:sz w:val="24"/>
          <w:szCs w:val="24"/>
        </w:rPr>
        <w:footnoteReference w:id="2"/>
      </w:r>
      <w:r w:rsidR="00E02902">
        <w:rPr>
          <w:rFonts w:ascii="Century Gothic" w:hAnsi="Century Gothic" w:cs="Arial"/>
          <w:sz w:val="24"/>
          <w:szCs w:val="24"/>
        </w:rPr>
        <w:t xml:space="preserve">, </w:t>
      </w:r>
      <w:r w:rsidR="00F55804">
        <w:rPr>
          <w:rFonts w:ascii="Century Gothic" w:hAnsi="Century Gothic" w:cs="Arial"/>
          <w:sz w:val="24"/>
          <w:szCs w:val="24"/>
        </w:rPr>
        <w:t>a</w:t>
      </w:r>
      <w:r w:rsidR="00E02902">
        <w:rPr>
          <w:rFonts w:ascii="Century Gothic" w:hAnsi="Century Gothic" w:cs="Arial"/>
          <w:sz w:val="24"/>
          <w:szCs w:val="24"/>
        </w:rPr>
        <w:t xml:space="preserve"> decision was reached to </w:t>
      </w:r>
      <w:r w:rsidR="00A1544E">
        <w:rPr>
          <w:rFonts w:ascii="Century Gothic" w:hAnsi="Century Gothic" w:cs="Arial"/>
          <w:sz w:val="24"/>
          <w:szCs w:val="24"/>
        </w:rPr>
        <w:t>proceed with a full launch</w:t>
      </w:r>
      <w:r w:rsidR="00E02902">
        <w:rPr>
          <w:rFonts w:ascii="Century Gothic" w:hAnsi="Century Gothic" w:cs="Arial"/>
          <w:sz w:val="24"/>
          <w:szCs w:val="24"/>
        </w:rPr>
        <w:t xml:space="preserve"> in the belief that ICANN could scale up</w:t>
      </w:r>
      <w:r w:rsidR="00F55804">
        <w:rPr>
          <w:rFonts w:ascii="Century Gothic" w:hAnsi="Century Gothic" w:cs="Arial"/>
          <w:sz w:val="24"/>
          <w:szCs w:val="24"/>
        </w:rPr>
        <w:t xml:space="preserve"> to meet the challenge.  Assuring that we can continue to protect our Internet’s delicate eco-system and the public interest therein</w:t>
      </w:r>
      <w:r w:rsidR="002D4A1C">
        <w:rPr>
          <w:rFonts w:ascii="Century Gothic" w:hAnsi="Century Gothic" w:cs="Arial"/>
          <w:sz w:val="24"/>
          <w:szCs w:val="24"/>
        </w:rPr>
        <w:t xml:space="preserve"> remains</w:t>
      </w:r>
      <w:r w:rsidR="00F55804">
        <w:rPr>
          <w:rFonts w:ascii="Century Gothic" w:hAnsi="Century Gothic" w:cs="Arial"/>
          <w:sz w:val="24"/>
          <w:szCs w:val="24"/>
        </w:rPr>
        <w:t xml:space="preserve"> our foremost obligation</w:t>
      </w:r>
      <w:r w:rsidR="002D4A1C">
        <w:rPr>
          <w:rFonts w:ascii="Century Gothic" w:hAnsi="Century Gothic" w:cs="Arial"/>
          <w:sz w:val="24"/>
          <w:szCs w:val="24"/>
        </w:rPr>
        <w:t>;</w:t>
      </w:r>
      <w:r w:rsidR="009E6DDE">
        <w:rPr>
          <w:rFonts w:ascii="Century Gothic" w:hAnsi="Century Gothic" w:cs="Arial"/>
          <w:sz w:val="24"/>
          <w:szCs w:val="24"/>
        </w:rPr>
        <w:t xml:space="preserve"> </w:t>
      </w:r>
      <w:r w:rsidR="002D4A1C">
        <w:rPr>
          <w:rFonts w:ascii="Century Gothic" w:hAnsi="Century Gothic" w:cs="Arial"/>
          <w:sz w:val="24"/>
          <w:szCs w:val="24"/>
        </w:rPr>
        <w:t xml:space="preserve">in pursuit of that goal, this strategic initiative (which </w:t>
      </w:r>
      <w:r w:rsidR="00D518A8">
        <w:rPr>
          <w:rFonts w:ascii="Century Gothic" w:hAnsi="Century Gothic" w:cs="Arial"/>
          <w:sz w:val="24"/>
          <w:szCs w:val="24"/>
        </w:rPr>
        <w:t>calls for</w:t>
      </w:r>
      <w:r w:rsidR="002D4A1C">
        <w:rPr>
          <w:rFonts w:ascii="Century Gothic" w:hAnsi="Century Gothic" w:cs="Arial"/>
          <w:sz w:val="24"/>
          <w:szCs w:val="24"/>
        </w:rPr>
        <w:t xml:space="preserve"> a structural realignment of a portion of ICANN’s constituent bodies) is presented for consideration.</w:t>
      </w:r>
    </w:p>
    <w:p w:rsidR="00B12277" w:rsidRDefault="00280F3A" w:rsidP="00B12277">
      <w:pPr>
        <w:pStyle w:val="Heading1"/>
        <w:rPr>
          <w:rFonts w:ascii="Century Gothic" w:hAnsi="Century Gothic"/>
        </w:rPr>
      </w:pPr>
      <w:r>
        <w:rPr>
          <w:rFonts w:ascii="Century Gothic" w:hAnsi="Century Gothic"/>
        </w:rPr>
        <w:t>THE THREAT MATRIX</w:t>
      </w:r>
    </w:p>
    <w:p w:rsidR="00592CCE" w:rsidRDefault="00592CCE" w:rsidP="00592CCE"/>
    <w:p w:rsidR="00592CCE" w:rsidRPr="00592CCE" w:rsidRDefault="009E6DDE" w:rsidP="00592CCE">
      <w:pPr>
        <w:ind w:left="720"/>
        <w:rPr>
          <w:rFonts w:ascii="Century Gothic" w:hAnsi="Century Gothic"/>
          <w:sz w:val="24"/>
          <w:szCs w:val="24"/>
        </w:rPr>
      </w:pPr>
      <w:r>
        <w:rPr>
          <w:rFonts w:ascii="Century Gothic" w:hAnsi="Century Gothic"/>
          <w:sz w:val="24"/>
          <w:szCs w:val="24"/>
        </w:rPr>
        <w:t>As this is not ICANN’s first launch of new gTLDs</w:t>
      </w:r>
      <w:r w:rsidR="007F5D81">
        <w:rPr>
          <w:rFonts w:ascii="Century Gothic" w:hAnsi="Century Gothic"/>
          <w:sz w:val="24"/>
          <w:szCs w:val="24"/>
        </w:rPr>
        <w:t>,</w:t>
      </w:r>
      <w:r>
        <w:rPr>
          <w:rFonts w:ascii="Century Gothic" w:hAnsi="Century Gothic"/>
          <w:sz w:val="24"/>
          <w:szCs w:val="24"/>
        </w:rPr>
        <w:t xml:space="preserve"> one would think that we might be able to take some comfort in the benefit of past experience</w:t>
      </w:r>
      <w:r w:rsidR="00D518A8">
        <w:rPr>
          <w:rFonts w:ascii="Century Gothic" w:hAnsi="Century Gothic"/>
          <w:sz w:val="24"/>
          <w:szCs w:val="24"/>
        </w:rPr>
        <w:t xml:space="preserve"> so that proper plans might be laid</w:t>
      </w:r>
      <w:r w:rsidR="00C64E36">
        <w:rPr>
          <w:rFonts w:ascii="Century Gothic" w:hAnsi="Century Gothic"/>
          <w:sz w:val="24"/>
          <w:szCs w:val="24"/>
        </w:rPr>
        <w:t xml:space="preserve"> to better protect the DNS</w:t>
      </w:r>
      <w:r w:rsidR="00D518A8">
        <w:rPr>
          <w:rFonts w:ascii="Century Gothic" w:hAnsi="Century Gothic"/>
          <w:sz w:val="24"/>
          <w:szCs w:val="24"/>
        </w:rPr>
        <w:t xml:space="preserve">… </w:t>
      </w:r>
      <w:r>
        <w:rPr>
          <w:rFonts w:ascii="Century Gothic" w:hAnsi="Century Gothic"/>
          <w:sz w:val="24"/>
          <w:szCs w:val="24"/>
        </w:rPr>
        <w:t>unfortunately, both staff and volunteer participant turnover has resulted in a critical loss of institutional memory</w:t>
      </w:r>
      <w:r w:rsidR="007F5D81">
        <w:rPr>
          <w:rFonts w:ascii="Century Gothic" w:hAnsi="Century Gothic"/>
          <w:sz w:val="24"/>
          <w:szCs w:val="24"/>
        </w:rPr>
        <w:t xml:space="preserve"> (average staff tenure is now pegged at 3.57 years</w:t>
      </w:r>
      <w:r w:rsidR="007F5D81">
        <w:rPr>
          <w:rStyle w:val="FootnoteReference"/>
          <w:rFonts w:ascii="Century Gothic" w:hAnsi="Century Gothic"/>
          <w:sz w:val="24"/>
          <w:szCs w:val="24"/>
        </w:rPr>
        <w:footnoteReference w:id="3"/>
      </w:r>
      <w:r w:rsidR="007F5D81">
        <w:rPr>
          <w:rFonts w:ascii="Century Gothic" w:hAnsi="Century Gothic"/>
          <w:sz w:val="24"/>
          <w:szCs w:val="24"/>
        </w:rPr>
        <w:t xml:space="preserve"> while the last major Proof of Concept TLD series was launched a full eight years ago).  </w:t>
      </w:r>
      <w:r w:rsidR="007B38ED">
        <w:rPr>
          <w:rFonts w:ascii="Century Gothic" w:hAnsi="Century Gothic"/>
          <w:sz w:val="24"/>
          <w:szCs w:val="24"/>
        </w:rPr>
        <w:t>As a safeguard</w:t>
      </w:r>
      <w:r w:rsidR="007F5D81">
        <w:rPr>
          <w:rFonts w:ascii="Century Gothic" w:hAnsi="Century Gothic"/>
          <w:sz w:val="24"/>
          <w:szCs w:val="24"/>
        </w:rPr>
        <w:t xml:space="preserve">, this non-exhaustive list of prior </w:t>
      </w:r>
      <w:r w:rsidR="00ED04BF">
        <w:rPr>
          <w:rFonts w:ascii="Century Gothic" w:hAnsi="Century Gothic"/>
          <w:sz w:val="24"/>
          <w:szCs w:val="24"/>
        </w:rPr>
        <w:t xml:space="preserve">and anticipated </w:t>
      </w:r>
      <w:r w:rsidR="007F5D81">
        <w:rPr>
          <w:rFonts w:ascii="Century Gothic" w:hAnsi="Century Gothic"/>
          <w:sz w:val="24"/>
          <w:szCs w:val="24"/>
        </w:rPr>
        <w:t xml:space="preserve">issues presented below will </w:t>
      </w:r>
      <w:r w:rsidR="007B38ED">
        <w:rPr>
          <w:rFonts w:ascii="Century Gothic" w:hAnsi="Century Gothic"/>
          <w:sz w:val="24"/>
          <w:szCs w:val="24"/>
        </w:rPr>
        <w:t xml:space="preserve">hopefully </w:t>
      </w:r>
      <w:r w:rsidR="007F5D81">
        <w:rPr>
          <w:rFonts w:ascii="Century Gothic" w:hAnsi="Century Gothic"/>
          <w:sz w:val="24"/>
          <w:szCs w:val="24"/>
        </w:rPr>
        <w:t xml:space="preserve">serve to frame the type and nature of threats that </w:t>
      </w:r>
      <w:r w:rsidR="00ED04BF">
        <w:rPr>
          <w:rFonts w:ascii="Century Gothic" w:hAnsi="Century Gothic"/>
          <w:sz w:val="24"/>
          <w:szCs w:val="24"/>
        </w:rPr>
        <w:t>can be expected to arise in the course of the upcoming new gTLD roll-out.</w:t>
      </w:r>
    </w:p>
    <w:p w:rsidR="00211696" w:rsidRDefault="00211696" w:rsidP="00211696"/>
    <w:p w:rsidR="00D32494" w:rsidRDefault="00791B61" w:rsidP="00791B61">
      <w:pPr>
        <w:pStyle w:val="Heading2"/>
        <w:numPr>
          <w:ilvl w:val="0"/>
          <w:numId w:val="2"/>
        </w:numPr>
        <w:rPr>
          <w:rFonts w:ascii="Century Gothic" w:hAnsi="Century Gothic"/>
          <w:color w:val="17365D" w:themeColor="text2" w:themeShade="BF"/>
          <w:sz w:val="24"/>
          <w:szCs w:val="24"/>
        </w:rPr>
      </w:pPr>
      <w:r w:rsidRPr="00791B61">
        <w:rPr>
          <w:rFonts w:ascii="Century Gothic" w:hAnsi="Century Gothic"/>
          <w:color w:val="17365D" w:themeColor="text2" w:themeShade="BF"/>
          <w:sz w:val="24"/>
          <w:szCs w:val="24"/>
        </w:rPr>
        <w:t>PRE-REGISTRATION</w:t>
      </w:r>
      <w:r w:rsidR="00455BA0">
        <w:rPr>
          <w:rFonts w:ascii="Century Gothic" w:hAnsi="Century Gothic"/>
          <w:color w:val="17365D" w:themeColor="text2" w:themeShade="BF"/>
          <w:sz w:val="24"/>
          <w:szCs w:val="24"/>
        </w:rPr>
        <w:t xml:space="preserve"> </w:t>
      </w:r>
      <w:r w:rsidR="00876EF7">
        <w:rPr>
          <w:rFonts w:ascii="Century Gothic" w:hAnsi="Century Gothic"/>
          <w:color w:val="17365D" w:themeColor="text2" w:themeShade="BF"/>
          <w:sz w:val="24"/>
          <w:szCs w:val="24"/>
        </w:rPr>
        <w:t>ACTIVITIES</w:t>
      </w:r>
    </w:p>
    <w:p w:rsidR="00281965" w:rsidRDefault="00281965" w:rsidP="00281965"/>
    <w:p w:rsidR="00281965" w:rsidRPr="00281965" w:rsidRDefault="00281965" w:rsidP="00281965">
      <w:pPr>
        <w:ind w:left="1440"/>
        <w:rPr>
          <w:rFonts w:ascii="Century Gothic" w:hAnsi="Century Gothic"/>
          <w:sz w:val="24"/>
          <w:szCs w:val="24"/>
        </w:rPr>
      </w:pPr>
      <w:r>
        <w:rPr>
          <w:rFonts w:ascii="Century Gothic" w:hAnsi="Century Gothic"/>
          <w:sz w:val="24"/>
          <w:szCs w:val="24"/>
        </w:rPr>
        <w:t>In prior years pre-registration scams proliferated in conjunction with the launch of new TLDs.  In December 2000</w:t>
      </w:r>
      <w:r w:rsidR="008418EF">
        <w:rPr>
          <w:rFonts w:ascii="Century Gothic" w:hAnsi="Century Gothic"/>
          <w:sz w:val="24"/>
          <w:szCs w:val="24"/>
        </w:rPr>
        <w:t>,</w:t>
      </w:r>
      <w:r>
        <w:rPr>
          <w:rFonts w:ascii="Century Gothic" w:hAnsi="Century Gothic"/>
          <w:sz w:val="24"/>
          <w:szCs w:val="24"/>
        </w:rPr>
        <w:t xml:space="preserve"> the U.S. FTC posted a Consumer Alert</w:t>
      </w:r>
      <w:r>
        <w:rPr>
          <w:rStyle w:val="FootnoteReference"/>
          <w:rFonts w:ascii="Century Gothic" w:hAnsi="Century Gothic"/>
          <w:sz w:val="24"/>
          <w:szCs w:val="24"/>
        </w:rPr>
        <w:footnoteReference w:id="4"/>
      </w:r>
      <w:r w:rsidR="008418EF">
        <w:rPr>
          <w:rFonts w:ascii="Century Gothic" w:hAnsi="Century Gothic"/>
          <w:sz w:val="24"/>
          <w:szCs w:val="24"/>
        </w:rPr>
        <w:t xml:space="preserve">  and prior to the launch of .EU</w:t>
      </w:r>
      <w:r w:rsidR="008418EF" w:rsidRPr="008418EF">
        <w:rPr>
          <w:rFonts w:ascii="Century Gothic" w:hAnsi="Century Gothic"/>
          <w:sz w:val="24"/>
          <w:szCs w:val="24"/>
        </w:rPr>
        <w:t xml:space="preserve"> the web-pages of the European Commission </w:t>
      </w:r>
      <w:r w:rsidR="008418EF">
        <w:rPr>
          <w:rFonts w:ascii="Century Gothic" w:hAnsi="Century Gothic"/>
          <w:sz w:val="24"/>
          <w:szCs w:val="24"/>
        </w:rPr>
        <w:t>offered</w:t>
      </w:r>
      <w:r w:rsidR="008418EF" w:rsidRPr="008418EF">
        <w:rPr>
          <w:rFonts w:ascii="Century Gothic" w:hAnsi="Century Gothic"/>
          <w:sz w:val="24"/>
          <w:szCs w:val="24"/>
        </w:rPr>
        <w:t xml:space="preserve"> </w:t>
      </w:r>
      <w:r w:rsidR="00876EF7">
        <w:rPr>
          <w:rFonts w:ascii="Century Gothic" w:hAnsi="Century Gothic"/>
          <w:sz w:val="24"/>
          <w:szCs w:val="24"/>
        </w:rPr>
        <w:t xml:space="preserve">similar </w:t>
      </w:r>
      <w:r w:rsidR="008418EF" w:rsidRPr="008418EF">
        <w:rPr>
          <w:rFonts w:ascii="Century Gothic" w:hAnsi="Century Gothic"/>
          <w:sz w:val="24"/>
          <w:szCs w:val="24"/>
        </w:rPr>
        <w:t xml:space="preserve">pre-registration </w:t>
      </w:r>
      <w:r w:rsidR="008418EF">
        <w:rPr>
          <w:rFonts w:ascii="Century Gothic" w:hAnsi="Century Gothic"/>
          <w:sz w:val="24"/>
          <w:szCs w:val="24"/>
        </w:rPr>
        <w:t>warnings</w:t>
      </w:r>
      <w:r w:rsidR="008418EF" w:rsidRPr="008418EF">
        <w:rPr>
          <w:rFonts w:ascii="Century Gothic" w:hAnsi="Century Gothic"/>
          <w:sz w:val="24"/>
          <w:szCs w:val="24"/>
        </w:rPr>
        <w:t>.</w:t>
      </w:r>
      <w:r w:rsidR="008418EF">
        <w:rPr>
          <w:rFonts w:ascii="Century Gothic" w:hAnsi="Century Gothic"/>
          <w:sz w:val="24"/>
          <w:szCs w:val="24"/>
        </w:rPr>
        <w:t xml:space="preserve"> </w:t>
      </w:r>
      <w:r w:rsidR="00876EF7">
        <w:rPr>
          <w:rFonts w:ascii="Century Gothic" w:hAnsi="Century Gothic"/>
          <w:sz w:val="24"/>
          <w:szCs w:val="24"/>
        </w:rPr>
        <w:t xml:space="preserve"> Pre-registration activities have led to lawsuits</w:t>
      </w:r>
      <w:r w:rsidR="00876EF7">
        <w:rPr>
          <w:rStyle w:val="FootnoteReference"/>
          <w:rFonts w:ascii="Century Gothic" w:hAnsi="Century Gothic"/>
          <w:sz w:val="24"/>
          <w:szCs w:val="24"/>
        </w:rPr>
        <w:footnoteReference w:id="5"/>
      </w:r>
      <w:r w:rsidR="008418EF">
        <w:rPr>
          <w:rFonts w:ascii="Century Gothic" w:hAnsi="Century Gothic"/>
          <w:sz w:val="24"/>
          <w:szCs w:val="24"/>
        </w:rPr>
        <w:t xml:space="preserve"> </w:t>
      </w:r>
      <w:r w:rsidR="00876EF7">
        <w:rPr>
          <w:rFonts w:ascii="Century Gothic" w:hAnsi="Century Gothic"/>
          <w:sz w:val="24"/>
          <w:szCs w:val="24"/>
        </w:rPr>
        <w:t>and l</w:t>
      </w:r>
      <w:r w:rsidR="008418EF">
        <w:rPr>
          <w:rFonts w:ascii="Century Gothic" w:hAnsi="Century Gothic"/>
          <w:sz w:val="24"/>
          <w:szCs w:val="24"/>
        </w:rPr>
        <w:t xml:space="preserve">imited policy guidance on this topic </w:t>
      </w:r>
      <w:r w:rsidR="00876EF7">
        <w:rPr>
          <w:rFonts w:ascii="Century Gothic" w:hAnsi="Century Gothic"/>
          <w:sz w:val="24"/>
          <w:szCs w:val="24"/>
        </w:rPr>
        <w:t xml:space="preserve">has earlier </w:t>
      </w:r>
      <w:r w:rsidR="00A313CA">
        <w:rPr>
          <w:rFonts w:ascii="Century Gothic" w:hAnsi="Century Gothic"/>
          <w:sz w:val="24"/>
          <w:szCs w:val="24"/>
        </w:rPr>
        <w:t xml:space="preserve">been </w:t>
      </w:r>
      <w:r w:rsidR="008418EF">
        <w:rPr>
          <w:rFonts w:ascii="Century Gothic" w:hAnsi="Century Gothic"/>
          <w:sz w:val="24"/>
          <w:szCs w:val="24"/>
        </w:rPr>
        <w:t>provided by the DNSO Names Council</w:t>
      </w:r>
      <w:r w:rsidR="008418EF">
        <w:rPr>
          <w:rStyle w:val="FootnoteReference"/>
          <w:rFonts w:ascii="Century Gothic" w:hAnsi="Century Gothic"/>
          <w:sz w:val="24"/>
          <w:szCs w:val="24"/>
        </w:rPr>
        <w:footnoteReference w:id="6"/>
      </w:r>
      <w:r w:rsidR="00876EF7">
        <w:rPr>
          <w:rFonts w:ascii="Century Gothic" w:hAnsi="Century Gothic"/>
          <w:sz w:val="24"/>
          <w:szCs w:val="24"/>
        </w:rPr>
        <w:t xml:space="preserve"> .  Pre-registration activities for the new gTLD launch cycle have already commenced</w:t>
      </w:r>
      <w:r w:rsidR="00876EF7">
        <w:rPr>
          <w:rStyle w:val="FootnoteReference"/>
          <w:rFonts w:ascii="Century Gothic" w:hAnsi="Century Gothic"/>
          <w:sz w:val="24"/>
          <w:szCs w:val="24"/>
        </w:rPr>
        <w:footnoteReference w:id="7"/>
      </w:r>
      <w:r w:rsidR="00876EF7">
        <w:rPr>
          <w:rFonts w:ascii="Century Gothic" w:hAnsi="Century Gothic"/>
          <w:sz w:val="24"/>
          <w:szCs w:val="24"/>
        </w:rPr>
        <w:t xml:space="preserve"> but no current policy guidance is available from the GNSO nor are any new ICANN Advisories on this subject-matter posted.</w:t>
      </w:r>
    </w:p>
    <w:p w:rsidR="00791B61" w:rsidRDefault="00791B61" w:rsidP="00791B61"/>
    <w:p w:rsidR="00791B61" w:rsidRDefault="00890FB5" w:rsidP="00890FB5">
      <w:pPr>
        <w:pStyle w:val="Heading2"/>
        <w:numPr>
          <w:ilvl w:val="0"/>
          <w:numId w:val="2"/>
        </w:numPr>
        <w:rPr>
          <w:rFonts w:ascii="Century Gothic" w:hAnsi="Century Gothic"/>
          <w:color w:val="17365D" w:themeColor="text2" w:themeShade="BF"/>
          <w:sz w:val="24"/>
          <w:szCs w:val="24"/>
        </w:rPr>
      </w:pPr>
      <w:r w:rsidRPr="00890FB5">
        <w:rPr>
          <w:rFonts w:ascii="Century Gothic" w:hAnsi="Century Gothic"/>
          <w:color w:val="17365D" w:themeColor="text2" w:themeShade="BF"/>
          <w:sz w:val="24"/>
          <w:szCs w:val="24"/>
        </w:rPr>
        <w:t>CYBERSQUATTING</w:t>
      </w:r>
      <w:r w:rsidR="00455BA0">
        <w:rPr>
          <w:rFonts w:ascii="Century Gothic" w:hAnsi="Century Gothic"/>
          <w:color w:val="17365D" w:themeColor="text2" w:themeShade="BF"/>
          <w:sz w:val="24"/>
          <w:szCs w:val="24"/>
        </w:rPr>
        <w:t xml:space="preserve"> </w:t>
      </w:r>
      <w:r w:rsidR="00BD065C">
        <w:rPr>
          <w:rFonts w:ascii="Century Gothic" w:hAnsi="Century Gothic"/>
          <w:color w:val="17365D" w:themeColor="text2" w:themeShade="BF"/>
          <w:sz w:val="24"/>
          <w:szCs w:val="24"/>
        </w:rPr>
        <w:t>&amp; THE IMPACT OF DEFENSIVE REGISTRATIONS</w:t>
      </w:r>
    </w:p>
    <w:p w:rsidR="00ED04BF" w:rsidRDefault="00ED04BF" w:rsidP="00ED04BF"/>
    <w:p w:rsidR="00F71C0E" w:rsidRDefault="00F71C0E" w:rsidP="00F71C0E">
      <w:pPr>
        <w:ind w:left="1440"/>
        <w:rPr>
          <w:rFonts w:ascii="Century Gothic" w:hAnsi="Century Gothic"/>
          <w:sz w:val="24"/>
          <w:szCs w:val="24"/>
        </w:rPr>
      </w:pPr>
      <w:r>
        <w:rPr>
          <w:rFonts w:ascii="Century Gothic" w:hAnsi="Century Gothic"/>
          <w:sz w:val="24"/>
          <w:szCs w:val="24"/>
        </w:rPr>
        <w:t xml:space="preserve">Cybersquatting is the </w:t>
      </w:r>
      <w:r w:rsidRPr="00F71C0E">
        <w:rPr>
          <w:rFonts w:ascii="Century Gothic" w:hAnsi="Century Gothic"/>
          <w:sz w:val="24"/>
          <w:szCs w:val="24"/>
        </w:rPr>
        <w:t>regist</w:t>
      </w:r>
      <w:r>
        <w:rPr>
          <w:rFonts w:ascii="Century Gothic" w:hAnsi="Century Gothic"/>
          <w:sz w:val="24"/>
          <w:szCs w:val="24"/>
        </w:rPr>
        <w:t>ration</w:t>
      </w:r>
      <w:r w:rsidRPr="00F71C0E">
        <w:rPr>
          <w:rFonts w:ascii="Century Gothic" w:hAnsi="Century Gothic"/>
          <w:sz w:val="24"/>
          <w:szCs w:val="24"/>
        </w:rPr>
        <w:t>, traffic in, or us</w:t>
      </w:r>
      <w:r>
        <w:rPr>
          <w:rFonts w:ascii="Century Gothic" w:hAnsi="Century Gothic"/>
          <w:sz w:val="24"/>
          <w:szCs w:val="24"/>
        </w:rPr>
        <w:t>e of</w:t>
      </w:r>
      <w:r w:rsidRPr="00F71C0E">
        <w:rPr>
          <w:rFonts w:ascii="Century Gothic" w:hAnsi="Century Gothic"/>
          <w:sz w:val="24"/>
          <w:szCs w:val="24"/>
        </w:rPr>
        <w:t xml:space="preserve"> a domain name with bad faith intent to profit from the goodwill of a trademark belonging to someone else.</w:t>
      </w:r>
      <w:r>
        <w:rPr>
          <w:rFonts w:ascii="Century Gothic" w:hAnsi="Century Gothic"/>
          <w:sz w:val="24"/>
          <w:szCs w:val="24"/>
        </w:rPr>
        <w:t xml:space="preserve">  The phenomenon poses a </w:t>
      </w:r>
      <w:r w:rsidR="000C28A2">
        <w:rPr>
          <w:rFonts w:ascii="Century Gothic" w:hAnsi="Century Gothic"/>
          <w:sz w:val="24"/>
          <w:szCs w:val="24"/>
        </w:rPr>
        <w:t xml:space="preserve">financial </w:t>
      </w:r>
      <w:r>
        <w:rPr>
          <w:rFonts w:ascii="Century Gothic" w:hAnsi="Century Gothic"/>
          <w:sz w:val="24"/>
          <w:szCs w:val="24"/>
        </w:rPr>
        <w:t xml:space="preserve">burden upon intellectual property holders that are obliged to defensively register their domains, secure name-watch services, and make use of dispute resolution procedures.  </w:t>
      </w:r>
      <w:r w:rsidR="000C28A2">
        <w:rPr>
          <w:rFonts w:ascii="Century Gothic" w:hAnsi="Century Gothic"/>
          <w:sz w:val="24"/>
          <w:szCs w:val="24"/>
        </w:rPr>
        <w:t xml:space="preserve">A report from the Coalition </w:t>
      </w:r>
      <w:proofErr w:type="gramStart"/>
      <w:r w:rsidR="000C28A2">
        <w:rPr>
          <w:rFonts w:ascii="Century Gothic" w:hAnsi="Century Gothic"/>
          <w:sz w:val="24"/>
          <w:szCs w:val="24"/>
        </w:rPr>
        <w:t>Against</w:t>
      </w:r>
      <w:proofErr w:type="gramEnd"/>
      <w:r w:rsidR="000C28A2">
        <w:rPr>
          <w:rFonts w:ascii="Century Gothic" w:hAnsi="Century Gothic"/>
          <w:sz w:val="24"/>
          <w:szCs w:val="24"/>
        </w:rPr>
        <w:t xml:space="preserve"> Domain Name Abuse (CADNA) </w:t>
      </w:r>
      <w:r w:rsidR="000C28A2" w:rsidRPr="000C28A2">
        <w:rPr>
          <w:rFonts w:ascii="Century Gothic" w:hAnsi="Century Gothic"/>
          <w:sz w:val="24"/>
          <w:szCs w:val="24"/>
        </w:rPr>
        <w:t>anticipate</w:t>
      </w:r>
      <w:r w:rsidR="000C28A2">
        <w:rPr>
          <w:rFonts w:ascii="Century Gothic" w:hAnsi="Century Gothic"/>
          <w:sz w:val="24"/>
          <w:szCs w:val="24"/>
        </w:rPr>
        <w:t>s that the</w:t>
      </w:r>
      <w:r w:rsidR="000C28A2" w:rsidRPr="000C28A2">
        <w:rPr>
          <w:rFonts w:ascii="Century Gothic" w:hAnsi="Century Gothic"/>
          <w:sz w:val="24"/>
          <w:szCs w:val="24"/>
        </w:rPr>
        <w:t xml:space="preserve"> </w:t>
      </w:r>
      <w:r w:rsidR="000C28A2">
        <w:rPr>
          <w:rFonts w:ascii="Century Gothic" w:hAnsi="Century Gothic"/>
          <w:sz w:val="24"/>
          <w:szCs w:val="24"/>
        </w:rPr>
        <w:t>“</w:t>
      </w:r>
      <w:r w:rsidR="000C28A2" w:rsidRPr="000C28A2">
        <w:rPr>
          <w:rFonts w:ascii="Century Gothic" w:hAnsi="Century Gothic"/>
          <w:sz w:val="24"/>
          <w:szCs w:val="24"/>
        </w:rPr>
        <w:t>launch of 400 generic top-level domains could cost brand owners worldwide over $746 million</w:t>
      </w:r>
      <w:r w:rsidR="000C28A2">
        <w:rPr>
          <w:rFonts w:ascii="Century Gothic" w:hAnsi="Century Gothic"/>
          <w:sz w:val="24"/>
          <w:szCs w:val="24"/>
        </w:rPr>
        <w:t>”</w:t>
      </w:r>
      <w:r w:rsidR="000C28A2">
        <w:rPr>
          <w:rStyle w:val="FootnoteReference"/>
          <w:rFonts w:ascii="Century Gothic" w:hAnsi="Century Gothic"/>
          <w:sz w:val="24"/>
          <w:szCs w:val="24"/>
        </w:rPr>
        <w:footnoteReference w:id="8"/>
      </w:r>
      <w:r w:rsidR="000C28A2">
        <w:rPr>
          <w:rFonts w:ascii="Century Gothic" w:hAnsi="Century Gothic"/>
          <w:sz w:val="24"/>
          <w:szCs w:val="24"/>
        </w:rPr>
        <w:t xml:space="preserve"> – these costs, of course, will invariably be passed onto consumers.</w:t>
      </w:r>
      <w:r w:rsidR="000117CA">
        <w:rPr>
          <w:rFonts w:ascii="Century Gothic" w:hAnsi="Century Gothic"/>
          <w:sz w:val="24"/>
          <w:szCs w:val="24"/>
        </w:rPr>
        <w:t xml:space="preserve">  Estimates </w:t>
      </w:r>
      <w:r w:rsidR="007F27F0">
        <w:rPr>
          <w:rFonts w:ascii="Century Gothic" w:hAnsi="Century Gothic"/>
          <w:sz w:val="24"/>
          <w:szCs w:val="24"/>
        </w:rPr>
        <w:t xml:space="preserve">of defensive registration costs </w:t>
      </w:r>
      <w:r w:rsidR="00BD065C">
        <w:rPr>
          <w:rFonts w:ascii="Century Gothic" w:hAnsi="Century Gothic"/>
          <w:sz w:val="24"/>
          <w:szCs w:val="24"/>
        </w:rPr>
        <w:t>have gone</w:t>
      </w:r>
      <w:r w:rsidR="000117CA">
        <w:rPr>
          <w:rFonts w:ascii="Century Gothic" w:hAnsi="Century Gothic"/>
          <w:sz w:val="24"/>
          <w:szCs w:val="24"/>
        </w:rPr>
        <w:t xml:space="preserve"> as high as $155.85 billion</w:t>
      </w:r>
      <w:r w:rsidR="000117CA">
        <w:rPr>
          <w:rStyle w:val="FootnoteReference"/>
          <w:rFonts w:ascii="Century Gothic" w:hAnsi="Century Gothic"/>
          <w:sz w:val="24"/>
          <w:szCs w:val="24"/>
        </w:rPr>
        <w:footnoteReference w:id="9"/>
      </w:r>
      <w:r w:rsidR="000117CA">
        <w:rPr>
          <w:rFonts w:ascii="Century Gothic" w:hAnsi="Century Gothic"/>
          <w:sz w:val="24"/>
          <w:szCs w:val="24"/>
        </w:rPr>
        <w:t>.</w:t>
      </w:r>
    </w:p>
    <w:p w:rsidR="000C28A2" w:rsidRDefault="000C28A2" w:rsidP="00F71C0E">
      <w:pPr>
        <w:ind w:left="1440"/>
        <w:rPr>
          <w:rFonts w:ascii="Century Gothic" w:hAnsi="Century Gothic"/>
          <w:sz w:val="24"/>
          <w:szCs w:val="24"/>
        </w:rPr>
      </w:pPr>
    </w:p>
    <w:p w:rsidR="0012172D" w:rsidRDefault="0012172D" w:rsidP="0012172D"/>
    <w:p w:rsidR="00ED04BF" w:rsidRDefault="00ED04BF" w:rsidP="00ED04BF">
      <w:pPr>
        <w:pStyle w:val="Heading2"/>
        <w:numPr>
          <w:ilvl w:val="0"/>
          <w:numId w:val="2"/>
        </w:numPr>
        <w:rPr>
          <w:rFonts w:ascii="Century Gothic" w:hAnsi="Century Gothic"/>
          <w:color w:val="17365D" w:themeColor="text2" w:themeShade="BF"/>
          <w:sz w:val="24"/>
          <w:szCs w:val="24"/>
        </w:rPr>
      </w:pPr>
      <w:r w:rsidRPr="00ED04BF">
        <w:rPr>
          <w:rFonts w:ascii="Century Gothic" w:hAnsi="Century Gothic"/>
          <w:color w:val="17365D" w:themeColor="text2" w:themeShade="BF"/>
          <w:sz w:val="24"/>
          <w:szCs w:val="24"/>
        </w:rPr>
        <w:t>REGIST</w:t>
      </w:r>
      <w:r w:rsidR="007F27F0">
        <w:rPr>
          <w:rFonts w:ascii="Century Gothic" w:hAnsi="Century Gothic"/>
          <w:color w:val="17365D" w:themeColor="text2" w:themeShade="BF"/>
          <w:sz w:val="24"/>
          <w:szCs w:val="24"/>
        </w:rPr>
        <w:t>R</w:t>
      </w:r>
      <w:r w:rsidR="00280F3A">
        <w:rPr>
          <w:rFonts w:ascii="Century Gothic" w:hAnsi="Century Gothic"/>
          <w:color w:val="17365D" w:themeColor="text2" w:themeShade="BF"/>
          <w:sz w:val="24"/>
          <w:szCs w:val="24"/>
        </w:rPr>
        <w:t>AR ROGUE BEHAVIORS</w:t>
      </w:r>
    </w:p>
    <w:p w:rsidR="007F27F0" w:rsidRDefault="007F27F0" w:rsidP="007F27F0"/>
    <w:p w:rsidR="00F828D7" w:rsidRPr="007F27F0" w:rsidRDefault="007F27F0" w:rsidP="007F27F0">
      <w:pPr>
        <w:ind w:left="1440"/>
        <w:rPr>
          <w:rFonts w:ascii="Century Gothic" w:hAnsi="Century Gothic"/>
          <w:sz w:val="24"/>
          <w:szCs w:val="24"/>
        </w:rPr>
      </w:pPr>
      <w:r>
        <w:rPr>
          <w:rFonts w:ascii="Century Gothic" w:hAnsi="Century Gothic"/>
          <w:sz w:val="24"/>
          <w:szCs w:val="24"/>
        </w:rPr>
        <w:t>ICANN-accredited registrars have been at the receiving end of summary cybersquatting judgments.  One such entity was ordered to pay $31,150,000</w:t>
      </w:r>
      <w:r w:rsidR="007F7F27">
        <w:rPr>
          <w:rFonts w:ascii="Century Gothic" w:hAnsi="Century Gothic"/>
          <w:sz w:val="24"/>
          <w:szCs w:val="24"/>
        </w:rPr>
        <w:t xml:space="preserve"> for violations of the U.S. </w:t>
      </w:r>
      <w:r w:rsidR="007F7F27" w:rsidRPr="007F7F27">
        <w:rPr>
          <w:rFonts w:ascii="Century Gothic" w:hAnsi="Century Gothic"/>
          <w:sz w:val="24"/>
          <w:szCs w:val="24"/>
        </w:rPr>
        <w:t>Anti</w:t>
      </w:r>
      <w:r w:rsidR="007F7F27">
        <w:rPr>
          <w:rFonts w:ascii="Century Gothic" w:hAnsi="Century Gothic"/>
          <w:sz w:val="24"/>
          <w:szCs w:val="24"/>
        </w:rPr>
        <w:t>-</w:t>
      </w:r>
      <w:r w:rsidR="007F7F27" w:rsidRPr="007F7F27">
        <w:rPr>
          <w:rFonts w:ascii="Century Gothic" w:hAnsi="Century Gothic"/>
          <w:sz w:val="24"/>
          <w:szCs w:val="24"/>
        </w:rPr>
        <w:t>cybersquatting Consumer Protection Act</w:t>
      </w:r>
      <w:r>
        <w:rPr>
          <w:rFonts w:ascii="Century Gothic" w:hAnsi="Century Gothic"/>
          <w:sz w:val="24"/>
          <w:szCs w:val="24"/>
        </w:rPr>
        <w:t>.</w:t>
      </w:r>
      <w:r w:rsidR="003E2913">
        <w:rPr>
          <w:rStyle w:val="FootnoteReference"/>
          <w:rFonts w:ascii="Century Gothic" w:hAnsi="Century Gothic"/>
          <w:sz w:val="24"/>
          <w:szCs w:val="24"/>
        </w:rPr>
        <w:footnoteReference w:id="10"/>
      </w:r>
      <w:r>
        <w:rPr>
          <w:rFonts w:ascii="Century Gothic" w:hAnsi="Century Gothic"/>
          <w:sz w:val="24"/>
          <w:szCs w:val="24"/>
        </w:rPr>
        <w:t xml:space="preserve">  That entity had its contract with ICANN renewed.</w:t>
      </w:r>
      <w:r w:rsidR="007F7F27">
        <w:rPr>
          <w:rFonts w:ascii="Century Gothic" w:hAnsi="Century Gothic"/>
          <w:sz w:val="24"/>
          <w:szCs w:val="24"/>
        </w:rPr>
        <w:t xml:space="preserve">  </w:t>
      </w:r>
      <w:r w:rsidR="00F828D7">
        <w:rPr>
          <w:rFonts w:ascii="Century Gothic" w:hAnsi="Century Gothic"/>
          <w:sz w:val="24"/>
          <w:szCs w:val="24"/>
        </w:rPr>
        <w:t xml:space="preserve">The term “rogue registrar” came to prominence following the collapse of the RegisterFly operation.  Lawsuits alleged that </w:t>
      </w:r>
      <w:r w:rsidR="00F828D7" w:rsidRPr="00F828D7">
        <w:rPr>
          <w:rFonts w:ascii="Century Gothic" w:hAnsi="Century Gothic"/>
          <w:sz w:val="24"/>
          <w:szCs w:val="24"/>
        </w:rPr>
        <w:t>RegisterFly systematically defrauded customers attempting to register or renew Internet domain names</w:t>
      </w:r>
      <w:r w:rsidR="00F828D7">
        <w:rPr>
          <w:rStyle w:val="FootnoteReference"/>
          <w:rFonts w:ascii="Century Gothic" w:hAnsi="Century Gothic"/>
          <w:sz w:val="24"/>
          <w:szCs w:val="24"/>
        </w:rPr>
        <w:footnoteReference w:id="11"/>
      </w:r>
      <w:r w:rsidR="00F828D7" w:rsidRPr="00F828D7">
        <w:rPr>
          <w:rFonts w:ascii="Century Gothic" w:hAnsi="Century Gothic"/>
          <w:sz w:val="24"/>
          <w:szCs w:val="24"/>
        </w:rPr>
        <w:t>.</w:t>
      </w:r>
      <w:r w:rsidR="00F828D7">
        <w:rPr>
          <w:rFonts w:ascii="Century Gothic" w:hAnsi="Century Gothic"/>
          <w:sz w:val="24"/>
          <w:szCs w:val="24"/>
        </w:rPr>
        <w:t xml:space="preserve">  The latest set of revisions to the Registrar Accreditation Agreement (RAA), some of which would curtail such inappropriate behaviors, ha</w:t>
      </w:r>
      <w:r w:rsidR="00D76D37">
        <w:rPr>
          <w:rFonts w:ascii="Century Gothic" w:hAnsi="Century Gothic"/>
          <w:sz w:val="24"/>
          <w:szCs w:val="24"/>
        </w:rPr>
        <w:t>s</w:t>
      </w:r>
      <w:r w:rsidR="00F828D7">
        <w:rPr>
          <w:rFonts w:ascii="Century Gothic" w:hAnsi="Century Gothic"/>
          <w:sz w:val="24"/>
          <w:szCs w:val="24"/>
        </w:rPr>
        <w:t xml:space="preserve"> not yet been adopted.</w:t>
      </w:r>
    </w:p>
    <w:p w:rsidR="00ED04BF" w:rsidRDefault="00ED04BF" w:rsidP="00ED04BF"/>
    <w:p w:rsidR="00ED04BF" w:rsidRDefault="00280F3A" w:rsidP="00ED04BF">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REGISTRY ROGUE BEHAVIORS</w:t>
      </w:r>
    </w:p>
    <w:p w:rsidR="007F7F27" w:rsidRDefault="007F7F27" w:rsidP="007F7F27"/>
    <w:p w:rsidR="00ED04BF" w:rsidRDefault="007F7F27" w:rsidP="007F7F27">
      <w:pPr>
        <w:ind w:left="1440"/>
        <w:rPr>
          <w:rFonts w:ascii="Century Gothic" w:hAnsi="Century Gothic"/>
          <w:sz w:val="24"/>
          <w:szCs w:val="24"/>
        </w:rPr>
      </w:pPr>
      <w:r w:rsidRPr="007F7F27">
        <w:rPr>
          <w:rFonts w:ascii="Century Gothic" w:hAnsi="Century Gothic"/>
          <w:sz w:val="24"/>
          <w:szCs w:val="24"/>
        </w:rPr>
        <w:t>During calendar year 2009, ICANN received complaints about the business conduct of</w:t>
      </w:r>
      <w:r>
        <w:rPr>
          <w:rFonts w:ascii="Century Gothic" w:hAnsi="Century Gothic"/>
          <w:sz w:val="24"/>
          <w:szCs w:val="24"/>
        </w:rPr>
        <w:t xml:space="preserve"> </w:t>
      </w:r>
      <w:proofErr w:type="spellStart"/>
      <w:r w:rsidRPr="007F7F27">
        <w:rPr>
          <w:rFonts w:ascii="Century Gothic" w:hAnsi="Century Gothic"/>
          <w:sz w:val="24"/>
          <w:szCs w:val="24"/>
        </w:rPr>
        <w:t>Labitrav</w:t>
      </w:r>
      <w:proofErr w:type="spellEnd"/>
      <w:r w:rsidRPr="007F7F27">
        <w:rPr>
          <w:rFonts w:ascii="Century Gothic" w:hAnsi="Century Gothic"/>
          <w:sz w:val="24"/>
          <w:szCs w:val="24"/>
        </w:rPr>
        <w:t xml:space="preserve">, a .travel registrant and Tralliance, the registry operator of .travel. </w:t>
      </w:r>
      <w:r>
        <w:rPr>
          <w:rFonts w:ascii="Century Gothic" w:hAnsi="Century Gothic"/>
          <w:sz w:val="24"/>
          <w:szCs w:val="24"/>
        </w:rPr>
        <w:t xml:space="preserve"> </w:t>
      </w:r>
      <w:r w:rsidRPr="007F7F27">
        <w:rPr>
          <w:rFonts w:ascii="Century Gothic" w:hAnsi="Century Gothic"/>
          <w:sz w:val="24"/>
          <w:szCs w:val="24"/>
        </w:rPr>
        <w:t>The companies</w:t>
      </w:r>
      <w:r>
        <w:rPr>
          <w:rFonts w:ascii="Century Gothic" w:hAnsi="Century Gothic"/>
          <w:sz w:val="24"/>
          <w:szCs w:val="24"/>
        </w:rPr>
        <w:t xml:space="preserve"> </w:t>
      </w:r>
      <w:r w:rsidRPr="007F7F27">
        <w:rPr>
          <w:rFonts w:ascii="Century Gothic" w:hAnsi="Century Gothic"/>
          <w:sz w:val="24"/>
          <w:szCs w:val="24"/>
        </w:rPr>
        <w:t>in question are separate, privately-held legal entities incorporated under the laws of the</w:t>
      </w:r>
      <w:r>
        <w:rPr>
          <w:rFonts w:ascii="Century Gothic" w:hAnsi="Century Gothic"/>
          <w:sz w:val="24"/>
          <w:szCs w:val="24"/>
        </w:rPr>
        <w:t xml:space="preserve"> </w:t>
      </w:r>
      <w:r w:rsidRPr="007F7F27">
        <w:rPr>
          <w:rFonts w:ascii="Century Gothic" w:hAnsi="Century Gothic"/>
          <w:sz w:val="24"/>
          <w:szCs w:val="24"/>
        </w:rPr>
        <w:t xml:space="preserve">State of Florida. </w:t>
      </w:r>
      <w:r>
        <w:rPr>
          <w:rFonts w:ascii="Century Gothic" w:hAnsi="Century Gothic"/>
          <w:sz w:val="24"/>
          <w:szCs w:val="24"/>
        </w:rPr>
        <w:t xml:space="preserve"> </w:t>
      </w:r>
      <w:r w:rsidRPr="007F7F27">
        <w:rPr>
          <w:rFonts w:ascii="Century Gothic" w:hAnsi="Century Gothic"/>
          <w:sz w:val="24"/>
          <w:szCs w:val="24"/>
        </w:rPr>
        <w:t>Both entities are owned in whole or substantial majority, by the same</w:t>
      </w:r>
      <w:r>
        <w:rPr>
          <w:rFonts w:ascii="Century Gothic" w:hAnsi="Century Gothic"/>
          <w:sz w:val="24"/>
          <w:szCs w:val="24"/>
        </w:rPr>
        <w:t xml:space="preserve"> </w:t>
      </w:r>
      <w:r w:rsidRPr="007F7F27">
        <w:rPr>
          <w:rFonts w:ascii="Century Gothic" w:hAnsi="Century Gothic"/>
          <w:sz w:val="24"/>
          <w:szCs w:val="24"/>
        </w:rPr>
        <w:t>party.</w:t>
      </w:r>
      <w:r>
        <w:rPr>
          <w:rFonts w:ascii="Century Gothic" w:hAnsi="Century Gothic"/>
          <w:sz w:val="24"/>
          <w:szCs w:val="24"/>
        </w:rPr>
        <w:t xml:space="preserve">  </w:t>
      </w:r>
      <w:r w:rsidRPr="007F7F27">
        <w:rPr>
          <w:rFonts w:ascii="Century Gothic" w:hAnsi="Century Gothic"/>
          <w:sz w:val="24"/>
          <w:szCs w:val="24"/>
        </w:rPr>
        <w:t xml:space="preserve">The complaints alleged that </w:t>
      </w:r>
      <w:proofErr w:type="spellStart"/>
      <w:r w:rsidRPr="007F7F27">
        <w:rPr>
          <w:rFonts w:ascii="Century Gothic" w:hAnsi="Century Gothic"/>
          <w:sz w:val="24"/>
          <w:szCs w:val="24"/>
        </w:rPr>
        <w:t>Labitrav</w:t>
      </w:r>
      <w:proofErr w:type="spellEnd"/>
      <w:r w:rsidRPr="007F7F27">
        <w:rPr>
          <w:rFonts w:ascii="Century Gothic" w:hAnsi="Century Gothic"/>
          <w:sz w:val="24"/>
          <w:szCs w:val="24"/>
        </w:rPr>
        <w:t xml:space="preserve"> was infringing the intellectual property rights of</w:t>
      </w:r>
      <w:r>
        <w:rPr>
          <w:rFonts w:ascii="Century Gothic" w:hAnsi="Century Gothic"/>
          <w:sz w:val="24"/>
          <w:szCs w:val="24"/>
        </w:rPr>
        <w:t xml:space="preserve"> </w:t>
      </w:r>
      <w:r w:rsidRPr="007F7F27">
        <w:rPr>
          <w:rFonts w:ascii="Century Gothic" w:hAnsi="Century Gothic"/>
          <w:sz w:val="24"/>
          <w:szCs w:val="24"/>
        </w:rPr>
        <w:t>various brand and trademark holders, as well as, engaging in cybersquatting activities.</w:t>
      </w:r>
      <w:r>
        <w:rPr>
          <w:rFonts w:ascii="Century Gothic" w:hAnsi="Century Gothic"/>
          <w:sz w:val="24"/>
          <w:szCs w:val="24"/>
        </w:rPr>
        <w:t xml:space="preserve">  </w:t>
      </w:r>
      <w:r w:rsidRPr="007F7F27">
        <w:rPr>
          <w:rFonts w:ascii="Century Gothic" w:hAnsi="Century Gothic"/>
          <w:sz w:val="24"/>
          <w:szCs w:val="24"/>
        </w:rPr>
        <w:t>In August and September 2009, Contractual Compliance compiled a working list of 479</w:t>
      </w:r>
      <w:r>
        <w:rPr>
          <w:rFonts w:ascii="Century Gothic" w:hAnsi="Century Gothic"/>
          <w:sz w:val="24"/>
          <w:szCs w:val="24"/>
        </w:rPr>
        <w:t xml:space="preserve"> </w:t>
      </w:r>
      <w:r w:rsidRPr="007F7F27">
        <w:rPr>
          <w:rFonts w:ascii="Century Gothic" w:hAnsi="Century Gothic"/>
          <w:sz w:val="24"/>
          <w:szCs w:val="24"/>
        </w:rPr>
        <w:t xml:space="preserve">potentially infringing .travel domain name registrations filed by </w:t>
      </w:r>
      <w:proofErr w:type="spellStart"/>
      <w:r w:rsidRPr="007F7F27">
        <w:rPr>
          <w:rFonts w:ascii="Century Gothic" w:hAnsi="Century Gothic"/>
          <w:sz w:val="24"/>
          <w:szCs w:val="24"/>
        </w:rPr>
        <w:t>Labitrav</w:t>
      </w:r>
      <w:proofErr w:type="spellEnd"/>
      <w:r w:rsidRPr="007F7F27">
        <w:rPr>
          <w:rFonts w:ascii="Century Gothic" w:hAnsi="Century Gothic"/>
          <w:sz w:val="24"/>
          <w:szCs w:val="24"/>
        </w:rPr>
        <w:t xml:space="preserve">. </w:t>
      </w:r>
      <w:r>
        <w:rPr>
          <w:rFonts w:ascii="Century Gothic" w:hAnsi="Century Gothic"/>
          <w:sz w:val="24"/>
          <w:szCs w:val="24"/>
        </w:rPr>
        <w:t xml:space="preserve"> </w:t>
      </w:r>
      <w:r w:rsidRPr="007F7F27">
        <w:rPr>
          <w:rFonts w:ascii="Century Gothic" w:hAnsi="Century Gothic"/>
          <w:sz w:val="24"/>
          <w:szCs w:val="24"/>
        </w:rPr>
        <w:t>The list of names</w:t>
      </w:r>
      <w:r>
        <w:rPr>
          <w:rFonts w:ascii="Century Gothic" w:hAnsi="Century Gothic"/>
          <w:sz w:val="24"/>
          <w:szCs w:val="24"/>
        </w:rPr>
        <w:t xml:space="preserve"> </w:t>
      </w:r>
      <w:r w:rsidRPr="007F7F27">
        <w:rPr>
          <w:rFonts w:ascii="Century Gothic" w:hAnsi="Century Gothic"/>
          <w:sz w:val="24"/>
          <w:szCs w:val="24"/>
        </w:rPr>
        <w:t xml:space="preserve">is confidential and proprietary to </w:t>
      </w:r>
      <w:r w:rsidR="00327311">
        <w:rPr>
          <w:rFonts w:ascii="Century Gothic" w:hAnsi="Century Gothic"/>
          <w:sz w:val="24"/>
          <w:szCs w:val="24"/>
        </w:rPr>
        <w:t>I</w:t>
      </w:r>
      <w:r w:rsidRPr="007F7F27">
        <w:rPr>
          <w:rFonts w:ascii="Century Gothic" w:hAnsi="Century Gothic"/>
          <w:sz w:val="24"/>
          <w:szCs w:val="24"/>
        </w:rPr>
        <w:t>CANN.</w:t>
      </w:r>
      <w:r>
        <w:rPr>
          <w:rStyle w:val="FootnoteReference"/>
          <w:rFonts w:ascii="Century Gothic" w:hAnsi="Century Gothic"/>
          <w:sz w:val="24"/>
          <w:szCs w:val="24"/>
        </w:rPr>
        <w:footnoteReference w:id="12"/>
      </w:r>
      <w:r>
        <w:rPr>
          <w:rFonts w:ascii="Century Gothic" w:hAnsi="Century Gothic"/>
          <w:sz w:val="24"/>
          <w:szCs w:val="24"/>
        </w:rPr>
        <w:t xml:space="preserve">  The issue was resolved through recourse to the “cooperative engagement” clauses of the .travel registry agreement.</w:t>
      </w:r>
    </w:p>
    <w:p w:rsidR="007F7F27" w:rsidRDefault="007F7F27" w:rsidP="007F7F27">
      <w:pPr>
        <w:ind w:left="1440"/>
      </w:pPr>
    </w:p>
    <w:p w:rsidR="00337EB7" w:rsidRDefault="00337EB7" w:rsidP="007F7F27">
      <w:pPr>
        <w:ind w:left="1440"/>
      </w:pPr>
    </w:p>
    <w:p w:rsidR="00BE567B" w:rsidRDefault="00BE567B" w:rsidP="00BE567B"/>
    <w:p w:rsidR="00ED04BF" w:rsidRDefault="00455BA0" w:rsidP="00ED04BF">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 xml:space="preserve">THE IMPACT OF </w:t>
      </w:r>
      <w:r w:rsidR="00ED04BF" w:rsidRPr="00ED04BF">
        <w:rPr>
          <w:rFonts w:ascii="Century Gothic" w:hAnsi="Century Gothic"/>
          <w:color w:val="17365D" w:themeColor="text2" w:themeShade="BF"/>
          <w:sz w:val="24"/>
          <w:szCs w:val="24"/>
        </w:rPr>
        <w:t>DOMAIN NAME MONETIZATION</w:t>
      </w:r>
      <w:r>
        <w:rPr>
          <w:rFonts w:ascii="Century Gothic" w:hAnsi="Century Gothic"/>
          <w:color w:val="17365D" w:themeColor="text2" w:themeShade="BF"/>
          <w:sz w:val="24"/>
          <w:szCs w:val="24"/>
        </w:rPr>
        <w:t xml:space="preserve"> SCHEMES</w:t>
      </w:r>
    </w:p>
    <w:p w:rsidR="00337EB7" w:rsidRDefault="00337EB7" w:rsidP="00337EB7"/>
    <w:p w:rsidR="00337EB7" w:rsidRPr="00337EB7" w:rsidRDefault="00D746AE" w:rsidP="00D746AE">
      <w:pPr>
        <w:ind w:left="1440"/>
        <w:rPr>
          <w:rFonts w:ascii="Century Gothic" w:hAnsi="Century Gothic"/>
          <w:sz w:val="24"/>
          <w:szCs w:val="24"/>
        </w:rPr>
      </w:pPr>
      <w:r>
        <w:rPr>
          <w:rFonts w:ascii="Century Gothic" w:hAnsi="Century Gothic"/>
          <w:sz w:val="24"/>
          <w:szCs w:val="24"/>
        </w:rPr>
        <w:t>The launch of hundreds of new gTLDs affords an opportunity for those engaged in domain name monetization to litter vast swathes of our Internet with advertising</w:t>
      </w:r>
      <w:r w:rsidR="00B4627E">
        <w:rPr>
          <w:rFonts w:ascii="Century Gothic" w:hAnsi="Century Gothic"/>
          <w:sz w:val="24"/>
          <w:szCs w:val="24"/>
        </w:rPr>
        <w:t xml:space="preserve"> and typo-squatting adverts</w:t>
      </w:r>
      <w:r>
        <w:rPr>
          <w:rFonts w:ascii="Century Gothic" w:hAnsi="Century Gothic"/>
          <w:sz w:val="24"/>
          <w:szCs w:val="24"/>
        </w:rPr>
        <w:t xml:space="preserve">, the same way that many highways are cluttered with billboards.  </w:t>
      </w:r>
      <w:r w:rsidR="00B4627E">
        <w:rPr>
          <w:rFonts w:ascii="Century Gothic" w:hAnsi="Century Gothic"/>
          <w:sz w:val="24"/>
          <w:szCs w:val="24"/>
        </w:rPr>
        <w:t xml:space="preserve">Domain name monetization utilizes pay-per-click mechanisms.  </w:t>
      </w:r>
      <w:r w:rsidRPr="00D746AE">
        <w:rPr>
          <w:rFonts w:ascii="Century Gothic" w:hAnsi="Century Gothic"/>
          <w:sz w:val="24"/>
          <w:szCs w:val="24"/>
        </w:rPr>
        <w:t>The PPC</w:t>
      </w:r>
      <w:r>
        <w:rPr>
          <w:rFonts w:ascii="Century Gothic" w:hAnsi="Century Gothic"/>
          <w:sz w:val="24"/>
          <w:szCs w:val="24"/>
        </w:rPr>
        <w:t xml:space="preserve"> </w:t>
      </w:r>
      <w:r w:rsidRPr="00D746AE">
        <w:rPr>
          <w:rFonts w:ascii="Century Gothic" w:hAnsi="Century Gothic"/>
          <w:sz w:val="24"/>
          <w:szCs w:val="24"/>
        </w:rPr>
        <w:t>model has been criticized for increasing the</w:t>
      </w:r>
      <w:r>
        <w:rPr>
          <w:rFonts w:ascii="Century Gothic" w:hAnsi="Century Gothic"/>
          <w:sz w:val="24"/>
          <w:szCs w:val="24"/>
        </w:rPr>
        <w:t xml:space="preserve"> </w:t>
      </w:r>
      <w:r w:rsidRPr="00D746AE">
        <w:rPr>
          <w:rFonts w:ascii="Century Gothic" w:hAnsi="Century Gothic"/>
          <w:sz w:val="24"/>
          <w:szCs w:val="24"/>
        </w:rPr>
        <w:t>prevalence of cyber-squatting and speculative</w:t>
      </w:r>
      <w:r>
        <w:rPr>
          <w:rFonts w:ascii="Century Gothic" w:hAnsi="Century Gothic"/>
          <w:sz w:val="24"/>
          <w:szCs w:val="24"/>
        </w:rPr>
        <w:t xml:space="preserve"> </w:t>
      </w:r>
      <w:r w:rsidRPr="00D746AE">
        <w:rPr>
          <w:rFonts w:ascii="Century Gothic" w:hAnsi="Century Gothic"/>
          <w:sz w:val="24"/>
          <w:szCs w:val="24"/>
        </w:rPr>
        <w:t>behavior by encouraging parties to grab names</w:t>
      </w:r>
      <w:r>
        <w:rPr>
          <w:rFonts w:ascii="Century Gothic" w:hAnsi="Century Gothic"/>
          <w:sz w:val="24"/>
          <w:szCs w:val="24"/>
        </w:rPr>
        <w:t xml:space="preserve"> </w:t>
      </w:r>
      <w:r w:rsidRPr="00D746AE">
        <w:rPr>
          <w:rFonts w:ascii="Century Gothic" w:hAnsi="Century Gothic"/>
          <w:sz w:val="24"/>
          <w:szCs w:val="24"/>
        </w:rPr>
        <w:t>that are similar to famous brands or people and are</w:t>
      </w:r>
      <w:r>
        <w:rPr>
          <w:rFonts w:ascii="Century Gothic" w:hAnsi="Century Gothic"/>
          <w:sz w:val="24"/>
          <w:szCs w:val="24"/>
        </w:rPr>
        <w:t xml:space="preserve"> </w:t>
      </w:r>
      <w:r w:rsidRPr="00D746AE">
        <w:rPr>
          <w:rFonts w:ascii="Century Gothic" w:hAnsi="Century Gothic"/>
          <w:sz w:val="24"/>
          <w:szCs w:val="24"/>
        </w:rPr>
        <w:t>therefore more likely to generate significant traffic.</w:t>
      </w:r>
      <w:r>
        <w:rPr>
          <w:rFonts w:ascii="Century Gothic" w:hAnsi="Century Gothic"/>
          <w:sz w:val="24"/>
          <w:szCs w:val="24"/>
        </w:rPr>
        <w:t xml:space="preserve">  </w:t>
      </w:r>
      <w:r w:rsidRPr="00D746AE">
        <w:rPr>
          <w:rFonts w:ascii="Century Gothic" w:hAnsi="Century Gothic"/>
          <w:sz w:val="24"/>
          <w:szCs w:val="24"/>
        </w:rPr>
        <w:t>It has also raised questions about whether “good</w:t>
      </w:r>
      <w:r>
        <w:rPr>
          <w:rFonts w:ascii="Century Gothic" w:hAnsi="Century Gothic"/>
          <w:sz w:val="24"/>
          <w:szCs w:val="24"/>
        </w:rPr>
        <w:t xml:space="preserve"> </w:t>
      </w:r>
      <w:r w:rsidRPr="00D746AE">
        <w:rPr>
          <w:rFonts w:ascii="Century Gothic" w:hAnsi="Century Gothic"/>
          <w:sz w:val="24"/>
          <w:szCs w:val="24"/>
        </w:rPr>
        <w:t>names” are being used solely to create paid links and</w:t>
      </w:r>
      <w:r>
        <w:rPr>
          <w:rFonts w:ascii="Century Gothic" w:hAnsi="Century Gothic"/>
          <w:sz w:val="24"/>
          <w:szCs w:val="24"/>
        </w:rPr>
        <w:t xml:space="preserve"> </w:t>
      </w:r>
      <w:r w:rsidRPr="00D746AE">
        <w:rPr>
          <w:rFonts w:ascii="Century Gothic" w:hAnsi="Century Gothic"/>
          <w:sz w:val="24"/>
          <w:szCs w:val="24"/>
        </w:rPr>
        <w:t>PPC revenue, rather than enable new users to create</w:t>
      </w:r>
      <w:r>
        <w:rPr>
          <w:rFonts w:ascii="Century Gothic" w:hAnsi="Century Gothic"/>
          <w:sz w:val="24"/>
          <w:szCs w:val="24"/>
        </w:rPr>
        <w:t xml:space="preserve"> </w:t>
      </w:r>
      <w:r w:rsidRPr="00D746AE">
        <w:rPr>
          <w:rFonts w:ascii="Century Gothic" w:hAnsi="Century Gothic"/>
          <w:sz w:val="24"/>
          <w:szCs w:val="24"/>
        </w:rPr>
        <w:t>an online identity or substantive content.</w:t>
      </w:r>
      <w:r w:rsidR="00B4627E">
        <w:rPr>
          <w:rStyle w:val="FootnoteReference"/>
          <w:rFonts w:ascii="Century Gothic" w:hAnsi="Century Gothic"/>
          <w:sz w:val="24"/>
          <w:szCs w:val="24"/>
        </w:rPr>
        <w:footnoteReference w:id="13"/>
      </w:r>
      <w:r w:rsidR="00B4627E">
        <w:rPr>
          <w:rFonts w:ascii="Century Gothic" w:hAnsi="Century Gothic"/>
          <w:sz w:val="24"/>
          <w:szCs w:val="24"/>
        </w:rPr>
        <w:t xml:space="preserve">  The newest monetization efforts have focused on utilization of highly local geographic indicators </w:t>
      </w:r>
      <w:r w:rsidR="00F9714D">
        <w:rPr>
          <w:rFonts w:ascii="Century Gothic" w:hAnsi="Century Gothic"/>
          <w:sz w:val="24"/>
          <w:szCs w:val="24"/>
        </w:rPr>
        <w:t>by parties that</w:t>
      </w:r>
      <w:r w:rsidR="00B4627E">
        <w:rPr>
          <w:rFonts w:ascii="Century Gothic" w:hAnsi="Century Gothic"/>
          <w:sz w:val="24"/>
          <w:szCs w:val="24"/>
        </w:rPr>
        <w:t xml:space="preserve"> </w:t>
      </w:r>
      <w:r w:rsidR="00F9714D">
        <w:rPr>
          <w:rFonts w:ascii="Century Gothic" w:hAnsi="Century Gothic"/>
          <w:sz w:val="24"/>
          <w:szCs w:val="24"/>
        </w:rPr>
        <w:t>have</w:t>
      </w:r>
      <w:r w:rsidR="00B4627E">
        <w:rPr>
          <w:rFonts w:ascii="Century Gothic" w:hAnsi="Century Gothic"/>
          <w:sz w:val="24"/>
          <w:szCs w:val="24"/>
        </w:rPr>
        <w:t xml:space="preserve"> no nexus </w:t>
      </w:r>
      <w:r w:rsidR="00F9714D">
        <w:rPr>
          <w:rFonts w:ascii="Century Gothic" w:hAnsi="Century Gothic"/>
          <w:sz w:val="24"/>
          <w:szCs w:val="24"/>
        </w:rPr>
        <w:t xml:space="preserve">whatsoever </w:t>
      </w:r>
      <w:r w:rsidR="00B4627E">
        <w:rPr>
          <w:rFonts w:ascii="Century Gothic" w:hAnsi="Century Gothic"/>
          <w:sz w:val="24"/>
          <w:szCs w:val="24"/>
        </w:rPr>
        <w:t>with the targeted community.</w:t>
      </w:r>
      <w:r w:rsidR="00B4627E">
        <w:rPr>
          <w:rStyle w:val="FootnoteReference"/>
          <w:rFonts w:ascii="Century Gothic" w:hAnsi="Century Gothic"/>
          <w:sz w:val="24"/>
          <w:szCs w:val="24"/>
        </w:rPr>
        <w:footnoteReference w:id="14"/>
      </w:r>
    </w:p>
    <w:p w:rsidR="00455BA0" w:rsidRDefault="00455BA0" w:rsidP="00455BA0"/>
    <w:p w:rsidR="00455BA0" w:rsidRDefault="00455BA0" w:rsidP="00455BA0">
      <w:pPr>
        <w:pStyle w:val="Heading2"/>
        <w:numPr>
          <w:ilvl w:val="0"/>
          <w:numId w:val="2"/>
        </w:numPr>
        <w:rPr>
          <w:rFonts w:ascii="Century Gothic" w:hAnsi="Century Gothic"/>
          <w:color w:val="17365D" w:themeColor="text2" w:themeShade="BF"/>
          <w:sz w:val="24"/>
          <w:szCs w:val="24"/>
        </w:rPr>
      </w:pPr>
      <w:r w:rsidRPr="00455BA0">
        <w:rPr>
          <w:rFonts w:ascii="Century Gothic" w:hAnsi="Century Gothic"/>
          <w:color w:val="17365D" w:themeColor="text2" w:themeShade="BF"/>
          <w:sz w:val="24"/>
          <w:szCs w:val="24"/>
        </w:rPr>
        <w:t>CYBERATTACKS</w:t>
      </w:r>
      <w:r w:rsidR="003C00EA">
        <w:rPr>
          <w:rFonts w:ascii="Century Gothic" w:hAnsi="Century Gothic"/>
          <w:color w:val="17365D" w:themeColor="text2" w:themeShade="BF"/>
          <w:sz w:val="24"/>
          <w:szCs w:val="24"/>
        </w:rPr>
        <w:t xml:space="preserve"> &amp; NEW GTLDS</w:t>
      </w:r>
    </w:p>
    <w:p w:rsidR="00F9714D" w:rsidRDefault="00F9714D" w:rsidP="00F9714D"/>
    <w:p w:rsidR="00F9714D" w:rsidRPr="00F9714D" w:rsidRDefault="00F9714D" w:rsidP="00F9714D">
      <w:pPr>
        <w:ind w:left="1440"/>
        <w:rPr>
          <w:rFonts w:ascii="Century Gothic" w:hAnsi="Century Gothic"/>
          <w:sz w:val="24"/>
          <w:szCs w:val="24"/>
        </w:rPr>
      </w:pPr>
      <w:r>
        <w:rPr>
          <w:rFonts w:ascii="Century Gothic" w:hAnsi="Century Gothic"/>
          <w:sz w:val="24"/>
          <w:szCs w:val="24"/>
        </w:rPr>
        <w:t xml:space="preserve">New gTLDs can occasion cyber-attacks.  </w:t>
      </w:r>
      <w:r w:rsidRPr="00F9714D">
        <w:rPr>
          <w:rFonts w:ascii="Century Gothic" w:hAnsi="Century Gothic"/>
          <w:sz w:val="24"/>
          <w:szCs w:val="24"/>
        </w:rPr>
        <w:t>On 26 June 2008, ICANN itself was victimized by a group of hackers who gained</w:t>
      </w:r>
      <w:r>
        <w:rPr>
          <w:rFonts w:ascii="Century Gothic" w:hAnsi="Century Gothic"/>
          <w:sz w:val="24"/>
          <w:szCs w:val="24"/>
        </w:rPr>
        <w:t xml:space="preserve"> </w:t>
      </w:r>
      <w:r w:rsidRPr="00F9714D">
        <w:rPr>
          <w:rFonts w:ascii="Century Gothic" w:hAnsi="Century Gothic"/>
          <w:sz w:val="24"/>
          <w:szCs w:val="24"/>
        </w:rPr>
        <w:t xml:space="preserve">unauthorized access to ICANN’s domain registration account at Register.com. </w:t>
      </w:r>
      <w:r>
        <w:rPr>
          <w:rFonts w:ascii="Century Gothic" w:hAnsi="Century Gothic"/>
          <w:sz w:val="24"/>
          <w:szCs w:val="24"/>
        </w:rPr>
        <w:t xml:space="preserve"> A</w:t>
      </w:r>
      <w:r w:rsidRPr="00F9714D">
        <w:rPr>
          <w:rFonts w:ascii="Century Gothic" w:hAnsi="Century Gothic"/>
          <w:sz w:val="24"/>
          <w:szCs w:val="24"/>
        </w:rPr>
        <w:t>ttackers altered the</w:t>
      </w:r>
      <w:r>
        <w:rPr>
          <w:rFonts w:ascii="Century Gothic" w:hAnsi="Century Gothic"/>
          <w:sz w:val="24"/>
          <w:szCs w:val="24"/>
        </w:rPr>
        <w:t xml:space="preserve"> </w:t>
      </w:r>
      <w:r w:rsidRPr="00F9714D">
        <w:rPr>
          <w:rFonts w:ascii="Century Gothic" w:hAnsi="Century Gothic"/>
          <w:sz w:val="24"/>
          <w:szCs w:val="24"/>
        </w:rPr>
        <w:t>DNS configurations of several domains – icann.net, iana-servers.com, icann.com,</w:t>
      </w:r>
      <w:r>
        <w:rPr>
          <w:rFonts w:ascii="Century Gothic" w:hAnsi="Century Gothic"/>
          <w:sz w:val="24"/>
          <w:szCs w:val="24"/>
        </w:rPr>
        <w:t xml:space="preserve"> </w:t>
      </w:r>
      <w:r w:rsidRPr="00F9714D">
        <w:rPr>
          <w:rFonts w:ascii="Century Gothic" w:hAnsi="Century Gothic"/>
          <w:sz w:val="24"/>
          <w:szCs w:val="24"/>
        </w:rPr>
        <w:t>internetassignednumbersauthority.com and iana.com – so that visitor traffic was routed to</w:t>
      </w:r>
      <w:r>
        <w:rPr>
          <w:rFonts w:ascii="Century Gothic" w:hAnsi="Century Gothic"/>
          <w:sz w:val="24"/>
          <w:szCs w:val="24"/>
        </w:rPr>
        <w:t xml:space="preserve"> </w:t>
      </w:r>
      <w:r w:rsidRPr="00F9714D">
        <w:rPr>
          <w:rFonts w:ascii="Century Gothic" w:hAnsi="Century Gothic"/>
          <w:sz w:val="24"/>
          <w:szCs w:val="24"/>
        </w:rPr>
        <w:t>defacement web site published at free web hosting accounts operated by Atspace.com.</w:t>
      </w:r>
      <w:r>
        <w:rPr>
          <w:rStyle w:val="FootnoteReference"/>
          <w:rFonts w:ascii="Century Gothic" w:hAnsi="Century Gothic"/>
          <w:sz w:val="24"/>
          <w:szCs w:val="24"/>
        </w:rPr>
        <w:footnoteReference w:id="15"/>
      </w:r>
      <w:r>
        <w:rPr>
          <w:rFonts w:ascii="Century Gothic" w:hAnsi="Century Gothic"/>
          <w:sz w:val="24"/>
          <w:szCs w:val="24"/>
        </w:rPr>
        <w:t xml:space="preserve">  As to</w:t>
      </w:r>
      <w:r w:rsidRPr="00F9714D">
        <w:rPr>
          <w:rFonts w:ascii="Century Gothic" w:hAnsi="Century Gothic"/>
          <w:sz w:val="24"/>
          <w:szCs w:val="24"/>
        </w:rPr>
        <w:t xml:space="preserve"> the timing of the</w:t>
      </w:r>
      <w:r>
        <w:rPr>
          <w:rFonts w:ascii="Century Gothic" w:hAnsi="Century Gothic"/>
          <w:sz w:val="24"/>
          <w:szCs w:val="24"/>
        </w:rPr>
        <w:t xml:space="preserve"> </w:t>
      </w:r>
      <w:r w:rsidRPr="00F9714D">
        <w:rPr>
          <w:rFonts w:ascii="Century Gothic" w:hAnsi="Century Gothic"/>
          <w:sz w:val="24"/>
          <w:szCs w:val="24"/>
        </w:rPr>
        <w:t>incident</w:t>
      </w:r>
      <w:r>
        <w:rPr>
          <w:rFonts w:ascii="Century Gothic" w:hAnsi="Century Gothic"/>
          <w:sz w:val="24"/>
          <w:szCs w:val="24"/>
        </w:rPr>
        <w:t xml:space="preserve">, it occurred at the </w:t>
      </w:r>
      <w:r w:rsidRPr="00F9714D">
        <w:rPr>
          <w:rFonts w:ascii="Century Gothic" w:hAnsi="Century Gothic"/>
          <w:sz w:val="24"/>
          <w:szCs w:val="24"/>
        </w:rPr>
        <w:t>outset of the ICANN Paris meeting where public discussions regarding new</w:t>
      </w:r>
      <w:r>
        <w:rPr>
          <w:rFonts w:ascii="Century Gothic" w:hAnsi="Century Gothic"/>
          <w:sz w:val="24"/>
          <w:szCs w:val="24"/>
        </w:rPr>
        <w:t xml:space="preserve"> GTLDs were held.</w:t>
      </w:r>
    </w:p>
    <w:p w:rsidR="00455BA0" w:rsidRDefault="00455BA0" w:rsidP="00455BA0"/>
    <w:p w:rsidR="00BE567B" w:rsidRDefault="00BE567B" w:rsidP="00BE567B"/>
    <w:p w:rsidR="00455BA0" w:rsidRDefault="00455BA0" w:rsidP="00455BA0">
      <w:pPr>
        <w:pStyle w:val="Heading2"/>
        <w:numPr>
          <w:ilvl w:val="0"/>
          <w:numId w:val="2"/>
        </w:numPr>
        <w:rPr>
          <w:rFonts w:ascii="Century Gothic" w:hAnsi="Century Gothic"/>
          <w:color w:val="17365D" w:themeColor="text2" w:themeShade="BF"/>
          <w:sz w:val="24"/>
          <w:szCs w:val="24"/>
        </w:rPr>
      </w:pPr>
      <w:r w:rsidRPr="00455BA0">
        <w:rPr>
          <w:rFonts w:ascii="Century Gothic" w:hAnsi="Century Gothic"/>
          <w:color w:val="17365D" w:themeColor="text2" w:themeShade="BF"/>
          <w:sz w:val="24"/>
          <w:szCs w:val="24"/>
        </w:rPr>
        <w:t>AN INCREASE IN PHISHING AT</w:t>
      </w:r>
      <w:r w:rsidR="00280F3A">
        <w:rPr>
          <w:rFonts w:ascii="Century Gothic" w:hAnsi="Century Gothic"/>
          <w:color w:val="17365D" w:themeColor="text2" w:themeShade="BF"/>
          <w:sz w:val="24"/>
          <w:szCs w:val="24"/>
        </w:rPr>
        <w:t>TACKS</w:t>
      </w:r>
    </w:p>
    <w:p w:rsidR="00DD5BC5" w:rsidRDefault="00DD5BC5" w:rsidP="00DD5BC5"/>
    <w:p w:rsidR="00E74B8E" w:rsidRDefault="005579C7" w:rsidP="00E74B8E">
      <w:pPr>
        <w:ind w:left="1440"/>
        <w:rPr>
          <w:rFonts w:ascii="Century Gothic" w:hAnsi="Century Gothic"/>
          <w:sz w:val="24"/>
          <w:szCs w:val="24"/>
        </w:rPr>
      </w:pPr>
      <w:r w:rsidRPr="005579C7">
        <w:rPr>
          <w:rFonts w:ascii="Century Gothic" w:hAnsi="Century Gothic"/>
          <w:sz w:val="24"/>
          <w:szCs w:val="24"/>
        </w:rPr>
        <w:t xml:space="preserve">Phishing is a way of attempting to acquire sensitive information such as usernames, passwords and credit card details by masquerading as a trustworthy entity in an electronic communication. </w:t>
      </w:r>
      <w:r>
        <w:rPr>
          <w:rFonts w:ascii="Century Gothic" w:hAnsi="Century Gothic"/>
          <w:sz w:val="24"/>
          <w:szCs w:val="24"/>
        </w:rPr>
        <w:t xml:space="preserve"> </w:t>
      </w:r>
      <w:r w:rsidR="00E74B8E" w:rsidRPr="00E74B8E">
        <w:rPr>
          <w:rFonts w:ascii="Century Gothic" w:hAnsi="Century Gothic"/>
          <w:sz w:val="24"/>
          <w:szCs w:val="24"/>
        </w:rPr>
        <w:t>A study released by Gartner, Inc. in</w:t>
      </w:r>
      <w:r w:rsidR="00E74B8E">
        <w:rPr>
          <w:rFonts w:ascii="Century Gothic" w:hAnsi="Century Gothic"/>
          <w:sz w:val="24"/>
          <w:szCs w:val="24"/>
        </w:rPr>
        <w:t xml:space="preserve"> </w:t>
      </w:r>
      <w:r w:rsidR="00E74B8E" w:rsidRPr="00E74B8E">
        <w:rPr>
          <w:rFonts w:ascii="Century Gothic" w:hAnsi="Century Gothic"/>
          <w:sz w:val="24"/>
          <w:szCs w:val="24"/>
        </w:rPr>
        <w:t>2007 revealed that phishing attacks in the United States alone cost Internet users over $3.2</w:t>
      </w:r>
      <w:r w:rsidR="00E74B8E">
        <w:rPr>
          <w:rFonts w:ascii="Century Gothic" w:hAnsi="Century Gothic"/>
          <w:sz w:val="24"/>
          <w:szCs w:val="24"/>
        </w:rPr>
        <w:t xml:space="preserve"> </w:t>
      </w:r>
      <w:r w:rsidR="00E74B8E" w:rsidRPr="00E74B8E">
        <w:rPr>
          <w:rFonts w:ascii="Century Gothic" w:hAnsi="Century Gothic"/>
          <w:sz w:val="24"/>
          <w:szCs w:val="24"/>
        </w:rPr>
        <w:t>billion.</w:t>
      </w:r>
      <w:r w:rsidR="00280F3A">
        <w:rPr>
          <w:rFonts w:ascii="Century Gothic" w:hAnsi="Century Gothic"/>
          <w:sz w:val="24"/>
          <w:szCs w:val="24"/>
        </w:rPr>
        <w:t xml:space="preserve">  </w:t>
      </w:r>
      <w:r w:rsidR="00E74B8E" w:rsidRPr="00E74B8E">
        <w:rPr>
          <w:rFonts w:ascii="Century Gothic" w:hAnsi="Century Gothic"/>
          <w:sz w:val="24"/>
          <w:szCs w:val="24"/>
        </w:rPr>
        <w:t xml:space="preserve"> The problem is growing, with no signs of slowing down. The survey found that 3.6</w:t>
      </w:r>
      <w:r w:rsidR="00280F3A">
        <w:rPr>
          <w:rFonts w:ascii="Century Gothic" w:hAnsi="Century Gothic"/>
          <w:sz w:val="24"/>
          <w:szCs w:val="24"/>
        </w:rPr>
        <w:t xml:space="preserve"> </w:t>
      </w:r>
      <w:r w:rsidR="00E74B8E" w:rsidRPr="00E74B8E">
        <w:rPr>
          <w:rFonts w:ascii="Century Gothic" w:hAnsi="Century Gothic"/>
          <w:sz w:val="24"/>
          <w:szCs w:val="24"/>
        </w:rPr>
        <w:t>million adults lost money in phishing attacks in the 12 months ending in August 2007, as</w:t>
      </w:r>
      <w:r w:rsidR="00280F3A">
        <w:rPr>
          <w:rFonts w:ascii="Century Gothic" w:hAnsi="Century Gothic"/>
          <w:sz w:val="24"/>
          <w:szCs w:val="24"/>
        </w:rPr>
        <w:t xml:space="preserve"> </w:t>
      </w:r>
      <w:r w:rsidR="00E74B8E" w:rsidRPr="00E74B8E">
        <w:rPr>
          <w:rFonts w:ascii="Century Gothic" w:hAnsi="Century Gothic"/>
          <w:sz w:val="24"/>
          <w:szCs w:val="24"/>
        </w:rPr>
        <w:t>compared with 2.3 million the previous year. With the projected number of new gTLDs</w:t>
      </w:r>
      <w:r w:rsidR="00280F3A">
        <w:rPr>
          <w:rFonts w:ascii="Century Gothic" w:hAnsi="Century Gothic"/>
          <w:sz w:val="24"/>
          <w:szCs w:val="24"/>
        </w:rPr>
        <w:t xml:space="preserve"> </w:t>
      </w:r>
      <w:r w:rsidR="00E74B8E" w:rsidRPr="00E74B8E">
        <w:rPr>
          <w:rFonts w:ascii="Century Gothic" w:hAnsi="Century Gothic"/>
          <w:sz w:val="24"/>
          <w:szCs w:val="24"/>
        </w:rPr>
        <w:t>created in the proposed program, the costs of fraud to unsuspecting consumers will</w:t>
      </w:r>
      <w:r w:rsidR="00280F3A">
        <w:rPr>
          <w:rFonts w:ascii="Century Gothic" w:hAnsi="Century Gothic"/>
          <w:sz w:val="24"/>
          <w:szCs w:val="24"/>
        </w:rPr>
        <w:t xml:space="preserve"> </w:t>
      </w:r>
      <w:r w:rsidR="00E74B8E" w:rsidRPr="00E74B8E">
        <w:rPr>
          <w:rFonts w:ascii="Century Gothic" w:hAnsi="Century Gothic"/>
          <w:sz w:val="24"/>
          <w:szCs w:val="24"/>
        </w:rPr>
        <w:t>undoubtedly eclipse that figure.</w:t>
      </w:r>
      <w:r w:rsidR="00031299">
        <w:rPr>
          <w:rStyle w:val="FootnoteReference"/>
          <w:rFonts w:ascii="Century Gothic" w:hAnsi="Century Gothic"/>
          <w:sz w:val="24"/>
          <w:szCs w:val="24"/>
        </w:rPr>
        <w:footnoteReference w:id="16"/>
      </w:r>
    </w:p>
    <w:p w:rsidR="00280F3A" w:rsidRPr="00E74B8E" w:rsidRDefault="00280F3A" w:rsidP="00E74B8E">
      <w:pPr>
        <w:ind w:left="1440"/>
        <w:rPr>
          <w:rFonts w:ascii="Century Gothic" w:hAnsi="Century Gothic"/>
          <w:sz w:val="24"/>
          <w:szCs w:val="24"/>
        </w:rPr>
      </w:pPr>
    </w:p>
    <w:p w:rsidR="00DD5BC5" w:rsidRPr="00DD5BC5" w:rsidRDefault="000305F1" w:rsidP="00DD5BC5">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DOMAIN TASTING ISSUES</w:t>
      </w:r>
    </w:p>
    <w:p w:rsidR="00455BA0" w:rsidRDefault="00455BA0" w:rsidP="00455BA0"/>
    <w:p w:rsidR="00185949" w:rsidRDefault="003C00EA" w:rsidP="005579C7">
      <w:pPr>
        <w:ind w:left="1440"/>
        <w:rPr>
          <w:rFonts w:ascii="Century Gothic" w:hAnsi="Century Gothic"/>
          <w:sz w:val="24"/>
          <w:szCs w:val="24"/>
        </w:rPr>
      </w:pPr>
      <w:r>
        <w:rPr>
          <w:rFonts w:ascii="Century Gothic" w:hAnsi="Century Gothic"/>
          <w:sz w:val="24"/>
          <w:szCs w:val="24"/>
        </w:rPr>
        <w:t>Although ICANN has previously announced the “End of Domain Tasting”</w:t>
      </w:r>
      <w:r>
        <w:rPr>
          <w:rStyle w:val="FootnoteReference"/>
          <w:rFonts w:ascii="Century Gothic" w:hAnsi="Century Gothic"/>
          <w:sz w:val="24"/>
          <w:szCs w:val="24"/>
        </w:rPr>
        <w:footnoteReference w:id="17"/>
      </w:r>
      <w:r>
        <w:rPr>
          <w:rFonts w:ascii="Century Gothic" w:hAnsi="Century Gothic"/>
          <w:sz w:val="24"/>
          <w:szCs w:val="24"/>
        </w:rPr>
        <w:t xml:space="preserve">, it appears that the beast is </w:t>
      </w:r>
      <w:r w:rsidR="00185949">
        <w:rPr>
          <w:rFonts w:ascii="Century Gothic" w:hAnsi="Century Gothic"/>
          <w:sz w:val="24"/>
          <w:szCs w:val="24"/>
        </w:rPr>
        <w:t>not yet</w:t>
      </w:r>
      <w:r>
        <w:rPr>
          <w:rFonts w:ascii="Century Gothic" w:hAnsi="Century Gothic"/>
          <w:sz w:val="24"/>
          <w:szCs w:val="24"/>
        </w:rPr>
        <w:t xml:space="preserve"> </w:t>
      </w:r>
      <w:r w:rsidR="00185949">
        <w:rPr>
          <w:rFonts w:ascii="Century Gothic" w:hAnsi="Century Gothic"/>
          <w:sz w:val="24"/>
          <w:szCs w:val="24"/>
        </w:rPr>
        <w:t>dead</w:t>
      </w:r>
      <w:r>
        <w:rPr>
          <w:rFonts w:ascii="Century Gothic" w:hAnsi="Century Gothic"/>
          <w:sz w:val="24"/>
          <w:szCs w:val="24"/>
        </w:rPr>
        <w:t xml:space="preserve">.  The latest manifestation of </w:t>
      </w:r>
      <w:r w:rsidR="005579C7">
        <w:rPr>
          <w:rFonts w:ascii="Century Gothic" w:hAnsi="Century Gothic"/>
          <w:sz w:val="24"/>
          <w:szCs w:val="24"/>
        </w:rPr>
        <w:t xml:space="preserve">domain </w:t>
      </w:r>
      <w:r>
        <w:rPr>
          <w:rFonts w:ascii="Century Gothic" w:hAnsi="Century Gothic"/>
          <w:sz w:val="24"/>
          <w:szCs w:val="24"/>
        </w:rPr>
        <w:t>tasting has arrived in the form of commercially-mined NXD traffic data sold via auction</w:t>
      </w:r>
      <w:r w:rsidR="005579C7">
        <w:rPr>
          <w:rStyle w:val="FootnoteReference"/>
          <w:rFonts w:ascii="Century Gothic" w:hAnsi="Century Gothic"/>
          <w:sz w:val="24"/>
          <w:szCs w:val="24"/>
        </w:rPr>
        <w:footnoteReference w:id="18"/>
      </w:r>
      <w:r>
        <w:rPr>
          <w:rFonts w:ascii="Century Gothic" w:hAnsi="Century Gothic"/>
          <w:sz w:val="24"/>
          <w:szCs w:val="24"/>
        </w:rPr>
        <w:t>.</w:t>
      </w:r>
      <w:r w:rsidR="005579C7">
        <w:rPr>
          <w:rFonts w:ascii="Century Gothic" w:hAnsi="Century Gothic"/>
          <w:sz w:val="24"/>
          <w:szCs w:val="24"/>
        </w:rPr>
        <w:t xml:space="preserve">  Current registry contracts allow for the </w:t>
      </w:r>
      <w:r w:rsidR="005579C7" w:rsidRPr="005579C7">
        <w:rPr>
          <w:rFonts w:ascii="Century Gothic" w:hAnsi="Century Gothic"/>
          <w:sz w:val="24"/>
          <w:szCs w:val="24"/>
        </w:rPr>
        <w:t>commercial use of traffic data</w:t>
      </w:r>
      <w:r w:rsidR="005579C7">
        <w:rPr>
          <w:rFonts w:ascii="Century Gothic" w:hAnsi="Century Gothic"/>
          <w:sz w:val="24"/>
          <w:szCs w:val="24"/>
        </w:rPr>
        <w:t xml:space="preserve"> </w:t>
      </w:r>
      <w:r w:rsidR="005579C7" w:rsidRPr="005579C7">
        <w:rPr>
          <w:rFonts w:ascii="Century Gothic" w:hAnsi="Century Gothic"/>
          <w:sz w:val="24"/>
          <w:szCs w:val="24"/>
        </w:rPr>
        <w:t>regarding domain names for almost any purpose</w:t>
      </w:r>
      <w:r w:rsidR="005579C7">
        <w:rPr>
          <w:rFonts w:ascii="Century Gothic" w:hAnsi="Century Gothic"/>
          <w:sz w:val="24"/>
          <w:szCs w:val="24"/>
        </w:rPr>
        <w:t>.  You can count on pre-registration data to similarly be exploited by either the registrar or domain name monetization community.</w:t>
      </w:r>
      <w:r w:rsidR="00185949">
        <w:rPr>
          <w:rFonts w:ascii="Century Gothic" w:hAnsi="Century Gothic"/>
          <w:sz w:val="24"/>
          <w:szCs w:val="24"/>
        </w:rPr>
        <w:t xml:space="preserve">  In “reverse domain tasting”</w:t>
      </w:r>
      <w:r w:rsidR="00185949">
        <w:rPr>
          <w:rStyle w:val="FootnoteReference"/>
          <w:rFonts w:ascii="Century Gothic" w:hAnsi="Century Gothic"/>
          <w:sz w:val="24"/>
          <w:szCs w:val="24"/>
        </w:rPr>
        <w:footnoteReference w:id="19"/>
      </w:r>
      <w:r w:rsidR="00185949">
        <w:rPr>
          <w:rFonts w:ascii="Century Gothic" w:hAnsi="Century Gothic"/>
          <w:sz w:val="24"/>
          <w:szCs w:val="24"/>
        </w:rPr>
        <w:t xml:space="preserve"> </w:t>
      </w:r>
      <w:r w:rsidR="00185949" w:rsidRPr="00185949">
        <w:rPr>
          <w:rFonts w:ascii="Century Gothic" w:hAnsi="Century Gothic"/>
          <w:sz w:val="24"/>
          <w:szCs w:val="24"/>
        </w:rPr>
        <w:t xml:space="preserve">domains </w:t>
      </w:r>
      <w:r w:rsidR="005B4D94">
        <w:rPr>
          <w:rFonts w:ascii="Century Gothic" w:hAnsi="Century Gothic"/>
          <w:sz w:val="24"/>
          <w:szCs w:val="24"/>
        </w:rPr>
        <w:t xml:space="preserve">are allowed </w:t>
      </w:r>
      <w:r w:rsidR="00185949">
        <w:rPr>
          <w:rFonts w:ascii="Century Gothic" w:hAnsi="Century Gothic"/>
          <w:sz w:val="24"/>
          <w:szCs w:val="24"/>
        </w:rPr>
        <w:t>to</w:t>
      </w:r>
      <w:r w:rsidR="005B4D94">
        <w:rPr>
          <w:rFonts w:ascii="Century Gothic" w:hAnsi="Century Gothic"/>
          <w:sz w:val="24"/>
          <w:szCs w:val="24"/>
        </w:rPr>
        <w:t xml:space="preserve"> resolve for a period of time </w:t>
      </w:r>
      <w:r w:rsidR="00185949" w:rsidRPr="00185949">
        <w:rPr>
          <w:rFonts w:ascii="Century Gothic" w:hAnsi="Century Gothic"/>
          <w:sz w:val="24"/>
          <w:szCs w:val="24"/>
        </w:rPr>
        <w:t>after expir</w:t>
      </w:r>
      <w:r w:rsidR="00185949">
        <w:rPr>
          <w:rFonts w:ascii="Century Gothic" w:hAnsi="Century Gothic"/>
          <w:sz w:val="24"/>
          <w:szCs w:val="24"/>
        </w:rPr>
        <w:t xml:space="preserve">ation in order to </w:t>
      </w:r>
      <w:r w:rsidR="005B4D94">
        <w:rPr>
          <w:rFonts w:ascii="Century Gothic" w:hAnsi="Century Gothic"/>
          <w:sz w:val="24"/>
          <w:szCs w:val="24"/>
        </w:rPr>
        <w:t>gauge</w:t>
      </w:r>
      <w:r w:rsidR="00185949" w:rsidRPr="00185949">
        <w:rPr>
          <w:rFonts w:ascii="Century Gothic" w:hAnsi="Century Gothic"/>
          <w:sz w:val="24"/>
          <w:szCs w:val="24"/>
        </w:rPr>
        <w:t xml:space="preserve"> </w:t>
      </w:r>
      <w:r w:rsidR="00185949">
        <w:rPr>
          <w:rFonts w:ascii="Century Gothic" w:hAnsi="Century Gothic"/>
          <w:sz w:val="24"/>
          <w:szCs w:val="24"/>
        </w:rPr>
        <w:t>their traffic levels.  No ICANN policy on domain name hoarding by registrars has ever been established.</w:t>
      </w:r>
      <w:r w:rsidR="00185949">
        <w:rPr>
          <w:rStyle w:val="FootnoteReference"/>
          <w:rFonts w:ascii="Century Gothic" w:hAnsi="Century Gothic"/>
          <w:sz w:val="24"/>
          <w:szCs w:val="24"/>
        </w:rPr>
        <w:footnoteReference w:id="20"/>
      </w:r>
    </w:p>
    <w:p w:rsidR="005579C7" w:rsidRPr="003C00EA" w:rsidRDefault="005579C7" w:rsidP="005579C7">
      <w:pPr>
        <w:ind w:left="1440"/>
        <w:rPr>
          <w:rFonts w:ascii="Century Gothic" w:hAnsi="Century Gothic"/>
          <w:sz w:val="24"/>
          <w:szCs w:val="24"/>
        </w:rPr>
      </w:pPr>
    </w:p>
    <w:p w:rsidR="00455BA0" w:rsidRPr="00455BA0" w:rsidRDefault="00455BA0" w:rsidP="00455BA0">
      <w:pPr>
        <w:pStyle w:val="Heading2"/>
        <w:numPr>
          <w:ilvl w:val="0"/>
          <w:numId w:val="2"/>
        </w:numPr>
        <w:rPr>
          <w:rFonts w:ascii="Century Gothic" w:hAnsi="Century Gothic"/>
          <w:color w:val="17365D" w:themeColor="text2" w:themeShade="BF"/>
          <w:sz w:val="24"/>
          <w:szCs w:val="24"/>
        </w:rPr>
      </w:pPr>
      <w:r w:rsidRPr="00455BA0">
        <w:rPr>
          <w:rFonts w:ascii="Century Gothic" w:hAnsi="Century Gothic"/>
          <w:color w:val="17365D" w:themeColor="text2" w:themeShade="BF"/>
          <w:sz w:val="24"/>
          <w:szCs w:val="24"/>
        </w:rPr>
        <w:t>DOMAIN NAME FRONT-RUNNING</w:t>
      </w:r>
    </w:p>
    <w:p w:rsidR="00791B61" w:rsidRDefault="00791B61" w:rsidP="00791B61"/>
    <w:p w:rsidR="00791B61" w:rsidRDefault="00D40EE8" w:rsidP="00791B61">
      <w:pPr>
        <w:ind w:left="1440"/>
        <w:rPr>
          <w:rFonts w:ascii="Century Gothic" w:hAnsi="Century Gothic"/>
          <w:sz w:val="24"/>
          <w:szCs w:val="24"/>
        </w:rPr>
      </w:pPr>
      <w:r w:rsidRPr="00D40EE8">
        <w:rPr>
          <w:rFonts w:ascii="Century Gothic" w:hAnsi="Century Gothic"/>
          <w:sz w:val="24"/>
          <w:szCs w:val="24"/>
        </w:rPr>
        <w:t>Domain name front running is the practice whereby a domain name registrar uses insider information to register domains for revenue earning purpose</w:t>
      </w:r>
      <w:r>
        <w:rPr>
          <w:rFonts w:ascii="Century Gothic" w:hAnsi="Century Gothic"/>
          <w:sz w:val="24"/>
          <w:szCs w:val="24"/>
        </w:rPr>
        <w:t>s</w:t>
      </w:r>
      <w:r w:rsidRPr="00D40EE8">
        <w:rPr>
          <w:rFonts w:ascii="Century Gothic" w:hAnsi="Century Gothic"/>
          <w:sz w:val="24"/>
          <w:szCs w:val="24"/>
        </w:rPr>
        <w:t xml:space="preserve">. </w:t>
      </w:r>
      <w:r>
        <w:rPr>
          <w:rFonts w:ascii="Century Gothic" w:hAnsi="Century Gothic"/>
          <w:sz w:val="24"/>
          <w:szCs w:val="24"/>
        </w:rPr>
        <w:t xml:space="preserve"> </w:t>
      </w:r>
      <w:r w:rsidR="00455BA0" w:rsidRPr="00455BA0">
        <w:rPr>
          <w:rFonts w:ascii="Century Gothic" w:hAnsi="Century Gothic"/>
          <w:sz w:val="24"/>
          <w:szCs w:val="24"/>
        </w:rPr>
        <w:t>In January 2008, Network Solutions was publicly accused of this practice when the company began reserving all domain names searched on their website for five days</w:t>
      </w:r>
      <w:r w:rsidR="00455BA0">
        <w:rPr>
          <w:rFonts w:ascii="Century Gothic" w:hAnsi="Century Gothic"/>
          <w:sz w:val="24"/>
          <w:szCs w:val="24"/>
        </w:rPr>
        <w:t>.</w:t>
      </w:r>
      <w:r>
        <w:rPr>
          <w:rStyle w:val="FootnoteReference"/>
          <w:rFonts w:ascii="Century Gothic" w:hAnsi="Century Gothic"/>
          <w:sz w:val="24"/>
          <w:szCs w:val="24"/>
        </w:rPr>
        <w:footnoteReference w:id="21"/>
      </w:r>
      <w:r>
        <w:rPr>
          <w:rFonts w:ascii="Century Gothic" w:hAnsi="Century Gothic"/>
          <w:sz w:val="24"/>
          <w:szCs w:val="24"/>
        </w:rPr>
        <w:t xml:space="preserve">  Recent pre-registration activities have the potential to manifest as front-running endeavors as registrars can scrutinize these expressions of interest to build their own massive portfolios of desirable properties </w:t>
      </w:r>
      <w:r w:rsidR="00725483">
        <w:rPr>
          <w:rFonts w:ascii="Century Gothic" w:hAnsi="Century Gothic"/>
          <w:sz w:val="24"/>
          <w:szCs w:val="24"/>
        </w:rPr>
        <w:t>to</w:t>
      </w:r>
      <w:r>
        <w:rPr>
          <w:rFonts w:ascii="Century Gothic" w:hAnsi="Century Gothic"/>
          <w:sz w:val="24"/>
          <w:szCs w:val="24"/>
        </w:rPr>
        <w:t xml:space="preserve"> be cycled through a shell-registrar network when the new gTLDs launch.</w:t>
      </w:r>
    </w:p>
    <w:p w:rsidR="00D40EE8" w:rsidRDefault="00D40EE8" w:rsidP="00791B61">
      <w:pPr>
        <w:ind w:left="1440"/>
        <w:rPr>
          <w:rFonts w:ascii="Century Gothic" w:hAnsi="Century Gothic"/>
          <w:sz w:val="24"/>
          <w:szCs w:val="24"/>
        </w:rPr>
      </w:pPr>
    </w:p>
    <w:p w:rsidR="00455BA0" w:rsidRPr="00455BA0" w:rsidRDefault="00455BA0" w:rsidP="00455BA0">
      <w:pPr>
        <w:pStyle w:val="Heading2"/>
        <w:numPr>
          <w:ilvl w:val="0"/>
          <w:numId w:val="2"/>
        </w:numPr>
        <w:rPr>
          <w:rFonts w:ascii="Century Gothic" w:hAnsi="Century Gothic"/>
          <w:color w:val="17365D" w:themeColor="text2" w:themeShade="BF"/>
          <w:sz w:val="24"/>
          <w:szCs w:val="24"/>
        </w:rPr>
      </w:pPr>
      <w:r w:rsidRPr="00455BA0">
        <w:rPr>
          <w:rFonts w:ascii="Century Gothic" w:hAnsi="Century Gothic"/>
          <w:color w:val="17365D" w:themeColor="text2" w:themeShade="BF"/>
          <w:sz w:val="24"/>
          <w:szCs w:val="24"/>
        </w:rPr>
        <w:t xml:space="preserve">SUNRISE </w:t>
      </w:r>
      <w:r w:rsidR="00886BB0">
        <w:rPr>
          <w:rFonts w:ascii="Century Gothic" w:hAnsi="Century Gothic"/>
          <w:color w:val="17365D" w:themeColor="text2" w:themeShade="BF"/>
          <w:sz w:val="24"/>
          <w:szCs w:val="24"/>
        </w:rPr>
        <w:t xml:space="preserve">SCREENING/VERIFICATION </w:t>
      </w:r>
      <w:r w:rsidR="000305F1">
        <w:rPr>
          <w:rFonts w:ascii="Century Gothic" w:hAnsi="Century Gothic"/>
          <w:color w:val="17365D" w:themeColor="text2" w:themeShade="BF"/>
          <w:sz w:val="24"/>
          <w:szCs w:val="24"/>
        </w:rPr>
        <w:t>PROCESS ISSUES</w:t>
      </w:r>
    </w:p>
    <w:p w:rsidR="00455BA0" w:rsidRDefault="00455BA0" w:rsidP="00455BA0"/>
    <w:p w:rsidR="006F0B51" w:rsidRDefault="006F0B51" w:rsidP="00327311">
      <w:pPr>
        <w:ind w:left="1440"/>
        <w:rPr>
          <w:rFonts w:ascii="Century Gothic" w:hAnsi="Century Gothic"/>
          <w:sz w:val="24"/>
          <w:szCs w:val="24"/>
        </w:rPr>
      </w:pPr>
      <w:r>
        <w:rPr>
          <w:rFonts w:ascii="Century Gothic" w:hAnsi="Century Gothic"/>
          <w:sz w:val="24"/>
          <w:szCs w:val="24"/>
        </w:rPr>
        <w:t xml:space="preserve">Prior new gTLD Launch cycles have suffered from a particular set of problems:  </w:t>
      </w:r>
      <w:r w:rsidRPr="006F0B51">
        <w:rPr>
          <w:rFonts w:ascii="Century Gothic" w:hAnsi="Century Gothic"/>
          <w:sz w:val="24"/>
          <w:szCs w:val="24"/>
        </w:rPr>
        <w:t xml:space="preserve"> The lack of any</w:t>
      </w:r>
      <w:r>
        <w:rPr>
          <w:rFonts w:ascii="Century Gothic" w:hAnsi="Century Gothic"/>
          <w:sz w:val="24"/>
          <w:szCs w:val="24"/>
        </w:rPr>
        <w:t xml:space="preserve"> </w:t>
      </w:r>
      <w:r w:rsidRPr="006F0B51">
        <w:rPr>
          <w:rFonts w:ascii="Century Gothic" w:hAnsi="Century Gothic"/>
          <w:sz w:val="24"/>
          <w:szCs w:val="24"/>
        </w:rPr>
        <w:t>screening or verification in the .info Sunrise period led to serious abuses,</w:t>
      </w:r>
      <w:r>
        <w:rPr>
          <w:rFonts w:ascii="Century Gothic" w:hAnsi="Century Gothic"/>
          <w:sz w:val="24"/>
          <w:szCs w:val="24"/>
        </w:rPr>
        <w:t xml:space="preserve"> </w:t>
      </w:r>
      <w:r w:rsidRPr="006F0B51">
        <w:rPr>
          <w:rFonts w:ascii="Century Gothic" w:hAnsi="Century Gothic"/>
          <w:sz w:val="24"/>
          <w:szCs w:val="24"/>
        </w:rPr>
        <w:t>including an unusually high number (43%) of registrations that had to be</w:t>
      </w:r>
      <w:r>
        <w:rPr>
          <w:rFonts w:ascii="Century Gothic" w:hAnsi="Century Gothic"/>
          <w:sz w:val="24"/>
          <w:szCs w:val="24"/>
        </w:rPr>
        <w:t xml:space="preserve"> </w:t>
      </w:r>
      <w:r w:rsidRPr="006F0B51">
        <w:rPr>
          <w:rFonts w:ascii="Century Gothic" w:hAnsi="Century Gothic"/>
          <w:sz w:val="24"/>
          <w:szCs w:val="24"/>
        </w:rPr>
        <w:t>cancelled or transferred.</w:t>
      </w:r>
      <w:r>
        <w:rPr>
          <w:rFonts w:ascii="Century Gothic" w:hAnsi="Century Gothic"/>
          <w:sz w:val="24"/>
          <w:szCs w:val="24"/>
        </w:rPr>
        <w:t xml:space="preserve">  </w:t>
      </w:r>
      <w:r w:rsidRPr="006F0B51">
        <w:rPr>
          <w:rFonts w:ascii="Century Gothic" w:hAnsi="Century Gothic"/>
          <w:sz w:val="24"/>
          <w:szCs w:val="24"/>
        </w:rPr>
        <w:t>These</w:t>
      </w:r>
      <w:r w:rsidR="00327311">
        <w:rPr>
          <w:rFonts w:ascii="Century Gothic" w:hAnsi="Century Gothic"/>
          <w:sz w:val="24"/>
          <w:szCs w:val="24"/>
        </w:rPr>
        <w:t xml:space="preserve"> </w:t>
      </w:r>
      <w:r w:rsidRPr="006F0B51">
        <w:rPr>
          <w:rFonts w:ascii="Century Gothic" w:hAnsi="Century Gothic"/>
          <w:sz w:val="24"/>
          <w:szCs w:val="24"/>
        </w:rPr>
        <w:t>problems required the new Registry to expend significant resources -- from staff</w:t>
      </w:r>
      <w:r w:rsidR="00327311">
        <w:rPr>
          <w:rFonts w:ascii="Century Gothic" w:hAnsi="Century Gothic"/>
          <w:sz w:val="24"/>
          <w:szCs w:val="24"/>
        </w:rPr>
        <w:t xml:space="preserve"> </w:t>
      </w:r>
      <w:r w:rsidRPr="006F0B51">
        <w:rPr>
          <w:rFonts w:ascii="Century Gothic" w:hAnsi="Century Gothic"/>
          <w:sz w:val="24"/>
          <w:szCs w:val="24"/>
        </w:rPr>
        <w:t>time to attorneys’ fees to compensation to WIPO for trademark verification – to</w:t>
      </w:r>
      <w:r w:rsidR="00327311">
        <w:rPr>
          <w:rFonts w:ascii="Century Gothic" w:hAnsi="Century Gothic"/>
          <w:sz w:val="24"/>
          <w:szCs w:val="24"/>
        </w:rPr>
        <w:t xml:space="preserve"> </w:t>
      </w:r>
      <w:r w:rsidRPr="006F0B51">
        <w:rPr>
          <w:rFonts w:ascii="Century Gothic" w:hAnsi="Century Gothic"/>
          <w:sz w:val="24"/>
          <w:szCs w:val="24"/>
        </w:rPr>
        <w:t xml:space="preserve">address the scope of the problem. </w:t>
      </w:r>
      <w:r w:rsidR="00327311">
        <w:rPr>
          <w:rFonts w:ascii="Century Gothic" w:hAnsi="Century Gothic"/>
          <w:sz w:val="24"/>
          <w:szCs w:val="24"/>
        </w:rPr>
        <w:t xml:space="preserve"> </w:t>
      </w:r>
      <w:r w:rsidRPr="006F0B51">
        <w:rPr>
          <w:rFonts w:ascii="Century Gothic" w:hAnsi="Century Gothic"/>
          <w:sz w:val="24"/>
          <w:szCs w:val="24"/>
        </w:rPr>
        <w:t>It also raised significant public questions</w:t>
      </w:r>
      <w:r w:rsidR="00327311">
        <w:rPr>
          <w:rFonts w:ascii="Century Gothic" w:hAnsi="Century Gothic"/>
          <w:sz w:val="24"/>
          <w:szCs w:val="24"/>
        </w:rPr>
        <w:t xml:space="preserve"> </w:t>
      </w:r>
      <w:r w:rsidR="00327311" w:rsidRPr="00327311">
        <w:rPr>
          <w:rFonts w:ascii="Century Gothic" w:hAnsi="Century Gothic"/>
          <w:sz w:val="24"/>
          <w:szCs w:val="24"/>
        </w:rPr>
        <w:t>about the integrity of the Registry’s processes and database, and the actions of</w:t>
      </w:r>
      <w:r w:rsidR="00327311">
        <w:rPr>
          <w:rFonts w:ascii="Century Gothic" w:hAnsi="Century Gothic"/>
          <w:sz w:val="24"/>
          <w:szCs w:val="24"/>
        </w:rPr>
        <w:t xml:space="preserve"> </w:t>
      </w:r>
      <w:r w:rsidR="00327311" w:rsidRPr="00327311">
        <w:rPr>
          <w:rFonts w:ascii="Century Gothic" w:hAnsi="Century Gothic"/>
          <w:sz w:val="24"/>
          <w:szCs w:val="24"/>
        </w:rPr>
        <w:t>some of its Board members.</w:t>
      </w:r>
      <w:r w:rsidR="00327311">
        <w:rPr>
          <w:rStyle w:val="FootnoteReference"/>
          <w:rFonts w:ascii="Century Gothic" w:hAnsi="Century Gothic"/>
          <w:sz w:val="24"/>
          <w:szCs w:val="24"/>
        </w:rPr>
        <w:footnoteReference w:id="22"/>
      </w:r>
    </w:p>
    <w:p w:rsidR="006F0B51" w:rsidRDefault="006F0B51" w:rsidP="006F0B51">
      <w:pPr>
        <w:ind w:left="1440"/>
        <w:rPr>
          <w:rFonts w:ascii="Century Gothic" w:hAnsi="Century Gothic"/>
          <w:sz w:val="24"/>
          <w:szCs w:val="24"/>
        </w:rPr>
      </w:pPr>
      <w:r>
        <w:rPr>
          <w:rFonts w:ascii="Century Gothic" w:hAnsi="Century Gothic"/>
          <w:sz w:val="24"/>
          <w:szCs w:val="24"/>
        </w:rPr>
        <w:t>Although ICANN’s Intellectual Property Constituency previously offered some guidance to potential registry operators on rights protection mechanisms (RPMs), notably via their “Perfect Sunrise” publication</w:t>
      </w:r>
      <w:r>
        <w:rPr>
          <w:rStyle w:val="FootnoteReference"/>
          <w:rFonts w:ascii="Century Gothic" w:hAnsi="Century Gothic"/>
          <w:sz w:val="24"/>
          <w:szCs w:val="24"/>
        </w:rPr>
        <w:footnoteReference w:id="23"/>
      </w:r>
      <w:r>
        <w:rPr>
          <w:rFonts w:ascii="Century Gothic" w:hAnsi="Century Gothic"/>
          <w:sz w:val="24"/>
          <w:szCs w:val="24"/>
        </w:rPr>
        <w:t>, no comparable guidance to the current round of new gTLD applicants has yet been articulated.</w:t>
      </w:r>
    </w:p>
    <w:p w:rsidR="006F0B51" w:rsidRPr="006F0B51" w:rsidRDefault="006F0B51" w:rsidP="006F0B51">
      <w:pPr>
        <w:ind w:left="1440"/>
        <w:rPr>
          <w:rFonts w:ascii="Century Gothic" w:hAnsi="Century Gothic"/>
          <w:sz w:val="24"/>
          <w:szCs w:val="24"/>
        </w:rPr>
      </w:pPr>
    </w:p>
    <w:p w:rsidR="00455BA0" w:rsidRDefault="00DC3D65" w:rsidP="00455BA0">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 xml:space="preserve">OVERARCHING SUNRISE &amp; </w:t>
      </w:r>
      <w:r w:rsidR="00455BA0" w:rsidRPr="00455BA0">
        <w:rPr>
          <w:rFonts w:ascii="Century Gothic" w:hAnsi="Century Gothic"/>
          <w:color w:val="17365D" w:themeColor="text2" w:themeShade="BF"/>
          <w:sz w:val="24"/>
          <w:szCs w:val="24"/>
        </w:rPr>
        <w:t xml:space="preserve">LANDRUSH </w:t>
      </w:r>
      <w:r w:rsidR="00181F7C">
        <w:rPr>
          <w:rFonts w:ascii="Century Gothic" w:hAnsi="Century Gothic"/>
          <w:color w:val="17365D" w:themeColor="text2" w:themeShade="BF"/>
          <w:sz w:val="24"/>
          <w:szCs w:val="24"/>
        </w:rPr>
        <w:t>ISSUES</w:t>
      </w:r>
    </w:p>
    <w:p w:rsidR="00181F7C" w:rsidRDefault="00181F7C" w:rsidP="00181F7C"/>
    <w:p w:rsidR="00181F7C" w:rsidRPr="00181F7C" w:rsidRDefault="00DC3D65" w:rsidP="00181F7C">
      <w:pPr>
        <w:ind w:left="1440"/>
        <w:rPr>
          <w:rFonts w:ascii="Century Gothic" w:hAnsi="Century Gothic"/>
          <w:sz w:val="24"/>
          <w:szCs w:val="24"/>
        </w:rPr>
      </w:pPr>
      <w:r>
        <w:rPr>
          <w:rFonts w:ascii="Century Gothic" w:hAnsi="Century Gothic"/>
          <w:sz w:val="24"/>
          <w:szCs w:val="24"/>
        </w:rPr>
        <w:t>O</w:t>
      </w:r>
      <w:r w:rsidR="00181F7C" w:rsidRPr="00181F7C">
        <w:rPr>
          <w:rFonts w:ascii="Century Gothic" w:hAnsi="Century Gothic"/>
          <w:sz w:val="24"/>
          <w:szCs w:val="24"/>
        </w:rPr>
        <w:t>ne category of complaints</w:t>
      </w:r>
      <w:r>
        <w:rPr>
          <w:rFonts w:ascii="Century Gothic" w:hAnsi="Century Gothic"/>
          <w:sz w:val="24"/>
          <w:szCs w:val="24"/>
        </w:rPr>
        <w:t xml:space="preserve"> raised during the prior launch cycle</w:t>
      </w:r>
      <w:r w:rsidR="00181F7C" w:rsidRPr="00181F7C">
        <w:rPr>
          <w:rFonts w:ascii="Century Gothic" w:hAnsi="Century Gothic"/>
          <w:sz w:val="24"/>
          <w:szCs w:val="24"/>
        </w:rPr>
        <w:t>, brought by potential registrants and others in the</w:t>
      </w:r>
      <w:r>
        <w:rPr>
          <w:rFonts w:ascii="Century Gothic" w:hAnsi="Century Gothic"/>
          <w:sz w:val="24"/>
          <w:szCs w:val="24"/>
        </w:rPr>
        <w:t xml:space="preserve"> </w:t>
      </w:r>
      <w:r w:rsidR="00181F7C" w:rsidRPr="00181F7C">
        <w:rPr>
          <w:rFonts w:ascii="Century Gothic" w:hAnsi="Century Gothic"/>
          <w:sz w:val="24"/>
          <w:szCs w:val="24"/>
        </w:rPr>
        <w:t>ICANN community, asserted that trademark holders should not receive any prior</w:t>
      </w:r>
      <w:r>
        <w:rPr>
          <w:rFonts w:ascii="Century Gothic" w:hAnsi="Century Gothic"/>
          <w:sz w:val="24"/>
          <w:szCs w:val="24"/>
        </w:rPr>
        <w:t xml:space="preserve"> </w:t>
      </w:r>
      <w:r w:rsidR="00181F7C" w:rsidRPr="00181F7C">
        <w:rPr>
          <w:rFonts w:ascii="Century Gothic" w:hAnsi="Century Gothic"/>
          <w:sz w:val="24"/>
          <w:szCs w:val="24"/>
        </w:rPr>
        <w:t>registration privileges, i.e., there should not be a Sunrise process. Instead, all</w:t>
      </w:r>
      <w:r>
        <w:rPr>
          <w:rFonts w:ascii="Century Gothic" w:hAnsi="Century Gothic"/>
          <w:sz w:val="24"/>
          <w:szCs w:val="24"/>
        </w:rPr>
        <w:t xml:space="preserve"> </w:t>
      </w:r>
      <w:r w:rsidR="00181F7C" w:rsidRPr="00181F7C">
        <w:rPr>
          <w:rFonts w:ascii="Century Gothic" w:hAnsi="Century Gothic"/>
          <w:sz w:val="24"/>
          <w:szCs w:val="24"/>
        </w:rPr>
        <w:t>domains should be awarded during Land Rush. It is difficult to argue, for</w:t>
      </w:r>
      <w:r>
        <w:rPr>
          <w:rFonts w:ascii="Century Gothic" w:hAnsi="Century Gothic"/>
          <w:sz w:val="24"/>
          <w:szCs w:val="24"/>
        </w:rPr>
        <w:t xml:space="preserve"> </w:t>
      </w:r>
      <w:r w:rsidR="00181F7C" w:rsidRPr="00181F7C">
        <w:rPr>
          <w:rFonts w:ascii="Century Gothic" w:hAnsi="Century Gothic"/>
          <w:sz w:val="24"/>
          <w:szCs w:val="24"/>
        </w:rPr>
        <w:t>example, that an individual named Ivan Brian Moore has less right to register</w:t>
      </w:r>
      <w:r>
        <w:rPr>
          <w:rFonts w:ascii="Century Gothic" w:hAnsi="Century Gothic"/>
          <w:sz w:val="24"/>
          <w:szCs w:val="24"/>
        </w:rPr>
        <w:t xml:space="preserve"> </w:t>
      </w:r>
      <w:r w:rsidR="00181F7C" w:rsidRPr="00181F7C">
        <w:rPr>
          <w:rFonts w:ascii="Century Gothic" w:hAnsi="Century Gothic"/>
          <w:sz w:val="24"/>
          <w:szCs w:val="24"/>
        </w:rPr>
        <w:t>ibm.info than the International Business Machines Corporation.</w:t>
      </w:r>
      <w:r>
        <w:rPr>
          <w:rStyle w:val="FootnoteReference"/>
          <w:rFonts w:ascii="Century Gothic" w:hAnsi="Century Gothic"/>
          <w:sz w:val="24"/>
          <w:szCs w:val="24"/>
        </w:rPr>
        <w:footnoteReference w:id="24"/>
      </w:r>
      <w:r>
        <w:rPr>
          <w:rFonts w:ascii="Century Gothic" w:hAnsi="Century Gothic"/>
          <w:sz w:val="24"/>
          <w:szCs w:val="24"/>
        </w:rPr>
        <w:t xml:space="preserve">  With the advent of .brand opportunities, there is even less need now for sunrise mechanisms that favor trademark interests at the expense of the global public interest </w:t>
      </w:r>
      <w:r w:rsidR="00D8755E">
        <w:rPr>
          <w:rFonts w:ascii="Century Gothic" w:hAnsi="Century Gothic"/>
          <w:sz w:val="24"/>
          <w:szCs w:val="24"/>
        </w:rPr>
        <w:t>(</w:t>
      </w:r>
      <w:r>
        <w:rPr>
          <w:rFonts w:ascii="Century Gothic" w:hAnsi="Century Gothic"/>
          <w:sz w:val="24"/>
          <w:szCs w:val="24"/>
        </w:rPr>
        <w:t>and trademark interests can continue to police their marks by way of the UDRP</w:t>
      </w:r>
      <w:r w:rsidR="00D8755E">
        <w:rPr>
          <w:rFonts w:ascii="Century Gothic" w:hAnsi="Century Gothic"/>
          <w:sz w:val="24"/>
          <w:szCs w:val="24"/>
        </w:rPr>
        <w:t>)</w:t>
      </w:r>
      <w:r>
        <w:rPr>
          <w:rFonts w:ascii="Century Gothic" w:hAnsi="Century Gothic"/>
          <w:sz w:val="24"/>
          <w:szCs w:val="24"/>
        </w:rPr>
        <w:t>.</w:t>
      </w:r>
    </w:p>
    <w:p w:rsidR="00730AC6" w:rsidRDefault="00730AC6" w:rsidP="00730AC6"/>
    <w:p w:rsidR="00730AC6" w:rsidRDefault="00730AC6" w:rsidP="00730AC6">
      <w:pPr>
        <w:pStyle w:val="Heading2"/>
        <w:numPr>
          <w:ilvl w:val="0"/>
          <w:numId w:val="2"/>
        </w:numPr>
        <w:rPr>
          <w:rFonts w:ascii="Century Gothic" w:hAnsi="Century Gothic"/>
          <w:color w:val="17365D" w:themeColor="text2" w:themeShade="BF"/>
          <w:sz w:val="24"/>
          <w:szCs w:val="24"/>
        </w:rPr>
      </w:pPr>
      <w:r w:rsidRPr="00730AC6">
        <w:rPr>
          <w:rFonts w:ascii="Century Gothic" w:hAnsi="Century Gothic"/>
          <w:color w:val="17365D" w:themeColor="text2" w:themeShade="BF"/>
          <w:sz w:val="24"/>
          <w:szCs w:val="24"/>
        </w:rPr>
        <w:t>“SHORT LIST” QUEUE</w:t>
      </w:r>
      <w:r>
        <w:rPr>
          <w:rFonts w:ascii="Century Gothic" w:hAnsi="Century Gothic"/>
          <w:color w:val="17365D" w:themeColor="text2" w:themeShade="BF"/>
          <w:sz w:val="24"/>
          <w:szCs w:val="24"/>
        </w:rPr>
        <w:t>-</w:t>
      </w:r>
      <w:r w:rsidRPr="00730AC6">
        <w:rPr>
          <w:rFonts w:ascii="Century Gothic" w:hAnsi="Century Gothic"/>
          <w:color w:val="17365D" w:themeColor="text2" w:themeShade="BF"/>
          <w:sz w:val="24"/>
          <w:szCs w:val="24"/>
        </w:rPr>
        <w:t>JUM</w:t>
      </w:r>
      <w:r w:rsidR="000305F1">
        <w:rPr>
          <w:rFonts w:ascii="Century Gothic" w:hAnsi="Century Gothic"/>
          <w:color w:val="17365D" w:themeColor="text2" w:themeShade="BF"/>
          <w:sz w:val="24"/>
          <w:szCs w:val="24"/>
        </w:rPr>
        <w:t>PING</w:t>
      </w:r>
    </w:p>
    <w:p w:rsidR="00DC3D65" w:rsidRDefault="00DC3D65" w:rsidP="00DC3D65"/>
    <w:p w:rsidR="00DC3D65" w:rsidRPr="00DC3D65" w:rsidRDefault="00DC3D65" w:rsidP="00CF7B69">
      <w:pPr>
        <w:ind w:left="1440"/>
        <w:rPr>
          <w:rFonts w:ascii="Century Gothic" w:hAnsi="Century Gothic"/>
          <w:sz w:val="24"/>
          <w:szCs w:val="24"/>
        </w:rPr>
      </w:pPr>
      <w:r w:rsidRPr="00DC3D65">
        <w:rPr>
          <w:rFonts w:ascii="Century Gothic" w:hAnsi="Century Gothic"/>
          <w:sz w:val="24"/>
          <w:szCs w:val="24"/>
        </w:rPr>
        <w:t xml:space="preserve">The process .info and .biz </w:t>
      </w:r>
      <w:r w:rsidR="00164831">
        <w:rPr>
          <w:rFonts w:ascii="Century Gothic" w:hAnsi="Century Gothic"/>
          <w:sz w:val="24"/>
          <w:szCs w:val="24"/>
        </w:rPr>
        <w:t xml:space="preserve">previously </w:t>
      </w:r>
      <w:r w:rsidRPr="00DC3D65">
        <w:rPr>
          <w:rFonts w:ascii="Century Gothic" w:hAnsi="Century Gothic"/>
          <w:sz w:val="24"/>
          <w:szCs w:val="24"/>
        </w:rPr>
        <w:t xml:space="preserve">used to allocate names – called a “round robin” </w:t>
      </w:r>
      <w:r>
        <w:rPr>
          <w:rFonts w:ascii="Century Gothic" w:hAnsi="Century Gothic"/>
          <w:sz w:val="24"/>
          <w:szCs w:val="24"/>
        </w:rPr>
        <w:t>–</w:t>
      </w:r>
      <w:r w:rsidRPr="00DC3D65">
        <w:rPr>
          <w:rFonts w:ascii="Century Gothic" w:hAnsi="Century Gothic"/>
          <w:sz w:val="24"/>
          <w:szCs w:val="24"/>
        </w:rPr>
        <w:t xml:space="preserve"> was</w:t>
      </w:r>
      <w:r>
        <w:rPr>
          <w:rFonts w:ascii="Century Gothic" w:hAnsi="Century Gothic"/>
          <w:sz w:val="24"/>
          <w:szCs w:val="24"/>
        </w:rPr>
        <w:t xml:space="preserve"> </w:t>
      </w:r>
      <w:r w:rsidRPr="00DC3D65">
        <w:rPr>
          <w:rFonts w:ascii="Century Gothic" w:hAnsi="Century Gothic"/>
          <w:sz w:val="24"/>
          <w:szCs w:val="24"/>
        </w:rPr>
        <w:t>criticized for enabling manipulation of the system. Some registrars kept their list</w:t>
      </w:r>
      <w:r>
        <w:rPr>
          <w:rFonts w:ascii="Century Gothic" w:hAnsi="Century Gothic"/>
          <w:sz w:val="24"/>
          <w:szCs w:val="24"/>
        </w:rPr>
        <w:t xml:space="preserve"> </w:t>
      </w:r>
      <w:r w:rsidRPr="00DC3D65">
        <w:rPr>
          <w:rFonts w:ascii="Century Gothic" w:hAnsi="Century Gothic"/>
          <w:sz w:val="24"/>
          <w:szCs w:val="24"/>
        </w:rPr>
        <w:t>of desired names short and offered coveted slots to their best customers. Others</w:t>
      </w:r>
      <w:r>
        <w:rPr>
          <w:rFonts w:ascii="Century Gothic" w:hAnsi="Century Gothic"/>
          <w:sz w:val="24"/>
          <w:szCs w:val="24"/>
        </w:rPr>
        <w:t xml:space="preserve"> </w:t>
      </w:r>
      <w:r w:rsidRPr="00DC3D65">
        <w:rPr>
          <w:rFonts w:ascii="Century Gothic" w:hAnsi="Century Gothic"/>
          <w:sz w:val="24"/>
          <w:szCs w:val="24"/>
        </w:rPr>
        <w:t>used registrars they controlled to do the same, while they opened their own lists</w:t>
      </w:r>
      <w:r>
        <w:rPr>
          <w:rFonts w:ascii="Century Gothic" w:hAnsi="Century Gothic"/>
          <w:sz w:val="24"/>
          <w:szCs w:val="24"/>
        </w:rPr>
        <w:t xml:space="preserve"> </w:t>
      </w:r>
      <w:r w:rsidR="00CF7B69">
        <w:rPr>
          <w:rFonts w:ascii="Century Gothic" w:hAnsi="Century Gothic"/>
          <w:sz w:val="24"/>
          <w:szCs w:val="24"/>
        </w:rPr>
        <w:t>to the general public.</w:t>
      </w:r>
      <w:r w:rsidR="00D8755E">
        <w:rPr>
          <w:rStyle w:val="FootnoteReference"/>
          <w:rFonts w:ascii="Century Gothic" w:hAnsi="Century Gothic"/>
          <w:sz w:val="24"/>
          <w:szCs w:val="24"/>
        </w:rPr>
        <w:footnoteReference w:id="25"/>
      </w:r>
      <w:r w:rsidR="00E528E4">
        <w:rPr>
          <w:rFonts w:ascii="Century Gothic" w:hAnsi="Century Gothic"/>
          <w:sz w:val="24"/>
          <w:szCs w:val="24"/>
        </w:rPr>
        <w:t xml:space="preserve">  </w:t>
      </w:r>
      <w:r w:rsidR="00CF7B69">
        <w:rPr>
          <w:rFonts w:ascii="Century Gothic" w:hAnsi="Century Gothic"/>
          <w:sz w:val="24"/>
          <w:szCs w:val="24"/>
        </w:rPr>
        <w:t xml:space="preserve"> </w:t>
      </w:r>
      <w:r w:rsidR="00D8755E">
        <w:rPr>
          <w:rFonts w:ascii="Century Gothic" w:hAnsi="Century Gothic"/>
          <w:sz w:val="24"/>
          <w:szCs w:val="24"/>
        </w:rPr>
        <w:t>Sadly, today’s situation is substantially worse with certain registrars controlling</w:t>
      </w:r>
      <w:r w:rsidR="004F0D5E">
        <w:rPr>
          <w:rFonts w:ascii="Century Gothic" w:hAnsi="Century Gothic"/>
          <w:sz w:val="24"/>
          <w:szCs w:val="24"/>
        </w:rPr>
        <w:t xml:space="preserve"> over a hundred different shell, phantom or “acquisition” registrars</w:t>
      </w:r>
      <w:r w:rsidR="00D8755E">
        <w:rPr>
          <w:rFonts w:ascii="Century Gothic" w:hAnsi="Century Gothic"/>
          <w:sz w:val="24"/>
          <w:szCs w:val="24"/>
        </w:rPr>
        <w:t>.</w:t>
      </w:r>
      <w:r w:rsidR="00CF7B69">
        <w:rPr>
          <w:rStyle w:val="FootnoteReference"/>
          <w:rFonts w:ascii="Century Gothic" w:hAnsi="Century Gothic"/>
          <w:sz w:val="24"/>
          <w:szCs w:val="24"/>
        </w:rPr>
        <w:footnoteReference w:id="26"/>
      </w:r>
      <w:r w:rsidR="00D8755E">
        <w:rPr>
          <w:rFonts w:ascii="Century Gothic" w:hAnsi="Century Gothic"/>
          <w:sz w:val="24"/>
          <w:szCs w:val="24"/>
        </w:rPr>
        <w:t xml:space="preserve">  </w:t>
      </w:r>
      <w:r w:rsidR="00CF7B69" w:rsidRPr="00CF7B69">
        <w:rPr>
          <w:rFonts w:ascii="Century Gothic" w:hAnsi="Century Gothic"/>
          <w:sz w:val="24"/>
          <w:szCs w:val="24"/>
        </w:rPr>
        <w:t>When</w:t>
      </w:r>
      <w:r w:rsidR="00CF7B69">
        <w:rPr>
          <w:rFonts w:ascii="Century Gothic" w:hAnsi="Century Gothic"/>
          <w:sz w:val="24"/>
          <w:szCs w:val="24"/>
        </w:rPr>
        <w:t xml:space="preserve"> </w:t>
      </w:r>
      <w:r w:rsidR="00CF7B69" w:rsidRPr="00CF7B69">
        <w:rPr>
          <w:rFonts w:ascii="Century Gothic" w:hAnsi="Century Gothic"/>
          <w:sz w:val="24"/>
          <w:szCs w:val="24"/>
        </w:rPr>
        <w:t>the</w:t>
      </w:r>
      <w:r w:rsidR="00CF7B69">
        <w:rPr>
          <w:rFonts w:ascii="Century Gothic" w:hAnsi="Century Gothic"/>
          <w:sz w:val="24"/>
          <w:szCs w:val="24"/>
        </w:rPr>
        <w:t xml:space="preserve"> .EU </w:t>
      </w:r>
      <w:r w:rsidR="00CF7B69" w:rsidRPr="00CF7B69">
        <w:rPr>
          <w:rFonts w:ascii="Century Gothic" w:hAnsi="Century Gothic"/>
          <w:sz w:val="24"/>
          <w:szCs w:val="24"/>
        </w:rPr>
        <w:t>land</w:t>
      </w:r>
      <w:r w:rsidR="00CF7B69">
        <w:rPr>
          <w:rFonts w:ascii="Century Gothic" w:hAnsi="Century Gothic"/>
          <w:sz w:val="24"/>
          <w:szCs w:val="24"/>
        </w:rPr>
        <w:t>-</w:t>
      </w:r>
      <w:r w:rsidR="00CF7B69" w:rsidRPr="00CF7B69">
        <w:rPr>
          <w:rFonts w:ascii="Century Gothic" w:hAnsi="Century Gothic"/>
          <w:sz w:val="24"/>
          <w:szCs w:val="24"/>
        </w:rPr>
        <w:t>rush</w:t>
      </w:r>
      <w:r w:rsidR="00CF7B69">
        <w:rPr>
          <w:rFonts w:ascii="Century Gothic" w:hAnsi="Century Gothic"/>
          <w:sz w:val="24"/>
          <w:szCs w:val="24"/>
        </w:rPr>
        <w:t xml:space="preserve"> </w:t>
      </w:r>
      <w:r w:rsidR="00CF7B69" w:rsidRPr="00CF7B69">
        <w:rPr>
          <w:rFonts w:ascii="Century Gothic" w:hAnsi="Century Gothic"/>
          <w:sz w:val="24"/>
          <w:szCs w:val="24"/>
        </w:rPr>
        <w:t>period</w:t>
      </w:r>
      <w:r w:rsidR="00CF7B69">
        <w:rPr>
          <w:rFonts w:ascii="Century Gothic" w:hAnsi="Century Gothic"/>
          <w:sz w:val="24"/>
          <w:szCs w:val="24"/>
        </w:rPr>
        <w:t xml:space="preserve"> </w:t>
      </w:r>
      <w:r w:rsidR="00CF7B69" w:rsidRPr="00CF7B69">
        <w:rPr>
          <w:rFonts w:ascii="Century Gothic" w:hAnsi="Century Gothic"/>
          <w:sz w:val="24"/>
          <w:szCs w:val="24"/>
        </w:rPr>
        <w:t>began,</w:t>
      </w:r>
      <w:r w:rsidR="00CF7B69">
        <w:rPr>
          <w:rFonts w:ascii="Century Gothic" w:hAnsi="Century Gothic"/>
          <w:sz w:val="24"/>
          <w:szCs w:val="24"/>
        </w:rPr>
        <w:t xml:space="preserve"> </w:t>
      </w:r>
      <w:r w:rsidR="00CF7B69" w:rsidRPr="00CF7B69">
        <w:rPr>
          <w:rFonts w:ascii="Century Gothic" w:hAnsi="Century Gothic"/>
          <w:sz w:val="24"/>
          <w:szCs w:val="24"/>
        </w:rPr>
        <w:t>a</w:t>
      </w:r>
      <w:r w:rsidR="00CF7B69">
        <w:rPr>
          <w:rFonts w:ascii="Century Gothic" w:hAnsi="Century Gothic"/>
          <w:sz w:val="24"/>
          <w:szCs w:val="24"/>
        </w:rPr>
        <w:t xml:space="preserve"> </w:t>
      </w:r>
      <w:r w:rsidR="00CF7B69" w:rsidRPr="00CF7B69">
        <w:rPr>
          <w:rFonts w:ascii="Century Gothic" w:hAnsi="Century Gothic"/>
          <w:sz w:val="24"/>
          <w:szCs w:val="24"/>
        </w:rPr>
        <w:t>large</w:t>
      </w:r>
      <w:r w:rsidR="00CF7B69">
        <w:rPr>
          <w:rFonts w:ascii="Century Gothic" w:hAnsi="Century Gothic"/>
          <w:sz w:val="24"/>
          <w:szCs w:val="24"/>
        </w:rPr>
        <w:t xml:space="preserve"> </w:t>
      </w:r>
      <w:r w:rsidR="00CF7B69" w:rsidRPr="00CF7B69">
        <w:rPr>
          <w:rFonts w:ascii="Century Gothic" w:hAnsi="Century Gothic"/>
          <w:sz w:val="24"/>
          <w:szCs w:val="24"/>
        </w:rPr>
        <w:t>number</w:t>
      </w:r>
      <w:r w:rsidR="00CF7B69">
        <w:rPr>
          <w:rFonts w:ascii="Century Gothic" w:hAnsi="Century Gothic"/>
          <w:sz w:val="24"/>
          <w:szCs w:val="24"/>
        </w:rPr>
        <w:t xml:space="preserve"> </w:t>
      </w:r>
      <w:r w:rsidR="00CF7B69" w:rsidRPr="00CF7B69">
        <w:rPr>
          <w:rFonts w:ascii="Century Gothic" w:hAnsi="Century Gothic"/>
          <w:sz w:val="24"/>
          <w:szCs w:val="24"/>
        </w:rPr>
        <w:t>of</w:t>
      </w:r>
      <w:r w:rsidR="00CF7B69">
        <w:rPr>
          <w:rFonts w:ascii="Century Gothic" w:hAnsi="Century Gothic"/>
          <w:sz w:val="24"/>
          <w:szCs w:val="24"/>
        </w:rPr>
        <w:t xml:space="preserve"> </w:t>
      </w:r>
      <w:r w:rsidR="00CF7B69" w:rsidRPr="00CF7B69">
        <w:rPr>
          <w:rFonts w:ascii="Century Gothic" w:hAnsi="Century Gothic"/>
          <w:sz w:val="24"/>
          <w:szCs w:val="24"/>
        </w:rPr>
        <w:t>shell</w:t>
      </w:r>
      <w:r w:rsidR="00CF7B69">
        <w:rPr>
          <w:rFonts w:ascii="Century Gothic" w:hAnsi="Century Gothic"/>
          <w:sz w:val="24"/>
          <w:szCs w:val="24"/>
        </w:rPr>
        <w:t xml:space="preserve"> </w:t>
      </w:r>
      <w:r w:rsidR="00CF7B69" w:rsidRPr="00CF7B69">
        <w:rPr>
          <w:rFonts w:ascii="Century Gothic" w:hAnsi="Century Gothic"/>
          <w:sz w:val="24"/>
          <w:szCs w:val="24"/>
        </w:rPr>
        <w:t>companies</w:t>
      </w:r>
      <w:r w:rsidR="00CF7B69">
        <w:rPr>
          <w:rFonts w:ascii="Century Gothic" w:hAnsi="Century Gothic"/>
          <w:sz w:val="24"/>
          <w:szCs w:val="24"/>
        </w:rPr>
        <w:t xml:space="preserve"> </w:t>
      </w:r>
      <w:r w:rsidR="00CF7B69" w:rsidRPr="00CF7B69">
        <w:rPr>
          <w:rFonts w:ascii="Century Gothic" w:hAnsi="Century Gothic"/>
          <w:sz w:val="24"/>
          <w:szCs w:val="24"/>
        </w:rPr>
        <w:t>were</w:t>
      </w:r>
      <w:r w:rsidR="00CF7B69">
        <w:rPr>
          <w:rFonts w:ascii="Century Gothic" w:hAnsi="Century Gothic"/>
          <w:sz w:val="24"/>
          <w:szCs w:val="24"/>
        </w:rPr>
        <w:t xml:space="preserve"> </w:t>
      </w:r>
      <w:r w:rsidR="00CF7B69" w:rsidRPr="00CF7B69">
        <w:rPr>
          <w:rFonts w:ascii="Century Gothic" w:hAnsi="Century Gothic"/>
          <w:sz w:val="24"/>
          <w:szCs w:val="24"/>
        </w:rPr>
        <w:t>set</w:t>
      </w:r>
      <w:r w:rsidR="00CF7B69">
        <w:rPr>
          <w:rFonts w:ascii="Century Gothic" w:hAnsi="Century Gothic"/>
          <w:sz w:val="24"/>
          <w:szCs w:val="24"/>
        </w:rPr>
        <w:t xml:space="preserve"> </w:t>
      </w:r>
      <w:r w:rsidR="00CF7B69" w:rsidRPr="00CF7B69">
        <w:rPr>
          <w:rFonts w:ascii="Century Gothic" w:hAnsi="Century Gothic"/>
          <w:sz w:val="24"/>
          <w:szCs w:val="24"/>
        </w:rPr>
        <w:t>up</w:t>
      </w:r>
      <w:r w:rsidR="00CF7B69">
        <w:rPr>
          <w:rFonts w:ascii="Century Gothic" w:hAnsi="Century Gothic"/>
          <w:sz w:val="24"/>
          <w:szCs w:val="24"/>
        </w:rPr>
        <w:t xml:space="preserve"> </w:t>
      </w:r>
      <w:r w:rsidR="00CF7B69" w:rsidRPr="00CF7B69">
        <w:rPr>
          <w:rFonts w:ascii="Century Gothic" w:hAnsi="Century Gothic"/>
          <w:sz w:val="24"/>
          <w:szCs w:val="24"/>
        </w:rPr>
        <w:t>as</w:t>
      </w:r>
      <w:r w:rsidR="00CF7B69">
        <w:rPr>
          <w:rFonts w:ascii="Century Gothic" w:hAnsi="Century Gothic"/>
          <w:sz w:val="24"/>
          <w:szCs w:val="24"/>
        </w:rPr>
        <w:t xml:space="preserve"> </w:t>
      </w:r>
      <w:r w:rsidR="00CF7B69" w:rsidRPr="00CF7B69">
        <w:rPr>
          <w:rFonts w:ascii="Century Gothic" w:hAnsi="Century Gothic"/>
          <w:sz w:val="24"/>
          <w:szCs w:val="24"/>
        </w:rPr>
        <w:t>phantom</w:t>
      </w:r>
      <w:r w:rsidR="00CF7B69">
        <w:rPr>
          <w:rFonts w:ascii="Century Gothic" w:hAnsi="Century Gothic"/>
          <w:sz w:val="24"/>
          <w:szCs w:val="24"/>
        </w:rPr>
        <w:t xml:space="preserve"> </w:t>
      </w:r>
      <w:r w:rsidR="00CF7B69" w:rsidRPr="00CF7B69">
        <w:rPr>
          <w:rFonts w:ascii="Century Gothic" w:hAnsi="Century Gothic"/>
          <w:sz w:val="24"/>
          <w:szCs w:val="24"/>
        </w:rPr>
        <w:t>registrars</w:t>
      </w:r>
      <w:r w:rsidR="00CF7B69">
        <w:rPr>
          <w:rFonts w:ascii="Century Gothic" w:hAnsi="Century Gothic"/>
          <w:sz w:val="24"/>
          <w:szCs w:val="24"/>
        </w:rPr>
        <w:t xml:space="preserve"> </w:t>
      </w:r>
      <w:r w:rsidR="00CF7B69" w:rsidRPr="00CF7B69">
        <w:rPr>
          <w:rFonts w:ascii="Century Gothic" w:hAnsi="Century Gothic"/>
          <w:sz w:val="24"/>
          <w:szCs w:val="24"/>
        </w:rPr>
        <w:t>to</w:t>
      </w:r>
      <w:r w:rsidR="00CF7B69">
        <w:rPr>
          <w:rFonts w:ascii="Century Gothic" w:hAnsi="Century Gothic"/>
          <w:sz w:val="24"/>
          <w:szCs w:val="24"/>
        </w:rPr>
        <w:t xml:space="preserve"> </w:t>
      </w:r>
      <w:r w:rsidR="00CF7B69" w:rsidRPr="00CF7B69">
        <w:rPr>
          <w:rFonts w:ascii="Century Gothic" w:hAnsi="Century Gothic"/>
          <w:sz w:val="24"/>
          <w:szCs w:val="24"/>
        </w:rPr>
        <w:t>obtain</w:t>
      </w:r>
      <w:r w:rsidR="00CF7B69">
        <w:rPr>
          <w:rFonts w:ascii="Century Gothic" w:hAnsi="Century Gothic"/>
          <w:sz w:val="24"/>
          <w:szCs w:val="24"/>
        </w:rPr>
        <w:t xml:space="preserve"> </w:t>
      </w:r>
      <w:r w:rsidR="00CF7B69" w:rsidRPr="00CF7B69">
        <w:rPr>
          <w:rFonts w:ascii="Century Gothic" w:hAnsi="Century Gothic"/>
          <w:sz w:val="24"/>
          <w:szCs w:val="24"/>
        </w:rPr>
        <w:t>priority</w:t>
      </w:r>
      <w:r w:rsidR="00CF7B69">
        <w:rPr>
          <w:rFonts w:ascii="Century Gothic" w:hAnsi="Century Gothic"/>
          <w:sz w:val="24"/>
          <w:szCs w:val="24"/>
        </w:rPr>
        <w:t xml:space="preserve"> </w:t>
      </w:r>
      <w:r w:rsidR="00CF7B69" w:rsidRPr="00CF7B69">
        <w:rPr>
          <w:rFonts w:ascii="Century Gothic" w:hAnsi="Century Gothic"/>
          <w:sz w:val="24"/>
          <w:szCs w:val="24"/>
        </w:rPr>
        <w:t>and</w:t>
      </w:r>
      <w:r w:rsidR="00CF7B69">
        <w:rPr>
          <w:rFonts w:ascii="Century Gothic" w:hAnsi="Century Gothic"/>
          <w:sz w:val="24"/>
          <w:szCs w:val="24"/>
        </w:rPr>
        <w:t xml:space="preserve"> </w:t>
      </w:r>
      <w:r w:rsidR="00CF7B69" w:rsidRPr="00CF7B69">
        <w:rPr>
          <w:rFonts w:ascii="Century Gothic" w:hAnsi="Century Gothic"/>
          <w:sz w:val="24"/>
          <w:szCs w:val="24"/>
        </w:rPr>
        <w:t>grab</w:t>
      </w:r>
      <w:r w:rsidR="00CF7B69">
        <w:rPr>
          <w:rFonts w:ascii="Century Gothic" w:hAnsi="Century Gothic"/>
          <w:sz w:val="24"/>
          <w:szCs w:val="24"/>
        </w:rPr>
        <w:t xml:space="preserve"> </w:t>
      </w:r>
      <w:r w:rsidR="00CF7B69" w:rsidRPr="00CF7B69">
        <w:rPr>
          <w:rFonts w:ascii="Century Gothic" w:hAnsi="Century Gothic"/>
          <w:sz w:val="24"/>
          <w:szCs w:val="24"/>
        </w:rPr>
        <w:t>as</w:t>
      </w:r>
      <w:r w:rsidR="00CF7B69">
        <w:rPr>
          <w:rFonts w:ascii="Century Gothic" w:hAnsi="Century Gothic"/>
          <w:sz w:val="24"/>
          <w:szCs w:val="24"/>
        </w:rPr>
        <w:t xml:space="preserve"> </w:t>
      </w:r>
      <w:r w:rsidR="00CF7B69" w:rsidRPr="00CF7B69">
        <w:rPr>
          <w:rFonts w:ascii="Century Gothic" w:hAnsi="Century Gothic"/>
          <w:sz w:val="24"/>
          <w:szCs w:val="24"/>
        </w:rPr>
        <w:t>many</w:t>
      </w:r>
      <w:r w:rsidR="00CF7B69">
        <w:rPr>
          <w:rFonts w:ascii="Century Gothic" w:hAnsi="Century Gothic"/>
          <w:sz w:val="24"/>
          <w:szCs w:val="24"/>
        </w:rPr>
        <w:t xml:space="preserve"> </w:t>
      </w:r>
      <w:r w:rsidR="00CF7B69" w:rsidRPr="00CF7B69">
        <w:rPr>
          <w:rFonts w:ascii="Century Gothic" w:hAnsi="Century Gothic"/>
          <w:sz w:val="24"/>
          <w:szCs w:val="24"/>
        </w:rPr>
        <w:t>“generic”</w:t>
      </w:r>
      <w:r w:rsidR="00CF7B69">
        <w:rPr>
          <w:rFonts w:ascii="Century Gothic" w:hAnsi="Century Gothic"/>
          <w:sz w:val="24"/>
          <w:szCs w:val="24"/>
        </w:rPr>
        <w:t xml:space="preserve"> </w:t>
      </w:r>
      <w:r w:rsidR="00CF7B69" w:rsidRPr="00CF7B69">
        <w:rPr>
          <w:rFonts w:ascii="Century Gothic" w:hAnsi="Century Gothic"/>
          <w:sz w:val="24"/>
          <w:szCs w:val="24"/>
        </w:rPr>
        <w:t>domain</w:t>
      </w:r>
      <w:r w:rsidR="00CF7B69">
        <w:rPr>
          <w:rFonts w:ascii="Century Gothic" w:hAnsi="Century Gothic"/>
          <w:sz w:val="24"/>
          <w:szCs w:val="24"/>
        </w:rPr>
        <w:t xml:space="preserve"> </w:t>
      </w:r>
      <w:r w:rsidR="00CF7B69" w:rsidRPr="00CF7B69">
        <w:rPr>
          <w:rFonts w:ascii="Century Gothic" w:hAnsi="Century Gothic"/>
          <w:sz w:val="24"/>
          <w:szCs w:val="24"/>
        </w:rPr>
        <w:t>names</w:t>
      </w:r>
      <w:r w:rsidR="00CF7B69">
        <w:rPr>
          <w:rFonts w:ascii="Century Gothic" w:hAnsi="Century Gothic"/>
          <w:sz w:val="24"/>
          <w:szCs w:val="24"/>
        </w:rPr>
        <w:t xml:space="preserve"> </w:t>
      </w:r>
      <w:r w:rsidR="00CF7B69" w:rsidRPr="00CF7B69">
        <w:rPr>
          <w:rFonts w:ascii="Century Gothic" w:hAnsi="Century Gothic"/>
          <w:sz w:val="24"/>
          <w:szCs w:val="24"/>
        </w:rPr>
        <w:t>as</w:t>
      </w:r>
      <w:r w:rsidR="00CF7B69">
        <w:rPr>
          <w:rFonts w:ascii="Century Gothic" w:hAnsi="Century Gothic"/>
          <w:sz w:val="24"/>
          <w:szCs w:val="24"/>
        </w:rPr>
        <w:t xml:space="preserve"> </w:t>
      </w:r>
      <w:r w:rsidR="00CF7B69" w:rsidRPr="00CF7B69">
        <w:rPr>
          <w:rFonts w:ascii="Century Gothic" w:hAnsi="Century Gothic"/>
          <w:sz w:val="24"/>
          <w:szCs w:val="24"/>
        </w:rPr>
        <w:t>possible.</w:t>
      </w:r>
      <w:r w:rsidR="00CF7B69">
        <w:rPr>
          <w:rFonts w:ascii="Century Gothic" w:hAnsi="Century Gothic"/>
          <w:sz w:val="24"/>
          <w:szCs w:val="24"/>
        </w:rPr>
        <w:t xml:space="preserve">  </w:t>
      </w:r>
      <w:r w:rsidR="00CF7B69" w:rsidRPr="00CF7B69">
        <w:rPr>
          <w:rFonts w:ascii="Century Gothic" w:hAnsi="Century Gothic"/>
          <w:sz w:val="24"/>
          <w:szCs w:val="24"/>
        </w:rPr>
        <w:t>400</w:t>
      </w:r>
      <w:r w:rsidR="00CF7B69">
        <w:rPr>
          <w:rFonts w:ascii="Century Gothic" w:hAnsi="Century Gothic"/>
          <w:sz w:val="24"/>
          <w:szCs w:val="24"/>
        </w:rPr>
        <w:t xml:space="preserve"> </w:t>
      </w:r>
      <w:r w:rsidR="00CF7B69" w:rsidRPr="00CF7B69">
        <w:rPr>
          <w:rFonts w:ascii="Century Gothic" w:hAnsi="Century Gothic"/>
          <w:sz w:val="24"/>
          <w:szCs w:val="24"/>
        </w:rPr>
        <w:t>registrars</w:t>
      </w:r>
      <w:r w:rsidR="00CF7B69">
        <w:rPr>
          <w:rFonts w:ascii="Century Gothic" w:hAnsi="Century Gothic"/>
          <w:sz w:val="24"/>
          <w:szCs w:val="24"/>
        </w:rPr>
        <w:t xml:space="preserve"> </w:t>
      </w:r>
      <w:r w:rsidR="00CF7B69" w:rsidRPr="00CF7B69">
        <w:rPr>
          <w:rFonts w:ascii="Century Gothic" w:hAnsi="Century Gothic"/>
          <w:sz w:val="24"/>
          <w:szCs w:val="24"/>
        </w:rPr>
        <w:t>were</w:t>
      </w:r>
      <w:r w:rsidR="00CF7B69">
        <w:rPr>
          <w:rFonts w:ascii="Century Gothic" w:hAnsi="Century Gothic"/>
          <w:sz w:val="24"/>
          <w:szCs w:val="24"/>
        </w:rPr>
        <w:t xml:space="preserve"> </w:t>
      </w:r>
      <w:r w:rsidR="00CF7B69" w:rsidRPr="00CF7B69">
        <w:rPr>
          <w:rFonts w:ascii="Century Gothic" w:hAnsi="Century Gothic"/>
          <w:sz w:val="24"/>
          <w:szCs w:val="24"/>
        </w:rPr>
        <w:t>investigated</w:t>
      </w:r>
      <w:r w:rsidR="00CF7B69">
        <w:rPr>
          <w:rFonts w:ascii="Century Gothic" w:hAnsi="Century Gothic"/>
          <w:sz w:val="24"/>
          <w:szCs w:val="24"/>
        </w:rPr>
        <w:t xml:space="preserve"> </w:t>
      </w:r>
      <w:r w:rsidR="00CF7B69" w:rsidRPr="00CF7B69">
        <w:rPr>
          <w:rFonts w:ascii="Century Gothic" w:hAnsi="Century Gothic"/>
          <w:sz w:val="24"/>
          <w:szCs w:val="24"/>
        </w:rPr>
        <w:t>by</w:t>
      </w:r>
      <w:r w:rsidR="00CF7B69">
        <w:rPr>
          <w:rFonts w:ascii="Century Gothic" w:hAnsi="Century Gothic"/>
          <w:sz w:val="24"/>
          <w:szCs w:val="24"/>
        </w:rPr>
        <w:t xml:space="preserve"> </w:t>
      </w:r>
      <w:proofErr w:type="spellStart"/>
      <w:r w:rsidR="00CF7B69" w:rsidRPr="00CF7B69">
        <w:rPr>
          <w:rFonts w:ascii="Century Gothic" w:hAnsi="Century Gothic"/>
          <w:sz w:val="24"/>
          <w:szCs w:val="24"/>
        </w:rPr>
        <w:t>EURid</w:t>
      </w:r>
      <w:proofErr w:type="spellEnd"/>
      <w:r w:rsidR="00CF7B69">
        <w:rPr>
          <w:rFonts w:ascii="Century Gothic" w:hAnsi="Century Gothic"/>
          <w:sz w:val="24"/>
          <w:szCs w:val="24"/>
        </w:rPr>
        <w:t xml:space="preserve"> </w:t>
      </w:r>
      <w:r w:rsidR="00CF7B69" w:rsidRPr="00CF7B69">
        <w:rPr>
          <w:rFonts w:ascii="Century Gothic" w:hAnsi="Century Gothic"/>
          <w:sz w:val="24"/>
          <w:szCs w:val="24"/>
        </w:rPr>
        <w:t>and</w:t>
      </w:r>
      <w:r w:rsidR="00CF7B69">
        <w:rPr>
          <w:rFonts w:ascii="Century Gothic" w:hAnsi="Century Gothic"/>
          <w:sz w:val="24"/>
          <w:szCs w:val="24"/>
        </w:rPr>
        <w:t xml:space="preserve"> </w:t>
      </w:r>
      <w:r w:rsidR="00CF7B69" w:rsidRPr="00CF7B69">
        <w:rPr>
          <w:rFonts w:ascii="Century Gothic" w:hAnsi="Century Gothic"/>
          <w:sz w:val="24"/>
          <w:szCs w:val="24"/>
        </w:rPr>
        <w:t>sued</w:t>
      </w:r>
      <w:r w:rsidR="00CF7B69">
        <w:rPr>
          <w:rFonts w:ascii="Century Gothic" w:hAnsi="Century Gothic"/>
          <w:sz w:val="24"/>
          <w:szCs w:val="24"/>
        </w:rPr>
        <w:t xml:space="preserve"> </w:t>
      </w:r>
      <w:r w:rsidR="00CF7B69" w:rsidRPr="00CF7B69">
        <w:rPr>
          <w:rFonts w:ascii="Century Gothic" w:hAnsi="Century Gothic"/>
          <w:sz w:val="24"/>
          <w:szCs w:val="24"/>
        </w:rPr>
        <w:t>for</w:t>
      </w:r>
      <w:r w:rsidR="00CF7B69">
        <w:rPr>
          <w:rFonts w:ascii="Century Gothic" w:hAnsi="Century Gothic"/>
          <w:sz w:val="24"/>
          <w:szCs w:val="24"/>
        </w:rPr>
        <w:t xml:space="preserve"> </w:t>
      </w:r>
      <w:r w:rsidR="00CF7B69" w:rsidRPr="00CF7B69">
        <w:rPr>
          <w:rFonts w:ascii="Century Gothic" w:hAnsi="Century Gothic"/>
          <w:sz w:val="24"/>
          <w:szCs w:val="24"/>
        </w:rPr>
        <w:t>breach</w:t>
      </w:r>
      <w:r w:rsidR="00CF7B69">
        <w:rPr>
          <w:rFonts w:ascii="Century Gothic" w:hAnsi="Century Gothic"/>
          <w:sz w:val="24"/>
          <w:szCs w:val="24"/>
        </w:rPr>
        <w:t xml:space="preserve"> </w:t>
      </w:r>
      <w:r w:rsidR="00CF7B69" w:rsidRPr="00CF7B69">
        <w:rPr>
          <w:rFonts w:ascii="Century Gothic" w:hAnsi="Century Gothic"/>
          <w:sz w:val="24"/>
          <w:szCs w:val="24"/>
        </w:rPr>
        <w:t>of</w:t>
      </w:r>
      <w:r w:rsidR="00CF7B69">
        <w:rPr>
          <w:rFonts w:ascii="Century Gothic" w:hAnsi="Century Gothic"/>
          <w:sz w:val="24"/>
          <w:szCs w:val="24"/>
        </w:rPr>
        <w:t xml:space="preserve"> </w:t>
      </w:r>
      <w:r w:rsidR="00CF7B69" w:rsidRPr="00CF7B69">
        <w:rPr>
          <w:rFonts w:ascii="Century Gothic" w:hAnsi="Century Gothic"/>
          <w:sz w:val="24"/>
          <w:szCs w:val="24"/>
        </w:rPr>
        <w:t>contract</w:t>
      </w:r>
      <w:r w:rsidR="00CF7B69">
        <w:rPr>
          <w:rFonts w:ascii="Century Gothic" w:hAnsi="Century Gothic"/>
          <w:sz w:val="24"/>
          <w:szCs w:val="24"/>
        </w:rPr>
        <w:t xml:space="preserve"> </w:t>
      </w:r>
      <w:r w:rsidR="00CF7B69" w:rsidRPr="00CF7B69">
        <w:rPr>
          <w:rFonts w:ascii="Century Gothic" w:hAnsi="Century Gothic"/>
          <w:sz w:val="24"/>
          <w:szCs w:val="24"/>
        </w:rPr>
        <w:t>for</w:t>
      </w:r>
      <w:r w:rsidR="00CF7B69">
        <w:rPr>
          <w:rFonts w:ascii="Century Gothic" w:hAnsi="Century Gothic"/>
          <w:sz w:val="24"/>
          <w:szCs w:val="24"/>
        </w:rPr>
        <w:t xml:space="preserve"> </w:t>
      </w:r>
      <w:r w:rsidR="00CF7B69" w:rsidRPr="00CF7B69">
        <w:rPr>
          <w:rFonts w:ascii="Century Gothic" w:hAnsi="Century Gothic"/>
          <w:sz w:val="24"/>
          <w:szCs w:val="24"/>
        </w:rPr>
        <w:t>the</w:t>
      </w:r>
      <w:r w:rsidR="00CF7B69">
        <w:rPr>
          <w:rFonts w:ascii="Century Gothic" w:hAnsi="Century Gothic"/>
          <w:sz w:val="24"/>
          <w:szCs w:val="24"/>
        </w:rPr>
        <w:t xml:space="preserve"> </w:t>
      </w:r>
      <w:r w:rsidR="00CF7B69" w:rsidRPr="00CF7B69">
        <w:rPr>
          <w:rFonts w:ascii="Century Gothic" w:hAnsi="Century Gothic"/>
          <w:sz w:val="24"/>
          <w:szCs w:val="24"/>
        </w:rPr>
        <w:t>abuse.</w:t>
      </w:r>
      <w:r w:rsidR="00CF7B69">
        <w:rPr>
          <w:rStyle w:val="FootnoteReference"/>
          <w:rFonts w:ascii="Century Gothic" w:hAnsi="Century Gothic"/>
          <w:sz w:val="24"/>
          <w:szCs w:val="24"/>
        </w:rPr>
        <w:footnoteReference w:id="27"/>
      </w:r>
      <w:r w:rsidR="00CF7B69" w:rsidRPr="00CF7B69">
        <w:rPr>
          <w:rFonts w:ascii="Century Gothic" w:hAnsi="Century Gothic"/>
          <w:sz w:val="24"/>
          <w:szCs w:val="24"/>
        </w:rPr>
        <w:t xml:space="preserve"> </w:t>
      </w:r>
      <w:r w:rsidR="00CF7B69">
        <w:rPr>
          <w:rFonts w:ascii="Century Gothic" w:hAnsi="Century Gothic"/>
          <w:sz w:val="24"/>
          <w:szCs w:val="24"/>
        </w:rPr>
        <w:t xml:space="preserve"> </w:t>
      </w:r>
      <w:r w:rsidR="00D8755E">
        <w:rPr>
          <w:rFonts w:ascii="Century Gothic" w:hAnsi="Century Gothic"/>
          <w:sz w:val="24"/>
          <w:szCs w:val="24"/>
        </w:rPr>
        <w:t xml:space="preserve">Rampant </w:t>
      </w:r>
      <w:r w:rsidR="004F0D5E">
        <w:rPr>
          <w:rFonts w:ascii="Century Gothic" w:hAnsi="Century Gothic"/>
          <w:sz w:val="24"/>
          <w:szCs w:val="24"/>
        </w:rPr>
        <w:t>manipulations</w:t>
      </w:r>
      <w:r w:rsidR="00D8755E">
        <w:rPr>
          <w:rFonts w:ascii="Century Gothic" w:hAnsi="Century Gothic"/>
          <w:sz w:val="24"/>
          <w:szCs w:val="24"/>
        </w:rPr>
        <w:t xml:space="preserve"> of allocation processes can assuredly be expected in this upcoming new gTLD round</w:t>
      </w:r>
      <w:r w:rsidR="004F0D5E">
        <w:rPr>
          <w:rFonts w:ascii="Century Gothic" w:hAnsi="Century Gothic"/>
          <w:sz w:val="24"/>
          <w:szCs w:val="24"/>
        </w:rPr>
        <w:t xml:space="preserve"> as well (as no controlling policies are</w:t>
      </w:r>
      <w:r w:rsidR="0012172D">
        <w:rPr>
          <w:rFonts w:ascii="Century Gothic" w:hAnsi="Century Gothic"/>
          <w:sz w:val="24"/>
          <w:szCs w:val="24"/>
        </w:rPr>
        <w:t xml:space="preserve"> yet</w:t>
      </w:r>
      <w:r w:rsidR="004F0D5E">
        <w:rPr>
          <w:rFonts w:ascii="Century Gothic" w:hAnsi="Century Gothic"/>
          <w:sz w:val="24"/>
          <w:szCs w:val="24"/>
        </w:rPr>
        <w:t xml:space="preserve"> in place)</w:t>
      </w:r>
      <w:r w:rsidR="00D8755E">
        <w:rPr>
          <w:rFonts w:ascii="Century Gothic" w:hAnsi="Century Gothic"/>
          <w:sz w:val="24"/>
          <w:szCs w:val="24"/>
        </w:rPr>
        <w:t>.</w:t>
      </w:r>
    </w:p>
    <w:p w:rsidR="00730AC6" w:rsidRDefault="00730AC6" w:rsidP="00730AC6"/>
    <w:p w:rsidR="00730AC6" w:rsidRDefault="00387312" w:rsidP="00730AC6">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DEFICIENCIES IN REGISTRATION PROTOCOLS</w:t>
      </w:r>
    </w:p>
    <w:p w:rsidR="00387312" w:rsidRDefault="00387312" w:rsidP="00387312"/>
    <w:p w:rsidR="00387312" w:rsidRPr="00387312" w:rsidRDefault="00387312" w:rsidP="00ED39AD">
      <w:pPr>
        <w:ind w:left="1440"/>
        <w:rPr>
          <w:rFonts w:ascii="Century Gothic" w:hAnsi="Century Gothic"/>
          <w:sz w:val="24"/>
          <w:szCs w:val="24"/>
        </w:rPr>
      </w:pPr>
      <w:r>
        <w:rPr>
          <w:rFonts w:ascii="Century Gothic" w:hAnsi="Century Gothic"/>
          <w:sz w:val="24"/>
          <w:szCs w:val="24"/>
        </w:rPr>
        <w:t xml:space="preserve">The earlier “Proof of Concept” TLD launch was fraught with deficiencies </w:t>
      </w:r>
      <w:r w:rsidR="00ED39AD">
        <w:rPr>
          <w:rFonts w:ascii="Century Gothic" w:hAnsi="Century Gothic"/>
          <w:sz w:val="24"/>
          <w:szCs w:val="24"/>
        </w:rPr>
        <w:t>that could, through</w:t>
      </w:r>
      <w:r w:rsidR="00EE5707">
        <w:rPr>
          <w:rFonts w:ascii="Century Gothic" w:hAnsi="Century Gothic"/>
          <w:sz w:val="24"/>
          <w:szCs w:val="24"/>
        </w:rPr>
        <w:t xml:space="preserve"> the</w:t>
      </w:r>
      <w:r w:rsidR="00ED39AD">
        <w:rPr>
          <w:rFonts w:ascii="Century Gothic" w:hAnsi="Century Gothic"/>
          <w:sz w:val="24"/>
          <w:szCs w:val="24"/>
        </w:rPr>
        <w:t xml:space="preserve"> ignorance</w:t>
      </w:r>
      <w:r w:rsidR="00EE5707">
        <w:rPr>
          <w:rFonts w:ascii="Century Gothic" w:hAnsi="Century Gothic"/>
          <w:sz w:val="24"/>
          <w:szCs w:val="24"/>
        </w:rPr>
        <w:t xml:space="preserve"> of new TLD operators</w:t>
      </w:r>
      <w:r w:rsidR="00ED39AD">
        <w:rPr>
          <w:rFonts w:ascii="Century Gothic" w:hAnsi="Century Gothic"/>
          <w:sz w:val="24"/>
          <w:szCs w:val="24"/>
        </w:rPr>
        <w:t xml:space="preserve">, </w:t>
      </w:r>
      <w:r w:rsidR="006B2050">
        <w:rPr>
          <w:rFonts w:ascii="Century Gothic" w:hAnsi="Century Gothic"/>
          <w:sz w:val="24"/>
          <w:szCs w:val="24"/>
        </w:rPr>
        <w:t xml:space="preserve">be </w:t>
      </w:r>
      <w:r w:rsidR="00ED39AD">
        <w:rPr>
          <w:rFonts w:ascii="Century Gothic" w:hAnsi="Century Gothic"/>
          <w:sz w:val="24"/>
          <w:szCs w:val="24"/>
        </w:rPr>
        <w:t xml:space="preserve">replicated in the upcoming round.  As </w:t>
      </w:r>
      <w:r w:rsidR="00EE5707">
        <w:rPr>
          <w:rFonts w:ascii="Century Gothic" w:hAnsi="Century Gothic"/>
          <w:sz w:val="24"/>
          <w:szCs w:val="24"/>
        </w:rPr>
        <w:t>but one</w:t>
      </w:r>
      <w:r w:rsidR="00ED39AD">
        <w:rPr>
          <w:rFonts w:ascii="Century Gothic" w:hAnsi="Century Gothic"/>
          <w:sz w:val="24"/>
          <w:szCs w:val="24"/>
        </w:rPr>
        <w:t xml:space="preserve"> example, </w:t>
      </w:r>
      <w:r w:rsidRPr="00387312">
        <w:rPr>
          <w:rFonts w:ascii="Century Gothic" w:hAnsi="Century Gothic"/>
          <w:sz w:val="24"/>
          <w:szCs w:val="24"/>
        </w:rPr>
        <w:t>Afilias acknowledged that shortly after</w:t>
      </w:r>
      <w:r>
        <w:rPr>
          <w:rFonts w:ascii="Century Gothic" w:hAnsi="Century Gothic"/>
          <w:sz w:val="24"/>
          <w:szCs w:val="24"/>
        </w:rPr>
        <w:t xml:space="preserve"> </w:t>
      </w:r>
      <w:r w:rsidRPr="00387312">
        <w:rPr>
          <w:rFonts w:ascii="Century Gothic" w:hAnsi="Century Gothic"/>
          <w:sz w:val="24"/>
          <w:szCs w:val="24"/>
        </w:rPr>
        <w:t>Sunrise began it became evident “third parties were seeking to</w:t>
      </w:r>
      <w:r>
        <w:rPr>
          <w:rFonts w:ascii="Century Gothic" w:hAnsi="Century Gothic"/>
          <w:sz w:val="24"/>
          <w:szCs w:val="24"/>
        </w:rPr>
        <w:t xml:space="preserve"> </w:t>
      </w:r>
      <w:r w:rsidRPr="00387312">
        <w:rPr>
          <w:rFonts w:ascii="Century Gothic" w:hAnsi="Century Gothic"/>
          <w:sz w:val="24"/>
          <w:szCs w:val="24"/>
        </w:rPr>
        <w:t>circumvent the provisions of the Sunrise Period requirements as well as the</w:t>
      </w:r>
      <w:r>
        <w:rPr>
          <w:rFonts w:ascii="Century Gothic" w:hAnsi="Century Gothic"/>
          <w:sz w:val="24"/>
          <w:szCs w:val="24"/>
        </w:rPr>
        <w:t xml:space="preserve"> </w:t>
      </w:r>
      <w:r w:rsidRPr="00387312">
        <w:rPr>
          <w:rFonts w:ascii="Century Gothic" w:hAnsi="Century Gothic"/>
          <w:sz w:val="24"/>
          <w:szCs w:val="24"/>
        </w:rPr>
        <w:t>intent and spirit thereof by inappropriately registering domain names with no</w:t>
      </w:r>
      <w:r>
        <w:rPr>
          <w:rFonts w:ascii="Century Gothic" w:hAnsi="Century Gothic"/>
          <w:sz w:val="24"/>
          <w:szCs w:val="24"/>
        </w:rPr>
        <w:t xml:space="preserve"> </w:t>
      </w:r>
      <w:r w:rsidRPr="00387312">
        <w:rPr>
          <w:rFonts w:ascii="Century Gothic" w:hAnsi="Century Gothic"/>
          <w:sz w:val="24"/>
          <w:szCs w:val="24"/>
        </w:rPr>
        <w:t>corres</w:t>
      </w:r>
      <w:r>
        <w:rPr>
          <w:rFonts w:ascii="Century Gothic" w:hAnsi="Century Gothic"/>
          <w:sz w:val="24"/>
          <w:szCs w:val="24"/>
        </w:rPr>
        <w:t>ponding qualified trademark.”</w:t>
      </w:r>
      <w:r w:rsidR="00ED39AD">
        <w:rPr>
          <w:rFonts w:ascii="Century Gothic" w:hAnsi="Century Gothic"/>
          <w:sz w:val="24"/>
          <w:szCs w:val="24"/>
        </w:rPr>
        <w:t xml:space="preserve">  </w:t>
      </w:r>
      <w:r w:rsidR="00ED39AD" w:rsidRPr="00ED39AD">
        <w:rPr>
          <w:rFonts w:ascii="Century Gothic" w:hAnsi="Century Gothic"/>
          <w:sz w:val="24"/>
          <w:szCs w:val="24"/>
        </w:rPr>
        <w:t xml:space="preserve">In hindsight, it is obvious that </w:t>
      </w:r>
      <w:r w:rsidR="00ED39AD">
        <w:rPr>
          <w:rFonts w:ascii="Century Gothic" w:hAnsi="Century Gothic"/>
          <w:sz w:val="24"/>
          <w:szCs w:val="24"/>
        </w:rPr>
        <w:t>g</w:t>
      </w:r>
      <w:r w:rsidR="00ED39AD" w:rsidRPr="00ED39AD">
        <w:rPr>
          <w:rFonts w:ascii="Century Gothic" w:hAnsi="Century Gothic"/>
          <w:sz w:val="24"/>
          <w:szCs w:val="24"/>
        </w:rPr>
        <w:t>reater</w:t>
      </w:r>
      <w:r w:rsidR="00ED39AD">
        <w:rPr>
          <w:rFonts w:ascii="Century Gothic" w:hAnsi="Century Gothic"/>
          <w:sz w:val="24"/>
          <w:szCs w:val="24"/>
        </w:rPr>
        <w:t xml:space="preserve"> </w:t>
      </w:r>
      <w:r w:rsidR="00ED39AD" w:rsidRPr="00ED39AD">
        <w:rPr>
          <w:rFonts w:ascii="Century Gothic" w:hAnsi="Century Gothic"/>
          <w:sz w:val="24"/>
          <w:szCs w:val="24"/>
        </w:rPr>
        <w:t>attention to the challenge of conducting a Sunrise registration during start-up</w:t>
      </w:r>
      <w:r w:rsidR="00ED39AD">
        <w:rPr>
          <w:rFonts w:ascii="Century Gothic" w:hAnsi="Century Gothic"/>
          <w:sz w:val="24"/>
          <w:szCs w:val="24"/>
        </w:rPr>
        <w:t xml:space="preserve"> </w:t>
      </w:r>
      <w:r w:rsidR="00ED39AD" w:rsidRPr="00ED39AD">
        <w:rPr>
          <w:rFonts w:ascii="Century Gothic" w:hAnsi="Century Gothic"/>
          <w:sz w:val="24"/>
          <w:szCs w:val="24"/>
        </w:rPr>
        <w:t>planning could have reduced the ease with which people were able to circumvent</w:t>
      </w:r>
      <w:r w:rsidR="00ED39AD">
        <w:rPr>
          <w:rFonts w:ascii="Century Gothic" w:hAnsi="Century Gothic"/>
          <w:sz w:val="24"/>
          <w:szCs w:val="24"/>
        </w:rPr>
        <w:t xml:space="preserve"> </w:t>
      </w:r>
      <w:r w:rsidR="00ED39AD" w:rsidRPr="00ED39AD">
        <w:rPr>
          <w:rFonts w:ascii="Century Gothic" w:hAnsi="Century Gothic"/>
          <w:sz w:val="24"/>
          <w:szCs w:val="24"/>
        </w:rPr>
        <w:t>the requirements.</w:t>
      </w:r>
      <w:r w:rsidR="00ED39AD">
        <w:rPr>
          <w:rStyle w:val="FootnoteReference"/>
          <w:rFonts w:ascii="Century Gothic" w:hAnsi="Century Gothic"/>
          <w:sz w:val="24"/>
          <w:szCs w:val="24"/>
        </w:rPr>
        <w:footnoteReference w:id="28"/>
      </w:r>
      <w:r w:rsidR="00ED39AD">
        <w:rPr>
          <w:rFonts w:ascii="Century Gothic" w:hAnsi="Century Gothic"/>
          <w:sz w:val="24"/>
          <w:szCs w:val="24"/>
        </w:rPr>
        <w:t xml:space="preserve">  We probably won’t know until it’s too late if new registry </w:t>
      </w:r>
      <w:r w:rsidR="002D2DFD">
        <w:rPr>
          <w:rFonts w:ascii="Century Gothic" w:hAnsi="Century Gothic"/>
          <w:sz w:val="24"/>
          <w:szCs w:val="24"/>
        </w:rPr>
        <w:t>applicants</w:t>
      </w:r>
      <w:r w:rsidR="00ED39AD">
        <w:rPr>
          <w:rFonts w:ascii="Century Gothic" w:hAnsi="Century Gothic"/>
          <w:sz w:val="24"/>
          <w:szCs w:val="24"/>
        </w:rPr>
        <w:t xml:space="preserve"> </w:t>
      </w:r>
      <w:r w:rsidR="00F85D45">
        <w:rPr>
          <w:rFonts w:ascii="Century Gothic" w:hAnsi="Century Gothic"/>
          <w:sz w:val="24"/>
          <w:szCs w:val="24"/>
        </w:rPr>
        <w:t>are even aware of</w:t>
      </w:r>
      <w:r w:rsidR="00ED39AD">
        <w:rPr>
          <w:rFonts w:ascii="Century Gothic" w:hAnsi="Century Gothic"/>
          <w:sz w:val="24"/>
          <w:szCs w:val="24"/>
        </w:rPr>
        <w:t xml:space="preserve"> this lesson.</w:t>
      </w:r>
    </w:p>
    <w:p w:rsidR="00AA2F84" w:rsidRDefault="00AA2F84" w:rsidP="00AA2F84"/>
    <w:p w:rsidR="00730AC6" w:rsidRDefault="00730AC6" w:rsidP="00730AC6">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BEHAVIORS ACCOMPANYING</w:t>
      </w:r>
      <w:r w:rsidRPr="00730AC6">
        <w:rPr>
          <w:rFonts w:ascii="Century Gothic" w:hAnsi="Century Gothic"/>
          <w:color w:val="17365D" w:themeColor="text2" w:themeShade="BF"/>
          <w:sz w:val="24"/>
          <w:szCs w:val="24"/>
        </w:rPr>
        <w:t xml:space="preserve"> REGISTRAR FAILURE</w:t>
      </w:r>
      <w:r w:rsidR="000305F1">
        <w:rPr>
          <w:rFonts w:ascii="Century Gothic" w:hAnsi="Century Gothic"/>
          <w:color w:val="17365D" w:themeColor="text2" w:themeShade="BF"/>
          <w:sz w:val="24"/>
          <w:szCs w:val="24"/>
        </w:rPr>
        <w:t>S</w:t>
      </w:r>
    </w:p>
    <w:p w:rsidR="00FA501E" w:rsidRDefault="00FA501E" w:rsidP="00FA501E"/>
    <w:p w:rsidR="00730AC6" w:rsidRPr="001C0F7B" w:rsidRDefault="00D731B7" w:rsidP="001C0F7B">
      <w:pPr>
        <w:ind w:left="1440"/>
        <w:rPr>
          <w:rFonts w:ascii="Century Gothic" w:hAnsi="Century Gothic"/>
          <w:sz w:val="24"/>
          <w:szCs w:val="24"/>
        </w:rPr>
      </w:pPr>
      <w:r>
        <w:rPr>
          <w:rFonts w:ascii="Century Gothic" w:hAnsi="Century Gothic"/>
          <w:sz w:val="24"/>
          <w:szCs w:val="24"/>
        </w:rPr>
        <w:t>Some</w:t>
      </w:r>
      <w:r w:rsidR="001C0F7B">
        <w:rPr>
          <w:rFonts w:ascii="Century Gothic" w:hAnsi="Century Gothic"/>
          <w:sz w:val="24"/>
          <w:szCs w:val="24"/>
        </w:rPr>
        <w:t xml:space="preserve"> insufficiently capitalized registrar entities might not survive the </w:t>
      </w:r>
      <w:r w:rsidR="00F6566A">
        <w:rPr>
          <w:rFonts w:ascii="Century Gothic" w:hAnsi="Century Gothic"/>
          <w:sz w:val="24"/>
          <w:szCs w:val="24"/>
        </w:rPr>
        <w:t xml:space="preserve">new vertical integration environment.   What then can the public expect when a registrar begins to fail?  </w:t>
      </w:r>
      <w:r>
        <w:rPr>
          <w:rFonts w:ascii="Century Gothic" w:hAnsi="Century Gothic"/>
          <w:sz w:val="24"/>
          <w:szCs w:val="24"/>
        </w:rPr>
        <w:t xml:space="preserve">For starters, registrars have already learned that they can engage in cybersquatting activities for quite a period of time before being slapped on the wrist by ICANN’s woefully understaffed Compliance Department.  They also know that there are no penalties currently applied to any front-running activities.  </w:t>
      </w:r>
      <w:r w:rsidR="00F458D5">
        <w:rPr>
          <w:rFonts w:ascii="Century Gothic" w:hAnsi="Century Gothic"/>
          <w:sz w:val="24"/>
          <w:szCs w:val="24"/>
        </w:rPr>
        <w:t>In due course</w:t>
      </w:r>
      <w:r>
        <w:rPr>
          <w:rFonts w:ascii="Century Gothic" w:hAnsi="Century Gothic"/>
          <w:sz w:val="24"/>
          <w:szCs w:val="24"/>
        </w:rPr>
        <w:t xml:space="preserve">, those </w:t>
      </w:r>
      <w:r w:rsidR="00F458D5">
        <w:rPr>
          <w:rFonts w:ascii="Century Gothic" w:hAnsi="Century Gothic"/>
          <w:sz w:val="24"/>
          <w:szCs w:val="24"/>
        </w:rPr>
        <w:t xml:space="preserve">registrars </w:t>
      </w:r>
      <w:r>
        <w:rPr>
          <w:rFonts w:ascii="Century Gothic" w:hAnsi="Century Gothic"/>
          <w:sz w:val="24"/>
          <w:szCs w:val="24"/>
        </w:rPr>
        <w:t>that are more ethically challenged will likely first attempt to save their failing enterprises through domain name monetization/cybersquatting activities.  Should such efforts be unsuccessful</w:t>
      </w:r>
      <w:r w:rsidR="00F6566A">
        <w:rPr>
          <w:rFonts w:ascii="Century Gothic" w:hAnsi="Century Gothic"/>
          <w:sz w:val="24"/>
          <w:szCs w:val="24"/>
        </w:rPr>
        <w:t xml:space="preserve">, </w:t>
      </w:r>
      <w:r>
        <w:rPr>
          <w:rFonts w:ascii="Century Gothic" w:hAnsi="Century Gothic"/>
          <w:sz w:val="24"/>
          <w:szCs w:val="24"/>
        </w:rPr>
        <w:t xml:space="preserve">one can next expect that </w:t>
      </w:r>
      <w:r w:rsidR="00F6566A">
        <w:rPr>
          <w:rFonts w:ascii="Century Gothic" w:hAnsi="Century Gothic"/>
          <w:sz w:val="24"/>
          <w:szCs w:val="24"/>
        </w:rPr>
        <w:t xml:space="preserve">customer service will disappear, transfer-out requests will not be honored, auth-code requests will be ignored and customers may well be defrauded.  The </w:t>
      </w:r>
      <w:r w:rsidR="00F458D5">
        <w:rPr>
          <w:rFonts w:ascii="Century Gothic" w:hAnsi="Century Gothic"/>
          <w:sz w:val="24"/>
          <w:szCs w:val="24"/>
        </w:rPr>
        <w:t>RegisterFly</w:t>
      </w:r>
      <w:r w:rsidR="00F6566A">
        <w:rPr>
          <w:rFonts w:ascii="Century Gothic" w:hAnsi="Century Gothic"/>
          <w:sz w:val="24"/>
          <w:szCs w:val="24"/>
        </w:rPr>
        <w:t xml:space="preserve"> debacle made all of this abundantly clear.</w:t>
      </w:r>
      <w:r w:rsidR="00F6566A">
        <w:rPr>
          <w:rStyle w:val="FootnoteReference"/>
          <w:rFonts w:ascii="Century Gothic" w:hAnsi="Century Gothic"/>
          <w:sz w:val="24"/>
          <w:szCs w:val="24"/>
        </w:rPr>
        <w:footnoteReference w:id="29"/>
      </w:r>
      <w:r w:rsidR="00F6566A">
        <w:rPr>
          <w:rFonts w:ascii="Century Gothic" w:hAnsi="Century Gothic"/>
          <w:sz w:val="24"/>
          <w:szCs w:val="24"/>
        </w:rPr>
        <w:t xml:space="preserve">  </w:t>
      </w:r>
    </w:p>
    <w:p w:rsidR="00F458D5" w:rsidRDefault="00F458D5" w:rsidP="00F458D5"/>
    <w:p w:rsidR="00F458D5" w:rsidRDefault="00F458D5" w:rsidP="00F458D5"/>
    <w:p w:rsidR="00730AC6" w:rsidRDefault="00730AC6" w:rsidP="00730AC6">
      <w:pPr>
        <w:pStyle w:val="Heading2"/>
        <w:numPr>
          <w:ilvl w:val="0"/>
          <w:numId w:val="2"/>
        </w:numPr>
        <w:rPr>
          <w:rFonts w:ascii="Century Gothic" w:hAnsi="Century Gothic"/>
          <w:color w:val="17365D" w:themeColor="text2" w:themeShade="BF"/>
          <w:sz w:val="24"/>
          <w:szCs w:val="24"/>
        </w:rPr>
      </w:pPr>
      <w:r w:rsidRPr="00730AC6">
        <w:rPr>
          <w:rFonts w:ascii="Century Gothic" w:hAnsi="Century Gothic"/>
          <w:color w:val="17365D" w:themeColor="text2" w:themeShade="BF"/>
          <w:sz w:val="24"/>
          <w:szCs w:val="24"/>
        </w:rPr>
        <w:t>BEHAVIORS ASSOCIATED WITH REGISTRY FAILURES</w:t>
      </w:r>
    </w:p>
    <w:p w:rsidR="00730AC6" w:rsidRDefault="00730AC6" w:rsidP="00730AC6"/>
    <w:p w:rsidR="00CC1BD8" w:rsidRDefault="00CC1BD8" w:rsidP="00F458D5">
      <w:pPr>
        <w:ind w:left="1440"/>
        <w:rPr>
          <w:rFonts w:ascii="Century Gothic" w:hAnsi="Century Gothic"/>
          <w:sz w:val="24"/>
          <w:szCs w:val="24"/>
        </w:rPr>
      </w:pPr>
      <w:r>
        <w:rPr>
          <w:rFonts w:ascii="Century Gothic" w:hAnsi="Century Gothic"/>
          <w:sz w:val="24"/>
          <w:szCs w:val="24"/>
        </w:rPr>
        <w:t xml:space="preserve">It is inevitable that some new registry operations will fail, and such failures will have attendant consequences.  We have recently noted the disconcerting behaviors of one registry that has lost over 100,000 registrations in the last year… </w:t>
      </w:r>
      <w:r w:rsidR="00FA5FEB">
        <w:rPr>
          <w:rFonts w:ascii="Century Gothic" w:hAnsi="Century Gothic"/>
          <w:sz w:val="24"/>
          <w:szCs w:val="24"/>
        </w:rPr>
        <w:t xml:space="preserve">this entity has </w:t>
      </w:r>
      <w:r w:rsidR="00681062">
        <w:rPr>
          <w:rFonts w:ascii="Century Gothic" w:hAnsi="Century Gothic"/>
          <w:sz w:val="24"/>
          <w:szCs w:val="24"/>
        </w:rPr>
        <w:t xml:space="preserve">recently </w:t>
      </w:r>
      <w:r w:rsidR="00FA5FEB">
        <w:rPr>
          <w:rFonts w:ascii="Century Gothic" w:hAnsi="Century Gothic"/>
          <w:sz w:val="24"/>
          <w:szCs w:val="24"/>
        </w:rPr>
        <w:t xml:space="preserve">convinced its sponsoring community to amend its Charter to allow for a new industry sector (that sector – content provisioning -- just happens to coincide with the business activities of the son-in-law of one of the registry owners who is now aggressively monetizing the namespace to turn it into even more of a billboard strewn junkyard than it is already).  Of course, the registry has revised its </w:t>
      </w:r>
      <w:r w:rsidR="00FA5FEB" w:rsidRPr="00FA5FEB">
        <w:rPr>
          <w:rFonts w:ascii="Century Gothic" w:hAnsi="Century Gothic"/>
          <w:sz w:val="24"/>
          <w:szCs w:val="24"/>
        </w:rPr>
        <w:t>name use policy to put in place</w:t>
      </w:r>
      <w:r w:rsidR="00FA5FEB">
        <w:rPr>
          <w:rFonts w:ascii="Century Gothic" w:hAnsi="Century Gothic"/>
          <w:sz w:val="24"/>
          <w:szCs w:val="24"/>
        </w:rPr>
        <w:t xml:space="preserve"> additional</w:t>
      </w:r>
      <w:r w:rsidR="00FA5FEB" w:rsidRPr="00FA5FEB">
        <w:rPr>
          <w:rFonts w:ascii="Century Gothic" w:hAnsi="Century Gothic"/>
          <w:sz w:val="24"/>
          <w:szCs w:val="24"/>
        </w:rPr>
        <w:t xml:space="preserve"> incentives</w:t>
      </w:r>
      <w:r w:rsidR="00FA5FEB">
        <w:rPr>
          <w:rFonts w:ascii="Century Gothic" w:hAnsi="Century Gothic"/>
          <w:sz w:val="24"/>
          <w:szCs w:val="24"/>
        </w:rPr>
        <w:t xml:space="preserve"> for name use</w:t>
      </w:r>
      <w:r w:rsidR="00FA5FEB" w:rsidRPr="00FA5FEB">
        <w:rPr>
          <w:rFonts w:ascii="Century Gothic" w:hAnsi="Century Gothic"/>
          <w:sz w:val="24"/>
          <w:szCs w:val="24"/>
        </w:rPr>
        <w:t>.</w:t>
      </w:r>
    </w:p>
    <w:p w:rsidR="00CC1BD8" w:rsidRPr="00F458D5" w:rsidRDefault="00CC1BD8" w:rsidP="00F458D5">
      <w:pPr>
        <w:ind w:left="1440"/>
        <w:rPr>
          <w:rFonts w:ascii="Century Gothic" w:hAnsi="Century Gothic"/>
          <w:sz w:val="24"/>
          <w:szCs w:val="24"/>
        </w:rPr>
      </w:pPr>
    </w:p>
    <w:p w:rsidR="00730AC6" w:rsidRDefault="00886BB0" w:rsidP="00730AC6">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 xml:space="preserve">ICANN </w:t>
      </w:r>
      <w:r w:rsidR="000305F1">
        <w:rPr>
          <w:rFonts w:ascii="Century Gothic" w:hAnsi="Century Gothic"/>
          <w:color w:val="17365D" w:themeColor="text2" w:themeShade="BF"/>
          <w:sz w:val="24"/>
          <w:szCs w:val="24"/>
        </w:rPr>
        <w:t>COMPLIANCE DEPARTMENT ISSUES</w:t>
      </w:r>
    </w:p>
    <w:p w:rsidR="00562E52" w:rsidRDefault="00562E52" w:rsidP="00562E52"/>
    <w:p w:rsidR="00985834" w:rsidRDefault="00681062" w:rsidP="00681062">
      <w:pPr>
        <w:ind w:left="1440"/>
        <w:rPr>
          <w:rFonts w:ascii="Century Gothic" w:hAnsi="Century Gothic"/>
          <w:sz w:val="24"/>
          <w:szCs w:val="24"/>
        </w:rPr>
      </w:pPr>
      <w:r>
        <w:rPr>
          <w:rFonts w:ascii="Century Gothic" w:hAnsi="Century Gothic"/>
          <w:sz w:val="24"/>
          <w:szCs w:val="24"/>
        </w:rPr>
        <w:t xml:space="preserve">Although ICANN’s plan calls for going from a handful of current gTLDs to hundreds, ICANN’s Compliance Department remains at last year’s FTE staffing levels.  </w:t>
      </w:r>
      <w:r w:rsidR="00D365AE">
        <w:rPr>
          <w:rFonts w:ascii="Century Gothic" w:hAnsi="Century Gothic"/>
          <w:sz w:val="24"/>
          <w:szCs w:val="24"/>
        </w:rPr>
        <w:t xml:space="preserve">Making matters worse is the fact that the most heinous of offenses, cybersquatting, front-running and such, are not enforced by this department; instead they have invoked clauses such as 5.4 in the Registrar Accreditation Agreement to justify the contract renewal of ICANN’s most notorious cybersquatting registrar and have used the “cooperative engagement” clauses in registry contracts to </w:t>
      </w:r>
      <w:r w:rsidR="00985834">
        <w:rPr>
          <w:rFonts w:ascii="Century Gothic" w:hAnsi="Century Gothic"/>
          <w:sz w:val="24"/>
          <w:szCs w:val="24"/>
        </w:rPr>
        <w:t xml:space="preserve">conveniently dispose of registry-related cybersquatting activities.  There are no sanctions, there are no penalties, nor are there any prospects for terminating the contracts of those who most flagrantly abuse our societal norms.  As issues next begin to emanate from ICANN’s shell registrar community in the upcoming new gTLD launch, you can rest assured that you will be told that ICANN has no policies in place that prohibit the practice of shell accreditations.  </w:t>
      </w:r>
      <w:r w:rsidR="00CD7A6A">
        <w:rPr>
          <w:rFonts w:ascii="Century Gothic" w:hAnsi="Century Gothic"/>
          <w:sz w:val="24"/>
          <w:szCs w:val="24"/>
        </w:rPr>
        <w:t>Finally, as substantive revisions to the RAA are still not in place, the ICANN Compliance Department will lack the tools necessary to better protect the public interest.</w:t>
      </w:r>
    </w:p>
    <w:p w:rsidR="00985834" w:rsidRPr="00681062" w:rsidRDefault="00985834" w:rsidP="00681062">
      <w:pPr>
        <w:ind w:left="1440"/>
        <w:rPr>
          <w:rFonts w:ascii="Century Gothic" w:hAnsi="Century Gothic"/>
          <w:sz w:val="24"/>
          <w:szCs w:val="24"/>
        </w:rPr>
      </w:pPr>
    </w:p>
    <w:p w:rsidR="00562E52" w:rsidRDefault="000305F1" w:rsidP="00562E52">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VERTICAL INTEGRATION ISSUES</w:t>
      </w:r>
    </w:p>
    <w:p w:rsidR="009803B1" w:rsidRDefault="009803B1" w:rsidP="009803B1"/>
    <w:p w:rsidR="009803B1" w:rsidRPr="00FA501E" w:rsidRDefault="009803B1" w:rsidP="001C0F7B">
      <w:pPr>
        <w:ind w:left="1440"/>
        <w:rPr>
          <w:rFonts w:ascii="Century Gothic" w:hAnsi="Century Gothic"/>
          <w:sz w:val="24"/>
          <w:szCs w:val="24"/>
        </w:rPr>
      </w:pPr>
      <w:r>
        <w:rPr>
          <w:rFonts w:ascii="Century Gothic" w:hAnsi="Century Gothic"/>
          <w:sz w:val="24"/>
          <w:szCs w:val="24"/>
        </w:rPr>
        <w:t>There exists a widely acknowledged penchant for “gaming” in the domain name industry.  Writing on this topic in a joint letter penned by Afilias, PIR and Neustar, the authors state</w:t>
      </w:r>
      <w:r w:rsidR="001C0F7B">
        <w:rPr>
          <w:rFonts w:ascii="Century Gothic" w:hAnsi="Century Gothic"/>
          <w:sz w:val="24"/>
          <w:szCs w:val="24"/>
        </w:rPr>
        <w:t>d</w:t>
      </w:r>
      <w:r>
        <w:rPr>
          <w:rFonts w:ascii="Century Gothic" w:hAnsi="Century Gothic"/>
          <w:sz w:val="24"/>
          <w:szCs w:val="24"/>
        </w:rPr>
        <w:t>:  “</w:t>
      </w:r>
      <w:r w:rsidRPr="009803B1">
        <w:rPr>
          <w:rFonts w:ascii="Century Gothic" w:hAnsi="Century Gothic"/>
          <w:sz w:val="24"/>
          <w:szCs w:val="24"/>
        </w:rPr>
        <w:t>We maintain that the current</w:t>
      </w:r>
      <w:r w:rsidR="001C0F7B">
        <w:rPr>
          <w:rFonts w:ascii="Century Gothic" w:hAnsi="Century Gothic"/>
          <w:sz w:val="24"/>
          <w:szCs w:val="24"/>
        </w:rPr>
        <w:t xml:space="preserve"> </w:t>
      </w:r>
      <w:r w:rsidRPr="009803B1">
        <w:rPr>
          <w:rFonts w:ascii="Century Gothic" w:hAnsi="Century Gothic"/>
          <w:sz w:val="24"/>
          <w:szCs w:val="24"/>
        </w:rPr>
        <w:t>restraint against a registry distributing its own TLD should be maintained to avoid</w:t>
      </w:r>
      <w:r w:rsidR="001C0F7B">
        <w:rPr>
          <w:rFonts w:ascii="Century Gothic" w:hAnsi="Century Gothic"/>
          <w:sz w:val="24"/>
          <w:szCs w:val="24"/>
        </w:rPr>
        <w:t xml:space="preserve"> </w:t>
      </w:r>
      <w:r w:rsidRPr="009803B1">
        <w:rPr>
          <w:rFonts w:ascii="Century Gothic" w:hAnsi="Century Gothic"/>
          <w:sz w:val="24"/>
          <w:szCs w:val="24"/>
        </w:rPr>
        <w:t>creating incentives to abuse registry data and to protect the registrants and other</w:t>
      </w:r>
      <w:r w:rsidR="001C0F7B">
        <w:rPr>
          <w:rFonts w:ascii="Century Gothic" w:hAnsi="Century Gothic"/>
          <w:sz w:val="24"/>
          <w:szCs w:val="24"/>
        </w:rPr>
        <w:t xml:space="preserve"> </w:t>
      </w:r>
      <w:r w:rsidRPr="009803B1">
        <w:rPr>
          <w:rFonts w:ascii="Century Gothic" w:hAnsi="Century Gothic"/>
          <w:sz w:val="24"/>
          <w:szCs w:val="24"/>
        </w:rPr>
        <w:t>registrars from unfair gaming of the registration system.</w:t>
      </w:r>
      <w:r w:rsidR="001C0F7B">
        <w:rPr>
          <w:rFonts w:ascii="Century Gothic" w:hAnsi="Century Gothic"/>
          <w:sz w:val="24"/>
          <w:szCs w:val="24"/>
        </w:rPr>
        <w:t>”</w:t>
      </w:r>
      <w:r w:rsidR="001C0F7B">
        <w:rPr>
          <w:rStyle w:val="FootnoteReference"/>
          <w:rFonts w:ascii="Century Gothic" w:hAnsi="Century Gothic"/>
          <w:sz w:val="24"/>
          <w:szCs w:val="24"/>
        </w:rPr>
        <w:footnoteReference w:id="30"/>
      </w:r>
      <w:r w:rsidR="001C0F7B">
        <w:rPr>
          <w:rFonts w:ascii="Century Gothic" w:hAnsi="Century Gothic"/>
          <w:sz w:val="24"/>
          <w:szCs w:val="24"/>
        </w:rPr>
        <w:t xml:space="preserve">  If three of the largest registries believe that gaming will necessarily occur, you can probably take that assertion to the bank.  How will registrants be hurt?  “</w:t>
      </w:r>
      <w:r w:rsidR="001C0F7B" w:rsidRPr="001C0F7B">
        <w:rPr>
          <w:rFonts w:ascii="Century Gothic" w:hAnsi="Century Gothic"/>
          <w:sz w:val="24"/>
          <w:szCs w:val="24"/>
        </w:rPr>
        <w:t>Clearly, registrants may be harmed by an integrated registry/registrar operation’s</w:t>
      </w:r>
      <w:r w:rsidR="001C0F7B">
        <w:rPr>
          <w:rFonts w:ascii="Century Gothic" w:hAnsi="Century Gothic"/>
          <w:sz w:val="24"/>
          <w:szCs w:val="24"/>
        </w:rPr>
        <w:t xml:space="preserve"> </w:t>
      </w:r>
      <w:r w:rsidR="001C0F7B" w:rsidRPr="001C0F7B">
        <w:rPr>
          <w:rFonts w:ascii="Century Gothic" w:hAnsi="Century Gothic"/>
          <w:sz w:val="24"/>
          <w:szCs w:val="24"/>
        </w:rPr>
        <w:t>ability to identify high value domains, hold those domains off the market (either</w:t>
      </w:r>
      <w:r w:rsidR="001C0F7B">
        <w:rPr>
          <w:rFonts w:ascii="Century Gothic" w:hAnsi="Century Gothic"/>
          <w:sz w:val="24"/>
          <w:szCs w:val="24"/>
        </w:rPr>
        <w:t xml:space="preserve"> </w:t>
      </w:r>
      <w:r w:rsidR="001C0F7B" w:rsidRPr="001C0F7B">
        <w:rPr>
          <w:rFonts w:ascii="Century Gothic" w:hAnsi="Century Gothic"/>
          <w:sz w:val="24"/>
          <w:szCs w:val="24"/>
        </w:rPr>
        <w:t>directly or through affiliates) and to then monetize them at a premium price. These practices, in</w:t>
      </w:r>
      <w:r w:rsidR="001C0F7B">
        <w:rPr>
          <w:rFonts w:ascii="Century Gothic" w:hAnsi="Century Gothic"/>
          <w:sz w:val="24"/>
          <w:szCs w:val="24"/>
        </w:rPr>
        <w:t xml:space="preserve"> </w:t>
      </w:r>
      <w:r w:rsidR="001C0F7B" w:rsidRPr="001C0F7B">
        <w:rPr>
          <w:rFonts w:ascii="Century Gothic" w:hAnsi="Century Gothic"/>
          <w:sz w:val="24"/>
          <w:szCs w:val="24"/>
        </w:rPr>
        <w:t>their various forms, are the equivalent of domain name scalping where a registrant is</w:t>
      </w:r>
      <w:r w:rsidR="001C0F7B">
        <w:rPr>
          <w:rFonts w:ascii="Century Gothic" w:hAnsi="Century Gothic"/>
          <w:sz w:val="24"/>
          <w:szCs w:val="24"/>
        </w:rPr>
        <w:t xml:space="preserve"> </w:t>
      </w:r>
      <w:r w:rsidR="001C0F7B" w:rsidRPr="001C0F7B">
        <w:rPr>
          <w:rFonts w:ascii="Century Gothic" w:hAnsi="Century Gothic"/>
          <w:sz w:val="24"/>
          <w:szCs w:val="24"/>
        </w:rPr>
        <w:t>forced to pay a price that is a multiple higher than the “face value” or standard retail</w:t>
      </w:r>
      <w:r w:rsidR="001C0F7B">
        <w:rPr>
          <w:rFonts w:ascii="Century Gothic" w:hAnsi="Century Gothic"/>
          <w:sz w:val="24"/>
          <w:szCs w:val="24"/>
        </w:rPr>
        <w:t xml:space="preserve"> </w:t>
      </w:r>
      <w:r w:rsidR="001C0F7B" w:rsidRPr="001C0F7B">
        <w:rPr>
          <w:rFonts w:ascii="Century Gothic" w:hAnsi="Century Gothic"/>
          <w:sz w:val="24"/>
          <w:szCs w:val="24"/>
        </w:rPr>
        <w:t>price.</w:t>
      </w:r>
      <w:r w:rsidR="001C0F7B">
        <w:rPr>
          <w:rFonts w:ascii="Century Gothic" w:hAnsi="Century Gothic"/>
          <w:sz w:val="24"/>
          <w:szCs w:val="24"/>
        </w:rPr>
        <w:t>”</w:t>
      </w:r>
      <w:r w:rsidR="001C0F7B">
        <w:rPr>
          <w:rStyle w:val="FootnoteReference"/>
          <w:rFonts w:ascii="Century Gothic" w:hAnsi="Century Gothic"/>
          <w:sz w:val="24"/>
          <w:szCs w:val="24"/>
        </w:rPr>
        <w:footnoteReference w:id="31"/>
      </w:r>
      <w:r w:rsidR="004C08AE">
        <w:rPr>
          <w:rFonts w:ascii="Century Gothic" w:hAnsi="Century Gothic"/>
          <w:sz w:val="24"/>
          <w:szCs w:val="24"/>
        </w:rPr>
        <w:t xml:space="preserve">  No policies are currently in place to attend to these matters.  </w:t>
      </w:r>
    </w:p>
    <w:p w:rsidR="00DD5BC5" w:rsidRDefault="00DD5BC5" w:rsidP="00DD5BC5"/>
    <w:p w:rsidR="00DD5BC5" w:rsidRDefault="00DD5BC5" w:rsidP="00DD5BC5">
      <w:pPr>
        <w:pStyle w:val="Heading2"/>
        <w:numPr>
          <w:ilvl w:val="0"/>
          <w:numId w:val="2"/>
        </w:numPr>
        <w:rPr>
          <w:rFonts w:ascii="Century Gothic" w:hAnsi="Century Gothic"/>
          <w:color w:val="17365D" w:themeColor="text2" w:themeShade="BF"/>
          <w:sz w:val="24"/>
          <w:szCs w:val="24"/>
        </w:rPr>
      </w:pPr>
      <w:r w:rsidRPr="00DD5BC5">
        <w:rPr>
          <w:rFonts w:ascii="Century Gothic" w:hAnsi="Century Gothic"/>
          <w:color w:val="17365D" w:themeColor="text2" w:themeShade="BF"/>
          <w:sz w:val="24"/>
          <w:szCs w:val="24"/>
        </w:rPr>
        <w:t>PROLIFERATION OF PORNOGRAPHY</w:t>
      </w:r>
    </w:p>
    <w:p w:rsidR="00945D4E" w:rsidRDefault="00945D4E" w:rsidP="00945D4E"/>
    <w:p w:rsidR="00945D4E" w:rsidRDefault="00945D4E" w:rsidP="00945D4E">
      <w:pPr>
        <w:ind w:left="1440"/>
        <w:rPr>
          <w:rFonts w:ascii="Century Gothic" w:hAnsi="Century Gothic"/>
          <w:sz w:val="24"/>
          <w:szCs w:val="24"/>
        </w:rPr>
      </w:pPr>
      <w:r>
        <w:rPr>
          <w:rFonts w:ascii="Century Gothic" w:hAnsi="Century Gothic"/>
          <w:sz w:val="24"/>
          <w:szCs w:val="24"/>
        </w:rPr>
        <w:t>The global Internet community can expect the ongoing proliferation of Internet pornography as .XXX and related strings are entered into the root system.  ICANN has made it clear that it doesn’t respect the religious, cultural and family sensitivities of the community and will treat the launch of such TLDs as just another competitive effort.  Meanwhile, sovereign natures will begin to block these TLDs (as India has already indicated</w:t>
      </w:r>
      <w:r>
        <w:rPr>
          <w:rStyle w:val="FootnoteReference"/>
          <w:rFonts w:ascii="Century Gothic" w:hAnsi="Century Gothic"/>
          <w:sz w:val="24"/>
          <w:szCs w:val="24"/>
        </w:rPr>
        <w:footnoteReference w:id="32"/>
      </w:r>
      <w:r>
        <w:rPr>
          <w:rFonts w:ascii="Century Gothic" w:hAnsi="Century Gothic"/>
          <w:sz w:val="24"/>
          <w:szCs w:val="24"/>
        </w:rPr>
        <w:t>)</w:t>
      </w:r>
      <w:r w:rsidR="0061422E">
        <w:rPr>
          <w:rFonts w:ascii="Century Gothic" w:hAnsi="Century Gothic"/>
          <w:sz w:val="24"/>
          <w:szCs w:val="24"/>
        </w:rPr>
        <w:t xml:space="preserve"> putting us on a path to a fragmented Internet</w:t>
      </w:r>
      <w:r>
        <w:rPr>
          <w:rFonts w:ascii="Century Gothic" w:hAnsi="Century Gothic"/>
          <w:sz w:val="24"/>
          <w:szCs w:val="24"/>
        </w:rPr>
        <w:t xml:space="preserve">.  ICANN </w:t>
      </w:r>
      <w:r w:rsidR="0061422E">
        <w:rPr>
          <w:rFonts w:ascii="Century Gothic" w:hAnsi="Century Gothic"/>
          <w:sz w:val="24"/>
          <w:szCs w:val="24"/>
        </w:rPr>
        <w:t xml:space="preserve">continues to </w:t>
      </w:r>
      <w:r>
        <w:rPr>
          <w:rFonts w:ascii="Century Gothic" w:hAnsi="Century Gothic"/>
          <w:sz w:val="24"/>
          <w:szCs w:val="24"/>
        </w:rPr>
        <w:t xml:space="preserve">lack a policy directive </w:t>
      </w:r>
      <w:r w:rsidR="0061422E">
        <w:rPr>
          <w:rFonts w:ascii="Century Gothic" w:hAnsi="Century Gothic"/>
          <w:sz w:val="24"/>
          <w:szCs w:val="24"/>
        </w:rPr>
        <w:t>that would meaningfully address the issue of</w:t>
      </w:r>
      <w:r>
        <w:rPr>
          <w:rFonts w:ascii="Century Gothic" w:hAnsi="Century Gothic"/>
          <w:sz w:val="24"/>
          <w:szCs w:val="24"/>
        </w:rPr>
        <w:t xml:space="preserve"> controversial strings.</w:t>
      </w:r>
    </w:p>
    <w:p w:rsidR="00B1736E" w:rsidRPr="00945D4E" w:rsidRDefault="00B1736E" w:rsidP="00945D4E">
      <w:pPr>
        <w:ind w:left="1440"/>
        <w:rPr>
          <w:rFonts w:ascii="Century Gothic" w:hAnsi="Century Gothic"/>
          <w:sz w:val="24"/>
          <w:szCs w:val="24"/>
        </w:rPr>
      </w:pPr>
    </w:p>
    <w:p w:rsidR="0072170E" w:rsidRDefault="0072170E" w:rsidP="0072170E"/>
    <w:p w:rsidR="0072170E" w:rsidRDefault="0072170E" w:rsidP="0072170E">
      <w:pPr>
        <w:pStyle w:val="Heading2"/>
        <w:numPr>
          <w:ilvl w:val="0"/>
          <w:numId w:val="2"/>
        </w:numPr>
        <w:rPr>
          <w:rFonts w:ascii="Century Gothic" w:hAnsi="Century Gothic"/>
          <w:color w:val="17365D" w:themeColor="text2" w:themeShade="BF"/>
          <w:sz w:val="24"/>
          <w:szCs w:val="24"/>
        </w:rPr>
      </w:pPr>
      <w:r w:rsidRPr="0072170E">
        <w:rPr>
          <w:rFonts w:ascii="Century Gothic" w:hAnsi="Century Gothic"/>
          <w:color w:val="17365D" w:themeColor="text2" w:themeShade="BF"/>
          <w:sz w:val="24"/>
          <w:szCs w:val="24"/>
        </w:rPr>
        <w:t>PROCESSING NEW REGISTRY SERVICE REQUESTS</w:t>
      </w:r>
    </w:p>
    <w:p w:rsidR="009433F6" w:rsidRDefault="009433F6" w:rsidP="009433F6"/>
    <w:p w:rsidR="009433F6" w:rsidRPr="009433F6" w:rsidRDefault="00902823" w:rsidP="009433F6">
      <w:pPr>
        <w:ind w:left="1440"/>
        <w:rPr>
          <w:rFonts w:ascii="Century Gothic" w:hAnsi="Century Gothic"/>
          <w:sz w:val="24"/>
          <w:szCs w:val="24"/>
        </w:rPr>
      </w:pPr>
      <w:r>
        <w:rPr>
          <w:rFonts w:ascii="Century Gothic" w:hAnsi="Century Gothic"/>
          <w:sz w:val="24"/>
          <w:szCs w:val="24"/>
        </w:rPr>
        <w:t>In the highly charged competitive environment to be expected in the immediate future, existing GTLD registry operators will attempt to remain competitive by expanding their service offerings.  While security, stability and resiliency considerations will be evaluated by a standing panel of experts, the same cannot be said for competition evaluations – they are currently managed by a single individual, the ICANN General Counsel.  This poses an unacceptable risk.   We have already seen in the case of the last .JOBS proposal that a determination was reached that no competition issues were implicated.  As it turns out, a breach notice</w:t>
      </w:r>
      <w:r w:rsidR="00487B21">
        <w:rPr>
          <w:rStyle w:val="FootnoteReference"/>
          <w:rFonts w:ascii="Century Gothic" w:hAnsi="Century Gothic"/>
          <w:sz w:val="24"/>
          <w:szCs w:val="24"/>
        </w:rPr>
        <w:footnoteReference w:id="33"/>
      </w:r>
      <w:r>
        <w:rPr>
          <w:rFonts w:ascii="Century Gothic" w:hAnsi="Century Gothic"/>
          <w:sz w:val="24"/>
          <w:szCs w:val="24"/>
        </w:rPr>
        <w:t xml:space="preserve"> ultimately had to be issued precisely because of adverse competition concerns</w:t>
      </w:r>
      <w:r w:rsidR="00487B21">
        <w:rPr>
          <w:rStyle w:val="FootnoteReference"/>
          <w:rFonts w:ascii="Century Gothic" w:hAnsi="Century Gothic"/>
          <w:sz w:val="24"/>
          <w:szCs w:val="24"/>
        </w:rPr>
        <w:footnoteReference w:id="34"/>
      </w:r>
      <w:r>
        <w:rPr>
          <w:rFonts w:ascii="Century Gothic" w:hAnsi="Century Gothic"/>
          <w:sz w:val="24"/>
          <w:szCs w:val="24"/>
        </w:rPr>
        <w:t xml:space="preserve">.  </w:t>
      </w:r>
      <w:r w:rsidR="007950E3">
        <w:rPr>
          <w:rFonts w:ascii="Century Gothic" w:hAnsi="Century Gothic"/>
          <w:sz w:val="24"/>
          <w:szCs w:val="24"/>
        </w:rPr>
        <w:t>As the handling of competition issues by ICANN remains a flawed process</w:t>
      </w:r>
      <w:r w:rsidR="007950E3">
        <w:rPr>
          <w:rStyle w:val="FootnoteReference"/>
          <w:rFonts w:ascii="Century Gothic" w:hAnsi="Century Gothic"/>
          <w:sz w:val="24"/>
          <w:szCs w:val="24"/>
        </w:rPr>
        <w:footnoteReference w:id="35"/>
      </w:r>
      <w:r w:rsidR="007950E3">
        <w:rPr>
          <w:rFonts w:ascii="Century Gothic" w:hAnsi="Century Gothic"/>
          <w:sz w:val="24"/>
          <w:szCs w:val="24"/>
        </w:rPr>
        <w:t xml:space="preserve">, and as no system improvements are on the table, </w:t>
      </w:r>
      <w:r w:rsidR="00487B21">
        <w:rPr>
          <w:rFonts w:ascii="Century Gothic" w:hAnsi="Century Gothic"/>
          <w:sz w:val="24"/>
          <w:szCs w:val="24"/>
        </w:rPr>
        <w:t>an ongoing</w:t>
      </w:r>
      <w:r w:rsidR="007950E3">
        <w:rPr>
          <w:rFonts w:ascii="Century Gothic" w:hAnsi="Century Gothic"/>
          <w:sz w:val="24"/>
          <w:szCs w:val="24"/>
        </w:rPr>
        <w:t xml:space="preserve"> risk to the community remains.  </w:t>
      </w:r>
    </w:p>
    <w:p w:rsidR="007B38ED" w:rsidRDefault="007B38ED" w:rsidP="007B38ED"/>
    <w:p w:rsidR="007B38ED" w:rsidRDefault="007B38ED" w:rsidP="007B38ED">
      <w:pPr>
        <w:pStyle w:val="Heading2"/>
        <w:numPr>
          <w:ilvl w:val="0"/>
          <w:numId w:val="2"/>
        </w:numPr>
        <w:rPr>
          <w:rFonts w:ascii="Century Gothic" w:hAnsi="Century Gothic"/>
          <w:color w:val="17365D" w:themeColor="text2" w:themeShade="BF"/>
          <w:sz w:val="24"/>
          <w:szCs w:val="24"/>
        </w:rPr>
      </w:pPr>
      <w:r w:rsidRPr="007B38ED">
        <w:rPr>
          <w:rFonts w:ascii="Century Gothic" w:hAnsi="Century Gothic"/>
          <w:color w:val="17365D" w:themeColor="text2" w:themeShade="BF"/>
          <w:sz w:val="24"/>
          <w:szCs w:val="24"/>
        </w:rPr>
        <w:t>THE RISK OF AN IDN REGISTRY COLLAPSE</w:t>
      </w:r>
    </w:p>
    <w:p w:rsidR="007950E3" w:rsidRDefault="007950E3" w:rsidP="007950E3"/>
    <w:p w:rsidR="007950E3" w:rsidRPr="007950E3" w:rsidRDefault="00487B21" w:rsidP="007950E3">
      <w:pPr>
        <w:ind w:left="1440"/>
        <w:rPr>
          <w:rFonts w:ascii="Century Gothic" w:hAnsi="Century Gothic"/>
          <w:sz w:val="24"/>
          <w:szCs w:val="24"/>
        </w:rPr>
      </w:pPr>
      <w:r>
        <w:rPr>
          <w:rFonts w:ascii="Century Gothic" w:hAnsi="Century Gothic"/>
          <w:sz w:val="24"/>
          <w:szCs w:val="24"/>
        </w:rPr>
        <w:t>As new gTLDs are launched, some will be catering to non-ASCII language communities.  Although ICANN has established registry transition protocols to attend to the possibility of registry failures</w:t>
      </w:r>
      <w:r>
        <w:rPr>
          <w:rStyle w:val="FootnoteReference"/>
          <w:rFonts w:ascii="Century Gothic" w:hAnsi="Century Gothic"/>
          <w:sz w:val="24"/>
          <w:szCs w:val="24"/>
        </w:rPr>
        <w:footnoteReference w:id="36"/>
      </w:r>
      <w:r>
        <w:rPr>
          <w:rFonts w:ascii="Century Gothic" w:hAnsi="Century Gothic"/>
          <w:sz w:val="24"/>
          <w:szCs w:val="24"/>
        </w:rPr>
        <w:t xml:space="preserve"> it has not yet envisioned those difficulties associated with a failing vertically integrated registry-registrar operation that offers services in a spoken/written language unfamiliar to a successor operator.  How will customer servi</w:t>
      </w:r>
      <w:r w:rsidR="00161835">
        <w:rPr>
          <w:rFonts w:ascii="Century Gothic" w:hAnsi="Century Gothic"/>
          <w:sz w:val="24"/>
          <w:szCs w:val="24"/>
        </w:rPr>
        <w:t>ce considerations be managed?  Will the successor operator be able to scale up to meet the language challenge as well as the technical challenge expediently?</w:t>
      </w:r>
    </w:p>
    <w:p w:rsidR="007816FB" w:rsidRDefault="007816FB" w:rsidP="007816FB"/>
    <w:p w:rsidR="007816FB" w:rsidRDefault="000305F1" w:rsidP="007816FB">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REGISTRAR CAPITALIZATION ISSUES</w:t>
      </w:r>
    </w:p>
    <w:p w:rsidR="00161835" w:rsidRDefault="00161835" w:rsidP="00161835"/>
    <w:p w:rsidR="00161835" w:rsidRDefault="00161835" w:rsidP="00161835">
      <w:pPr>
        <w:ind w:left="1440"/>
        <w:rPr>
          <w:rFonts w:ascii="Century Gothic" w:hAnsi="Century Gothic"/>
          <w:sz w:val="24"/>
          <w:szCs w:val="24"/>
        </w:rPr>
      </w:pPr>
      <w:r>
        <w:rPr>
          <w:rFonts w:ascii="Century Gothic" w:hAnsi="Century Gothic"/>
          <w:sz w:val="24"/>
          <w:szCs w:val="24"/>
        </w:rPr>
        <w:t xml:space="preserve">As pointed out by Michele </w:t>
      </w:r>
      <w:proofErr w:type="spellStart"/>
      <w:r>
        <w:rPr>
          <w:rFonts w:ascii="Century Gothic" w:hAnsi="Century Gothic"/>
          <w:sz w:val="24"/>
          <w:szCs w:val="24"/>
        </w:rPr>
        <w:t>Neylon</w:t>
      </w:r>
      <w:proofErr w:type="spellEnd"/>
      <w:r>
        <w:rPr>
          <w:rStyle w:val="FootnoteReference"/>
          <w:rFonts w:ascii="Century Gothic" w:hAnsi="Century Gothic"/>
          <w:sz w:val="24"/>
          <w:szCs w:val="24"/>
        </w:rPr>
        <w:footnoteReference w:id="37"/>
      </w:r>
      <w:r>
        <w:rPr>
          <w:rFonts w:ascii="Century Gothic" w:hAnsi="Century Gothic"/>
          <w:sz w:val="24"/>
          <w:szCs w:val="24"/>
        </w:rPr>
        <w:t>, “</w:t>
      </w:r>
      <w:r w:rsidRPr="00161835">
        <w:rPr>
          <w:rFonts w:ascii="Century Gothic" w:hAnsi="Century Gothic"/>
          <w:sz w:val="24"/>
          <w:szCs w:val="24"/>
        </w:rPr>
        <w:t xml:space="preserve">Most registries work on pre-funded basis </w:t>
      </w:r>
      <w:proofErr w:type="spellStart"/>
      <w:r w:rsidRPr="00161835">
        <w:rPr>
          <w:rFonts w:ascii="Century Gothic" w:hAnsi="Century Gothic"/>
          <w:sz w:val="24"/>
          <w:szCs w:val="24"/>
        </w:rPr>
        <w:t>ie</w:t>
      </w:r>
      <w:proofErr w:type="spellEnd"/>
      <w:r w:rsidRPr="00161835">
        <w:rPr>
          <w:rFonts w:ascii="Century Gothic" w:hAnsi="Century Gothic"/>
          <w:sz w:val="24"/>
          <w:szCs w:val="24"/>
        </w:rPr>
        <w:t xml:space="preserve">. </w:t>
      </w:r>
      <w:proofErr w:type="gramStart"/>
      <w:r w:rsidRPr="00161835">
        <w:rPr>
          <w:rFonts w:ascii="Century Gothic" w:hAnsi="Century Gothic"/>
          <w:sz w:val="24"/>
          <w:szCs w:val="24"/>
        </w:rPr>
        <w:t>registrars</w:t>
      </w:r>
      <w:proofErr w:type="gramEnd"/>
      <w:r w:rsidRPr="00161835">
        <w:rPr>
          <w:rFonts w:ascii="Century Gothic" w:hAnsi="Century Gothic"/>
          <w:sz w:val="24"/>
          <w:szCs w:val="24"/>
        </w:rPr>
        <w:t xml:space="preserve"> have cash on deposit with each registry operator. With each registration, transfer or renewal monies are debited from their account. If they don’t have sufficient funds with the registry they can’t process any registrations etc.</w:t>
      </w:r>
      <w:r>
        <w:rPr>
          <w:rFonts w:ascii="Century Gothic" w:hAnsi="Century Gothic"/>
          <w:sz w:val="24"/>
          <w:szCs w:val="24"/>
        </w:rPr>
        <w:t xml:space="preserve"> </w:t>
      </w:r>
      <w:proofErr w:type="gramStart"/>
      <w:r w:rsidRPr="00161835">
        <w:rPr>
          <w:rFonts w:ascii="Century Gothic" w:hAnsi="Century Gothic"/>
          <w:sz w:val="24"/>
          <w:szCs w:val="24"/>
        </w:rPr>
        <w:t>Pretty simple?</w:t>
      </w:r>
      <w:proofErr w:type="gramEnd"/>
      <w:r w:rsidRPr="00161835">
        <w:rPr>
          <w:rFonts w:ascii="Century Gothic" w:hAnsi="Century Gothic"/>
          <w:sz w:val="24"/>
          <w:szCs w:val="24"/>
        </w:rPr>
        <w:t xml:space="preserve"> Well it might be if you’re only dealing with a few registries, but if you have hundreds of them it can get quite messy.</w:t>
      </w:r>
      <w:r>
        <w:rPr>
          <w:rFonts w:ascii="Century Gothic" w:hAnsi="Century Gothic"/>
          <w:sz w:val="24"/>
          <w:szCs w:val="24"/>
        </w:rPr>
        <w:t xml:space="preserve">  </w:t>
      </w:r>
      <w:r w:rsidRPr="00161835">
        <w:rPr>
          <w:rFonts w:ascii="Century Gothic" w:hAnsi="Century Gothic"/>
          <w:sz w:val="24"/>
          <w:szCs w:val="24"/>
        </w:rPr>
        <w:t>Let’s say there are 500 new domain extensions. If the minimum funding level for each registry were set at 5000 (doesn’t matter which currency, but let’s use dollars), then that means that each registrar who wants to offer all 500 extensions will need to set aside 2.5 million dollars before they’ve sold a single domain!</w:t>
      </w:r>
    </w:p>
    <w:p w:rsidR="002D6614" w:rsidRDefault="002D6614" w:rsidP="00161835">
      <w:pPr>
        <w:ind w:left="1440"/>
        <w:rPr>
          <w:rFonts w:ascii="Century Gothic" w:hAnsi="Century Gothic"/>
          <w:sz w:val="24"/>
          <w:szCs w:val="24"/>
        </w:rPr>
      </w:pPr>
      <w:r>
        <w:rPr>
          <w:rFonts w:ascii="Century Gothic" w:hAnsi="Century Gothic"/>
          <w:sz w:val="24"/>
          <w:szCs w:val="24"/>
        </w:rPr>
        <w:t xml:space="preserve">At present, unfortunately, a lot of registry operators only offer wire transfers as a </w:t>
      </w:r>
      <w:r w:rsidRPr="002D6614">
        <w:rPr>
          <w:rFonts w:ascii="Century Gothic" w:hAnsi="Century Gothic"/>
          <w:sz w:val="24"/>
          <w:szCs w:val="24"/>
        </w:rPr>
        <w:t>method of payment. That means that you can easily be waiting 2 or 3 working days for funds to appear in your account. While a registrar might need to be careful about the funding levels they maintain at each registry they interact with weird stuff happens. Based on my own experience I’ve seen a 300 or 400% increase in activity with a domain extension practically wipe out our balance in a matter of minutes or hours – and there’s no easy way to plan for that kind of crazy spike. Some registry operators offer credit card payments, which can help get you out of a “rut”, but a lot don’t. Some offer an “emergency credit” system, which can give you a bit of “padding” to make it through the 24 – 72 hours that it takes a wire transfer to hit their bank, but not all do.</w:t>
      </w:r>
      <w:r>
        <w:rPr>
          <w:rFonts w:ascii="Century Gothic" w:hAnsi="Century Gothic"/>
          <w:sz w:val="24"/>
          <w:szCs w:val="24"/>
        </w:rPr>
        <w:t>”</w:t>
      </w:r>
    </w:p>
    <w:p w:rsidR="002D6614" w:rsidRDefault="002D6614" w:rsidP="00161835">
      <w:pPr>
        <w:ind w:left="1440"/>
        <w:rPr>
          <w:rFonts w:ascii="Century Gothic" w:hAnsi="Century Gothic"/>
          <w:sz w:val="24"/>
          <w:szCs w:val="24"/>
        </w:rPr>
      </w:pPr>
      <w:r>
        <w:rPr>
          <w:rFonts w:ascii="Century Gothic" w:hAnsi="Century Gothic"/>
          <w:sz w:val="24"/>
          <w:szCs w:val="24"/>
        </w:rPr>
        <w:t>Until these types of operational issues are sorted out, there are reasons to be very concerned:   registrants may wind up placing registration requests in good faith with registrars that financially might not be able to honor their commitments.  That’s a scary proposition.</w:t>
      </w:r>
    </w:p>
    <w:p w:rsidR="00551D41" w:rsidRPr="00161835" w:rsidRDefault="00551D41" w:rsidP="00161835">
      <w:pPr>
        <w:ind w:left="1440"/>
        <w:rPr>
          <w:rFonts w:ascii="Century Gothic" w:hAnsi="Century Gothic"/>
          <w:sz w:val="24"/>
          <w:szCs w:val="24"/>
        </w:rPr>
      </w:pPr>
    </w:p>
    <w:p w:rsidR="003520F5" w:rsidRDefault="003520F5" w:rsidP="003520F5"/>
    <w:p w:rsidR="003520F5" w:rsidRDefault="003520F5" w:rsidP="003520F5">
      <w:pPr>
        <w:pStyle w:val="Heading2"/>
        <w:numPr>
          <w:ilvl w:val="0"/>
          <w:numId w:val="2"/>
        </w:numPr>
        <w:rPr>
          <w:rFonts w:ascii="Century Gothic" w:hAnsi="Century Gothic"/>
          <w:color w:val="17365D" w:themeColor="text2" w:themeShade="BF"/>
          <w:sz w:val="24"/>
          <w:szCs w:val="24"/>
        </w:rPr>
      </w:pPr>
      <w:r w:rsidRPr="003520F5">
        <w:rPr>
          <w:rFonts w:ascii="Century Gothic" w:hAnsi="Century Gothic"/>
          <w:color w:val="17365D" w:themeColor="text2" w:themeShade="BF"/>
          <w:sz w:val="24"/>
          <w:szCs w:val="24"/>
        </w:rPr>
        <w:t>NEXUS &amp; THE LANDSCAPE OF LOCAL GEOGRAPHICAL NAMES</w:t>
      </w:r>
    </w:p>
    <w:p w:rsidR="00551D41" w:rsidRDefault="00551D41" w:rsidP="00551D41"/>
    <w:p w:rsidR="00551D41" w:rsidRPr="00551D41" w:rsidRDefault="00551D41" w:rsidP="005472CC">
      <w:pPr>
        <w:ind w:left="1440"/>
        <w:rPr>
          <w:rFonts w:ascii="Century Gothic" w:hAnsi="Century Gothic"/>
          <w:sz w:val="24"/>
          <w:szCs w:val="24"/>
        </w:rPr>
      </w:pPr>
      <w:r>
        <w:rPr>
          <w:rFonts w:ascii="Century Gothic" w:hAnsi="Century Gothic"/>
          <w:sz w:val="24"/>
          <w:szCs w:val="24"/>
        </w:rPr>
        <w:t>Governments of the world have long expressed concerns about</w:t>
      </w:r>
      <w:r w:rsidR="0002188E">
        <w:rPr>
          <w:rFonts w:ascii="Century Gothic" w:hAnsi="Century Gothic"/>
          <w:sz w:val="24"/>
          <w:szCs w:val="24"/>
        </w:rPr>
        <w:t xml:space="preserve"> the use of geographical names/</w:t>
      </w:r>
      <w:r>
        <w:rPr>
          <w:rFonts w:ascii="Century Gothic" w:hAnsi="Century Gothic"/>
          <w:sz w:val="24"/>
          <w:szCs w:val="24"/>
        </w:rPr>
        <w:t xml:space="preserve">indicators in the </w:t>
      </w:r>
      <w:r w:rsidR="0002188E">
        <w:rPr>
          <w:rFonts w:ascii="Century Gothic" w:hAnsi="Century Gothic"/>
          <w:sz w:val="24"/>
          <w:szCs w:val="24"/>
        </w:rPr>
        <w:t>DNS</w:t>
      </w:r>
      <w:r>
        <w:rPr>
          <w:rFonts w:ascii="Century Gothic" w:hAnsi="Century Gothic"/>
          <w:sz w:val="24"/>
          <w:szCs w:val="24"/>
        </w:rPr>
        <w:t xml:space="preserve">.  While their concern is focused on the national level, at some point the Internet community </w:t>
      </w:r>
      <w:r w:rsidR="00D131E9">
        <w:rPr>
          <w:rFonts w:ascii="Century Gothic" w:hAnsi="Century Gothic"/>
          <w:sz w:val="24"/>
          <w:szCs w:val="24"/>
        </w:rPr>
        <w:t>may</w:t>
      </w:r>
      <w:r>
        <w:rPr>
          <w:rFonts w:ascii="Century Gothic" w:hAnsi="Century Gothic"/>
          <w:sz w:val="24"/>
          <w:szCs w:val="24"/>
        </w:rPr>
        <w:t xml:space="preserve"> need to heed concerns raised at the local level.  We already are seeing </w:t>
      </w:r>
      <w:r w:rsidR="00D131E9">
        <w:rPr>
          <w:rFonts w:ascii="Century Gothic" w:hAnsi="Century Gothic"/>
          <w:sz w:val="24"/>
          <w:szCs w:val="24"/>
        </w:rPr>
        <w:t xml:space="preserve">registrations in the form of </w:t>
      </w:r>
      <w:proofErr w:type="spellStart"/>
      <w:r w:rsidRPr="00D131E9">
        <w:rPr>
          <w:rFonts w:ascii="Century Gothic" w:hAnsi="Century Gothic"/>
          <w:i/>
          <w:sz w:val="24"/>
          <w:szCs w:val="24"/>
        </w:rPr>
        <w:t>anyvillage</w:t>
      </w:r>
      <w:proofErr w:type="spellEnd"/>
      <w:r w:rsidRPr="00D131E9">
        <w:rPr>
          <w:rFonts w:ascii="Century Gothic" w:hAnsi="Century Gothic"/>
          <w:i/>
          <w:sz w:val="24"/>
          <w:szCs w:val="24"/>
        </w:rPr>
        <w:t>/</w:t>
      </w:r>
      <w:proofErr w:type="spellStart"/>
      <w:r w:rsidR="00D131E9" w:rsidRPr="00D131E9">
        <w:rPr>
          <w:rFonts w:ascii="Century Gothic" w:hAnsi="Century Gothic"/>
          <w:i/>
          <w:sz w:val="24"/>
          <w:szCs w:val="24"/>
        </w:rPr>
        <w:t>anystate.gTLD</w:t>
      </w:r>
      <w:proofErr w:type="spellEnd"/>
      <w:r w:rsidR="00D131E9">
        <w:rPr>
          <w:rFonts w:ascii="Century Gothic" w:hAnsi="Century Gothic"/>
          <w:sz w:val="24"/>
          <w:szCs w:val="24"/>
        </w:rPr>
        <w:t xml:space="preserve"> that are appearing as monetization exercises.</w:t>
      </w:r>
      <w:r w:rsidR="00AD5AB6">
        <w:rPr>
          <w:rStyle w:val="FootnoteReference"/>
          <w:rFonts w:ascii="Century Gothic" w:hAnsi="Century Gothic"/>
          <w:sz w:val="24"/>
          <w:szCs w:val="24"/>
        </w:rPr>
        <w:footnoteReference w:id="38"/>
      </w:r>
      <w:r w:rsidR="00D131E9">
        <w:rPr>
          <w:rFonts w:ascii="Century Gothic" w:hAnsi="Century Gothic"/>
          <w:sz w:val="24"/>
          <w:szCs w:val="24"/>
        </w:rPr>
        <w:t xml:space="preserve">  </w:t>
      </w:r>
    </w:p>
    <w:p w:rsidR="00354172" w:rsidRDefault="00354172" w:rsidP="00354172"/>
    <w:p w:rsidR="00354172" w:rsidRDefault="00354172" w:rsidP="00354172">
      <w:pPr>
        <w:pStyle w:val="Heading2"/>
        <w:numPr>
          <w:ilvl w:val="0"/>
          <w:numId w:val="2"/>
        </w:numPr>
        <w:rPr>
          <w:rFonts w:ascii="Century Gothic" w:hAnsi="Century Gothic"/>
          <w:color w:val="17365D" w:themeColor="text2" w:themeShade="BF"/>
          <w:sz w:val="24"/>
          <w:szCs w:val="24"/>
        </w:rPr>
      </w:pPr>
      <w:r w:rsidRPr="00354172">
        <w:rPr>
          <w:rFonts w:ascii="Century Gothic" w:hAnsi="Century Gothic"/>
          <w:color w:val="17365D" w:themeColor="text2" w:themeShade="BF"/>
          <w:sz w:val="24"/>
          <w:szCs w:val="24"/>
        </w:rPr>
        <w:t>THE MENACE OF PROXY SERVICES</w:t>
      </w:r>
    </w:p>
    <w:p w:rsidR="00AD5AB6" w:rsidRDefault="00AD5AB6" w:rsidP="00AD5AB6"/>
    <w:p w:rsidR="00AD5AB6" w:rsidRPr="00AD5AB6" w:rsidRDefault="003E6ED4" w:rsidP="00AD5AB6">
      <w:pPr>
        <w:ind w:left="1440"/>
        <w:rPr>
          <w:rFonts w:ascii="Century Gothic" w:hAnsi="Century Gothic"/>
          <w:sz w:val="24"/>
          <w:szCs w:val="24"/>
        </w:rPr>
      </w:pPr>
      <w:r>
        <w:rPr>
          <w:rFonts w:ascii="Century Gothic" w:hAnsi="Century Gothic"/>
          <w:sz w:val="24"/>
          <w:szCs w:val="24"/>
        </w:rPr>
        <w:t>Consumers,</w:t>
      </w:r>
      <w:r w:rsidR="0069082C">
        <w:rPr>
          <w:rFonts w:ascii="Century Gothic" w:hAnsi="Century Gothic"/>
          <w:sz w:val="24"/>
          <w:szCs w:val="24"/>
        </w:rPr>
        <w:t xml:space="preserve"> intellectual property </w:t>
      </w:r>
      <w:r>
        <w:rPr>
          <w:rFonts w:ascii="Century Gothic" w:hAnsi="Century Gothic"/>
          <w:sz w:val="24"/>
          <w:szCs w:val="24"/>
        </w:rPr>
        <w:t>interests</w:t>
      </w:r>
      <w:r w:rsidR="0069082C">
        <w:rPr>
          <w:rFonts w:ascii="Century Gothic" w:hAnsi="Century Gothic"/>
          <w:sz w:val="24"/>
          <w:szCs w:val="24"/>
        </w:rPr>
        <w:t xml:space="preserve"> and the law enforcement community </w:t>
      </w:r>
      <w:r>
        <w:rPr>
          <w:rFonts w:ascii="Century Gothic" w:hAnsi="Century Gothic"/>
          <w:sz w:val="24"/>
          <w:szCs w:val="24"/>
        </w:rPr>
        <w:t xml:space="preserve">all </w:t>
      </w:r>
      <w:r w:rsidR="0069082C">
        <w:rPr>
          <w:rFonts w:ascii="Century Gothic" w:hAnsi="Century Gothic"/>
          <w:sz w:val="24"/>
          <w:szCs w:val="24"/>
        </w:rPr>
        <w:t>have issues with registration data hidden behind proxy services</w:t>
      </w:r>
      <w:r w:rsidR="0069082C">
        <w:rPr>
          <w:rStyle w:val="FootnoteReference"/>
          <w:rFonts w:ascii="Century Gothic" w:hAnsi="Century Gothic"/>
          <w:sz w:val="24"/>
          <w:szCs w:val="24"/>
        </w:rPr>
        <w:footnoteReference w:id="39"/>
      </w:r>
      <w:r w:rsidR="0069082C">
        <w:rPr>
          <w:rFonts w:ascii="Century Gothic" w:hAnsi="Century Gothic"/>
          <w:sz w:val="24"/>
          <w:szCs w:val="24"/>
        </w:rPr>
        <w:t xml:space="preserve">.  </w:t>
      </w:r>
      <w:r>
        <w:rPr>
          <w:rFonts w:ascii="Century Gothic" w:hAnsi="Century Gothic"/>
          <w:sz w:val="24"/>
          <w:szCs w:val="24"/>
        </w:rPr>
        <w:t>Within ICANN, studies</w:t>
      </w:r>
      <w:r w:rsidR="0069082C">
        <w:rPr>
          <w:rFonts w:ascii="Century Gothic" w:hAnsi="Century Gothic"/>
          <w:sz w:val="24"/>
          <w:szCs w:val="24"/>
        </w:rPr>
        <w:t xml:space="preserve"> have been commissioned that will take at least another year to complete before multi-year policy-making processes thereafter can commence.  In the intervening time frame, millions of new registration records will appear </w:t>
      </w:r>
      <w:r>
        <w:rPr>
          <w:rFonts w:ascii="Century Gothic" w:hAnsi="Century Gothic"/>
          <w:sz w:val="24"/>
          <w:szCs w:val="24"/>
        </w:rPr>
        <w:t xml:space="preserve">through the new gTLD process </w:t>
      </w:r>
      <w:r w:rsidR="0069082C">
        <w:rPr>
          <w:rFonts w:ascii="Century Gothic" w:hAnsi="Century Gothic"/>
          <w:sz w:val="24"/>
          <w:szCs w:val="24"/>
        </w:rPr>
        <w:t xml:space="preserve">with a significant percentage that </w:t>
      </w:r>
      <w:r>
        <w:rPr>
          <w:rFonts w:ascii="Century Gothic" w:hAnsi="Century Gothic"/>
          <w:sz w:val="24"/>
          <w:szCs w:val="24"/>
        </w:rPr>
        <w:t xml:space="preserve">will actively </w:t>
      </w:r>
      <w:r w:rsidR="0069082C">
        <w:rPr>
          <w:rFonts w:ascii="Century Gothic" w:hAnsi="Century Gothic"/>
          <w:sz w:val="24"/>
          <w:szCs w:val="24"/>
        </w:rPr>
        <w:t>mask the identities of those engaged in abusive practices</w:t>
      </w:r>
      <w:r>
        <w:rPr>
          <w:rFonts w:ascii="Century Gothic" w:hAnsi="Century Gothic"/>
          <w:sz w:val="24"/>
          <w:szCs w:val="24"/>
        </w:rPr>
        <w:t xml:space="preserve">.  </w:t>
      </w:r>
    </w:p>
    <w:p w:rsidR="00354172" w:rsidRDefault="00354172" w:rsidP="00354172"/>
    <w:p w:rsidR="00354172" w:rsidRDefault="00354172" w:rsidP="00354172">
      <w:pPr>
        <w:pStyle w:val="Heading2"/>
        <w:numPr>
          <w:ilvl w:val="0"/>
          <w:numId w:val="2"/>
        </w:numPr>
        <w:rPr>
          <w:rFonts w:ascii="Century Gothic" w:hAnsi="Century Gothic"/>
          <w:color w:val="17365D" w:themeColor="text2" w:themeShade="BF"/>
          <w:sz w:val="24"/>
          <w:szCs w:val="24"/>
        </w:rPr>
      </w:pPr>
      <w:r w:rsidRPr="00354172">
        <w:rPr>
          <w:rFonts w:ascii="Century Gothic" w:hAnsi="Century Gothic"/>
          <w:color w:val="17365D" w:themeColor="text2" w:themeShade="BF"/>
          <w:sz w:val="24"/>
          <w:szCs w:val="24"/>
        </w:rPr>
        <w:t>THE THREAT OF FREE DOMAINS</w:t>
      </w:r>
    </w:p>
    <w:p w:rsidR="003E6ED4" w:rsidRDefault="003E6ED4" w:rsidP="003E6ED4"/>
    <w:p w:rsidR="003E6ED4" w:rsidRPr="003E6ED4" w:rsidRDefault="005472CC" w:rsidP="003E6ED4">
      <w:pPr>
        <w:ind w:left="1440"/>
        <w:rPr>
          <w:rFonts w:ascii="Century Gothic" w:hAnsi="Century Gothic"/>
          <w:sz w:val="24"/>
          <w:szCs w:val="24"/>
        </w:rPr>
      </w:pPr>
      <w:r>
        <w:rPr>
          <w:rFonts w:ascii="Century Gothic" w:hAnsi="Century Gothic"/>
          <w:sz w:val="24"/>
          <w:szCs w:val="24"/>
        </w:rPr>
        <w:t>Hypothetical scenario:  a vertically-integrated new gTLD registry offers free registrations (akin to free blogging opportunities offered via blogger.com)</w:t>
      </w:r>
      <w:r w:rsidR="0002188E">
        <w:rPr>
          <w:rFonts w:ascii="Century Gothic" w:hAnsi="Century Gothic"/>
          <w:sz w:val="24"/>
          <w:szCs w:val="24"/>
        </w:rPr>
        <w:t xml:space="preserve"> -- this effort has the potential to achieve market dominance and topple many of the current registration-for-fee business models.  An accelerated rate of business failures poses a risk.</w:t>
      </w:r>
    </w:p>
    <w:p w:rsidR="004E255C" w:rsidRDefault="004E255C" w:rsidP="004E255C"/>
    <w:p w:rsidR="004E255C" w:rsidRDefault="004E255C" w:rsidP="004E255C">
      <w:pPr>
        <w:pStyle w:val="Heading2"/>
        <w:numPr>
          <w:ilvl w:val="0"/>
          <w:numId w:val="2"/>
        </w:numPr>
        <w:rPr>
          <w:rFonts w:ascii="Century Gothic" w:hAnsi="Century Gothic"/>
          <w:color w:val="17365D" w:themeColor="text2" w:themeShade="BF"/>
          <w:sz w:val="24"/>
          <w:szCs w:val="24"/>
        </w:rPr>
      </w:pPr>
      <w:r w:rsidRPr="004E255C">
        <w:rPr>
          <w:rFonts w:ascii="Century Gothic" w:hAnsi="Century Gothic"/>
          <w:color w:val="17365D" w:themeColor="text2" w:themeShade="BF"/>
          <w:sz w:val="24"/>
          <w:szCs w:val="24"/>
        </w:rPr>
        <w:t xml:space="preserve">RAPID TAKE-DOWN </w:t>
      </w:r>
      <w:r w:rsidR="00F4394B">
        <w:rPr>
          <w:rFonts w:ascii="Century Gothic" w:hAnsi="Century Gothic"/>
          <w:color w:val="17365D" w:themeColor="text2" w:themeShade="BF"/>
          <w:sz w:val="24"/>
          <w:szCs w:val="24"/>
        </w:rPr>
        <w:t>ISSUES</w:t>
      </w:r>
    </w:p>
    <w:p w:rsidR="00F4394B" w:rsidRDefault="00F4394B" w:rsidP="00F4394B"/>
    <w:p w:rsidR="00F4394B" w:rsidRPr="00F4394B" w:rsidRDefault="00F4394B" w:rsidP="00F4394B">
      <w:pPr>
        <w:ind w:left="1440"/>
        <w:rPr>
          <w:rFonts w:ascii="Century Gothic" w:hAnsi="Century Gothic"/>
          <w:sz w:val="24"/>
          <w:szCs w:val="24"/>
        </w:rPr>
      </w:pPr>
      <w:r>
        <w:rPr>
          <w:rFonts w:ascii="Century Gothic" w:hAnsi="Century Gothic"/>
          <w:sz w:val="24"/>
          <w:szCs w:val="24"/>
        </w:rPr>
        <w:t>The World Intellectual Property Organization has written to the ICANN Board pointing to serious deficiencies in the proposed Uniform Rapid Suspension mechanism</w:t>
      </w:r>
      <w:r>
        <w:rPr>
          <w:rStyle w:val="FootnoteReference"/>
          <w:rFonts w:ascii="Century Gothic" w:hAnsi="Century Gothic"/>
          <w:sz w:val="24"/>
          <w:szCs w:val="24"/>
        </w:rPr>
        <w:footnoteReference w:id="40"/>
      </w:r>
      <w:r>
        <w:rPr>
          <w:rFonts w:ascii="Century Gothic" w:hAnsi="Century Gothic"/>
          <w:sz w:val="24"/>
          <w:szCs w:val="24"/>
        </w:rPr>
        <w:t xml:space="preserve">.  As one of ICANN’s Core Values is </w:t>
      </w:r>
      <w:r w:rsidRPr="00F4394B">
        <w:rPr>
          <w:rFonts w:ascii="Century Gothic" w:hAnsi="Century Gothic"/>
          <w:sz w:val="24"/>
          <w:szCs w:val="24"/>
        </w:rPr>
        <w:t>to recogniz</w:t>
      </w:r>
      <w:r>
        <w:rPr>
          <w:rFonts w:ascii="Century Gothic" w:hAnsi="Century Gothic"/>
          <w:sz w:val="24"/>
          <w:szCs w:val="24"/>
        </w:rPr>
        <w:t>e</w:t>
      </w:r>
      <w:r w:rsidRPr="00F4394B">
        <w:rPr>
          <w:rFonts w:ascii="Century Gothic" w:hAnsi="Century Gothic"/>
          <w:sz w:val="24"/>
          <w:szCs w:val="24"/>
        </w:rPr>
        <w:t xml:space="preserve"> </w:t>
      </w:r>
      <w:r>
        <w:rPr>
          <w:rFonts w:ascii="Century Gothic" w:hAnsi="Century Gothic"/>
          <w:sz w:val="24"/>
          <w:szCs w:val="24"/>
        </w:rPr>
        <w:t>“</w:t>
      </w:r>
      <w:r w:rsidRPr="00F4394B">
        <w:rPr>
          <w:rFonts w:ascii="Century Gothic" w:hAnsi="Century Gothic"/>
          <w:sz w:val="24"/>
          <w:szCs w:val="24"/>
        </w:rPr>
        <w:t>the policy role of other responsible entities that reflect the interests of affected parties</w:t>
      </w:r>
      <w:r>
        <w:rPr>
          <w:rFonts w:ascii="Century Gothic" w:hAnsi="Century Gothic"/>
          <w:sz w:val="24"/>
          <w:szCs w:val="24"/>
        </w:rPr>
        <w:t>”, one would expect that some measure of policy guidance from WIPO would have been taken into account.  Final Applicant Guidebook revisions do not appear to reflect any substantive changes to the URS.</w:t>
      </w:r>
    </w:p>
    <w:p w:rsidR="00886BB0" w:rsidRDefault="00886BB0" w:rsidP="00886BB0"/>
    <w:p w:rsidR="00886BB0" w:rsidRDefault="002E3692" w:rsidP="00886BB0">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THE ISSUE OF NON-CONFORMING REGISTRATIONS</w:t>
      </w:r>
    </w:p>
    <w:p w:rsidR="00181F7C" w:rsidRDefault="00181F7C" w:rsidP="00181F7C"/>
    <w:p w:rsidR="00181F7C" w:rsidRPr="00181F7C" w:rsidRDefault="00181F7C" w:rsidP="00181F7C">
      <w:pPr>
        <w:ind w:left="1440"/>
        <w:rPr>
          <w:rFonts w:ascii="Century Gothic" w:hAnsi="Century Gothic"/>
          <w:sz w:val="24"/>
          <w:szCs w:val="24"/>
        </w:rPr>
      </w:pPr>
      <w:r>
        <w:rPr>
          <w:rFonts w:ascii="Century Gothic" w:hAnsi="Century Gothic"/>
          <w:sz w:val="24"/>
          <w:szCs w:val="24"/>
        </w:rPr>
        <w:t>In prior launch cycles, t</w:t>
      </w:r>
      <w:r w:rsidRPr="00181F7C">
        <w:rPr>
          <w:rFonts w:ascii="Century Gothic" w:hAnsi="Century Gothic"/>
          <w:sz w:val="24"/>
          <w:szCs w:val="24"/>
        </w:rPr>
        <w:t>he most prevalent kind of abuse was the fabrication of trademark information in</w:t>
      </w:r>
      <w:r>
        <w:rPr>
          <w:rFonts w:ascii="Century Gothic" w:hAnsi="Century Gothic"/>
          <w:sz w:val="24"/>
          <w:szCs w:val="24"/>
        </w:rPr>
        <w:t xml:space="preserve"> </w:t>
      </w:r>
      <w:r w:rsidRPr="00181F7C">
        <w:rPr>
          <w:rFonts w:ascii="Century Gothic" w:hAnsi="Century Gothic"/>
          <w:sz w:val="24"/>
          <w:szCs w:val="24"/>
        </w:rPr>
        <w:t>order to secure valuable “real estate” on the Internet before Land Rush began.</w:t>
      </w:r>
      <w:r>
        <w:rPr>
          <w:rFonts w:ascii="Century Gothic" w:hAnsi="Century Gothic"/>
          <w:sz w:val="24"/>
          <w:szCs w:val="24"/>
        </w:rPr>
        <w:t xml:space="preserve">  </w:t>
      </w:r>
      <w:r w:rsidRPr="00181F7C">
        <w:rPr>
          <w:rFonts w:ascii="Century Gothic" w:hAnsi="Century Gothic"/>
          <w:sz w:val="24"/>
          <w:szCs w:val="24"/>
        </w:rPr>
        <w:t>There was no preliminary screening or verification before registration by Afilias or</w:t>
      </w:r>
      <w:r>
        <w:rPr>
          <w:rFonts w:ascii="Century Gothic" w:hAnsi="Century Gothic"/>
          <w:sz w:val="24"/>
          <w:szCs w:val="24"/>
        </w:rPr>
        <w:t xml:space="preserve"> </w:t>
      </w:r>
      <w:r w:rsidRPr="00181F7C">
        <w:rPr>
          <w:rFonts w:ascii="Century Gothic" w:hAnsi="Century Gothic"/>
          <w:sz w:val="24"/>
          <w:szCs w:val="24"/>
        </w:rPr>
        <w:t>most registrars, so it was possible to obtain a name simply by placing any</w:t>
      </w:r>
      <w:r>
        <w:rPr>
          <w:rFonts w:ascii="Century Gothic" w:hAnsi="Century Gothic"/>
          <w:sz w:val="24"/>
          <w:szCs w:val="24"/>
        </w:rPr>
        <w:t xml:space="preserve"> </w:t>
      </w:r>
      <w:r w:rsidRPr="00181F7C">
        <w:rPr>
          <w:rFonts w:ascii="Century Gothic" w:hAnsi="Century Gothic"/>
          <w:sz w:val="24"/>
          <w:szCs w:val="24"/>
        </w:rPr>
        <w:t xml:space="preserve">information in the required fields and rendering payment. </w:t>
      </w:r>
      <w:r>
        <w:rPr>
          <w:rFonts w:ascii="Century Gothic" w:hAnsi="Century Gothic"/>
          <w:sz w:val="24"/>
          <w:szCs w:val="24"/>
        </w:rPr>
        <w:t xml:space="preserve"> </w:t>
      </w:r>
      <w:r w:rsidRPr="00181F7C">
        <w:rPr>
          <w:rFonts w:ascii="Century Gothic" w:hAnsi="Century Gothic"/>
          <w:sz w:val="24"/>
          <w:szCs w:val="24"/>
        </w:rPr>
        <w:t>It was reported widely</w:t>
      </w:r>
      <w:r>
        <w:rPr>
          <w:rFonts w:ascii="Century Gothic" w:hAnsi="Century Gothic"/>
          <w:sz w:val="24"/>
          <w:szCs w:val="24"/>
        </w:rPr>
        <w:t xml:space="preserve"> </w:t>
      </w:r>
      <w:r w:rsidRPr="00181F7C">
        <w:rPr>
          <w:rFonts w:ascii="Century Gothic" w:hAnsi="Century Gothic"/>
          <w:sz w:val="24"/>
          <w:szCs w:val="24"/>
        </w:rPr>
        <w:t>at the time that Bob Connelly, a member of the Afilias Board, resigned in protest</w:t>
      </w:r>
      <w:r>
        <w:rPr>
          <w:rFonts w:ascii="Century Gothic" w:hAnsi="Century Gothic"/>
          <w:sz w:val="24"/>
          <w:szCs w:val="24"/>
        </w:rPr>
        <w:t xml:space="preserve"> </w:t>
      </w:r>
      <w:r w:rsidRPr="00181F7C">
        <w:rPr>
          <w:rFonts w:ascii="Century Gothic" w:hAnsi="Century Gothic"/>
          <w:sz w:val="24"/>
          <w:szCs w:val="24"/>
        </w:rPr>
        <w:t xml:space="preserve">because of the way start-up was conducted, after </w:t>
      </w:r>
      <w:r>
        <w:rPr>
          <w:rFonts w:ascii="Century Gothic" w:hAnsi="Century Gothic"/>
          <w:sz w:val="24"/>
          <w:szCs w:val="24"/>
        </w:rPr>
        <w:t>declaring it an “abomination.”</w:t>
      </w:r>
      <w:r>
        <w:rPr>
          <w:rStyle w:val="FootnoteReference"/>
          <w:rFonts w:ascii="Century Gothic" w:hAnsi="Century Gothic"/>
          <w:sz w:val="24"/>
          <w:szCs w:val="24"/>
        </w:rPr>
        <w:footnoteReference w:id="41"/>
      </w:r>
    </w:p>
    <w:p w:rsidR="00B741F5" w:rsidRDefault="00B741F5" w:rsidP="00B741F5"/>
    <w:p w:rsidR="006D4255" w:rsidRDefault="000305F1" w:rsidP="006D4255">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REASONABLE COST ISSUES</w:t>
      </w:r>
    </w:p>
    <w:p w:rsidR="00ED48CC" w:rsidRDefault="00ED48CC" w:rsidP="00ED48CC"/>
    <w:p w:rsidR="00ED48CC" w:rsidRDefault="00ED48CC" w:rsidP="004943CB">
      <w:pPr>
        <w:ind w:left="1440"/>
        <w:rPr>
          <w:rFonts w:ascii="Century Gothic" w:hAnsi="Century Gothic"/>
          <w:sz w:val="24"/>
          <w:szCs w:val="24"/>
        </w:rPr>
      </w:pPr>
      <w:r>
        <w:rPr>
          <w:rFonts w:ascii="Century Gothic" w:hAnsi="Century Gothic"/>
          <w:sz w:val="24"/>
          <w:szCs w:val="24"/>
        </w:rPr>
        <w:t xml:space="preserve">In the earlier new gTLD rollout </w:t>
      </w:r>
      <w:r w:rsidRPr="00ED48CC">
        <w:rPr>
          <w:rFonts w:ascii="Century Gothic" w:hAnsi="Century Gothic"/>
          <w:sz w:val="24"/>
          <w:szCs w:val="24"/>
        </w:rPr>
        <w:t>Afilias proposed charging registrars a wholesale price</w:t>
      </w:r>
      <w:r>
        <w:rPr>
          <w:rFonts w:ascii="Century Gothic" w:hAnsi="Century Gothic"/>
          <w:sz w:val="24"/>
          <w:szCs w:val="24"/>
        </w:rPr>
        <w:t xml:space="preserve"> </w:t>
      </w:r>
      <w:r w:rsidRPr="00ED48CC">
        <w:rPr>
          <w:rFonts w:ascii="Century Gothic" w:hAnsi="Century Gothic"/>
          <w:sz w:val="24"/>
          <w:szCs w:val="24"/>
        </w:rPr>
        <w:t xml:space="preserve">of $5.75 per year per Sunrise registration, which </w:t>
      </w:r>
      <w:r>
        <w:rPr>
          <w:rFonts w:ascii="Century Gothic" w:hAnsi="Century Gothic"/>
          <w:sz w:val="24"/>
          <w:szCs w:val="24"/>
        </w:rPr>
        <w:t>was</w:t>
      </w:r>
      <w:r w:rsidRPr="00ED48CC">
        <w:rPr>
          <w:rFonts w:ascii="Century Gothic" w:hAnsi="Century Gothic"/>
          <w:sz w:val="24"/>
          <w:szCs w:val="24"/>
        </w:rPr>
        <w:t xml:space="preserve"> the same price as a</w:t>
      </w:r>
      <w:r>
        <w:rPr>
          <w:rFonts w:ascii="Century Gothic" w:hAnsi="Century Gothic"/>
          <w:sz w:val="24"/>
          <w:szCs w:val="24"/>
        </w:rPr>
        <w:t xml:space="preserve"> </w:t>
      </w:r>
      <w:r w:rsidRPr="00ED48CC">
        <w:rPr>
          <w:rFonts w:ascii="Century Gothic" w:hAnsi="Century Gothic"/>
          <w:sz w:val="24"/>
          <w:szCs w:val="24"/>
        </w:rPr>
        <w:t>normal registration. It concluded that at this price it was not feasible to</w:t>
      </w:r>
      <w:r>
        <w:rPr>
          <w:rFonts w:ascii="Century Gothic" w:hAnsi="Century Gothic"/>
          <w:sz w:val="24"/>
          <w:szCs w:val="24"/>
        </w:rPr>
        <w:t xml:space="preserve"> </w:t>
      </w:r>
      <w:r w:rsidRPr="00ED48CC">
        <w:rPr>
          <w:rFonts w:ascii="Century Gothic" w:hAnsi="Century Gothic"/>
          <w:sz w:val="24"/>
          <w:szCs w:val="24"/>
        </w:rPr>
        <w:t>check</w:t>
      </w:r>
      <w:r w:rsidR="004943CB">
        <w:rPr>
          <w:rFonts w:ascii="Century Gothic" w:hAnsi="Century Gothic"/>
          <w:sz w:val="24"/>
          <w:szCs w:val="24"/>
        </w:rPr>
        <w:t>/verify</w:t>
      </w:r>
      <w:r w:rsidRPr="00ED48CC">
        <w:rPr>
          <w:rFonts w:ascii="Century Gothic" w:hAnsi="Century Gothic"/>
          <w:sz w:val="24"/>
          <w:szCs w:val="24"/>
        </w:rPr>
        <w:t xml:space="preserve"> submissions</w:t>
      </w:r>
      <w:r w:rsidR="004943CB">
        <w:rPr>
          <w:rFonts w:ascii="Century Gothic" w:hAnsi="Century Gothic"/>
          <w:sz w:val="24"/>
          <w:szCs w:val="24"/>
        </w:rPr>
        <w:t>.  Abuse ensued.</w:t>
      </w:r>
    </w:p>
    <w:p w:rsidR="004943CB" w:rsidRPr="00ED48CC" w:rsidRDefault="004943CB" w:rsidP="004943CB">
      <w:pPr>
        <w:ind w:left="1440"/>
        <w:rPr>
          <w:rFonts w:ascii="Century Gothic" w:hAnsi="Century Gothic"/>
          <w:sz w:val="24"/>
          <w:szCs w:val="24"/>
        </w:rPr>
      </w:pPr>
    </w:p>
    <w:p w:rsidR="006D4255" w:rsidRDefault="006D4255" w:rsidP="006D4255"/>
    <w:p w:rsidR="006D4255" w:rsidRDefault="000305F1" w:rsidP="006D4255">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INTERNAL ENGINEERING ISSUES</w:t>
      </w:r>
    </w:p>
    <w:p w:rsidR="004943CB" w:rsidRDefault="004943CB" w:rsidP="004943CB"/>
    <w:p w:rsidR="004943CB" w:rsidRPr="004943CB" w:rsidRDefault="004943CB" w:rsidP="004943CB">
      <w:pPr>
        <w:ind w:left="1440"/>
        <w:rPr>
          <w:rFonts w:ascii="Century Gothic" w:hAnsi="Century Gothic"/>
          <w:sz w:val="24"/>
          <w:szCs w:val="24"/>
        </w:rPr>
      </w:pPr>
      <w:r>
        <w:rPr>
          <w:rFonts w:ascii="Century Gothic" w:hAnsi="Century Gothic"/>
          <w:sz w:val="24"/>
          <w:szCs w:val="24"/>
        </w:rPr>
        <w:t>Hundreds of new registries can offer the prospect of hundreds of new problems.  In a prior Sunrise period, a</w:t>
      </w:r>
      <w:r w:rsidRPr="004943CB">
        <w:rPr>
          <w:rFonts w:ascii="Century Gothic" w:hAnsi="Century Gothic"/>
          <w:sz w:val="24"/>
          <w:szCs w:val="24"/>
        </w:rPr>
        <w:t>t least one large registrar, for example, submitted tens</w:t>
      </w:r>
      <w:r>
        <w:rPr>
          <w:rFonts w:ascii="Century Gothic" w:hAnsi="Century Gothic"/>
          <w:sz w:val="24"/>
          <w:szCs w:val="24"/>
        </w:rPr>
        <w:t xml:space="preserve"> </w:t>
      </w:r>
      <w:r w:rsidRPr="004943CB">
        <w:rPr>
          <w:rFonts w:ascii="Century Gothic" w:hAnsi="Century Gothic"/>
          <w:sz w:val="24"/>
          <w:szCs w:val="24"/>
        </w:rPr>
        <w:t>of thousands of Sunrise applications with the identical information of “10-01-2000” (one day before the October 2, 2000 cutoff) in all Trademark Date fields</w:t>
      </w:r>
      <w:r>
        <w:rPr>
          <w:rFonts w:ascii="Century Gothic" w:hAnsi="Century Gothic"/>
          <w:sz w:val="24"/>
          <w:szCs w:val="24"/>
        </w:rPr>
        <w:t xml:space="preserve"> </w:t>
      </w:r>
      <w:r w:rsidRPr="004943CB">
        <w:rPr>
          <w:rFonts w:ascii="Century Gothic" w:hAnsi="Century Gothic"/>
          <w:sz w:val="24"/>
          <w:szCs w:val="24"/>
        </w:rPr>
        <w:t>and “US” in all Trademark Country fields. It was discovered later that most of the</w:t>
      </w:r>
      <w:r>
        <w:rPr>
          <w:rFonts w:ascii="Century Gothic" w:hAnsi="Century Gothic"/>
          <w:sz w:val="24"/>
          <w:szCs w:val="24"/>
        </w:rPr>
        <w:t xml:space="preserve"> </w:t>
      </w:r>
      <w:r w:rsidRPr="004943CB">
        <w:rPr>
          <w:rFonts w:ascii="Century Gothic" w:hAnsi="Century Gothic"/>
          <w:sz w:val="24"/>
          <w:szCs w:val="24"/>
        </w:rPr>
        <w:t>trademark owners had submitted valid data to the registrar, and that the registrar</w:t>
      </w:r>
      <w:r>
        <w:rPr>
          <w:rFonts w:ascii="Century Gothic" w:hAnsi="Century Gothic"/>
          <w:sz w:val="24"/>
          <w:szCs w:val="24"/>
        </w:rPr>
        <w:t xml:space="preserve"> </w:t>
      </w:r>
      <w:r w:rsidRPr="004943CB">
        <w:rPr>
          <w:rFonts w:ascii="Century Gothic" w:hAnsi="Century Gothic"/>
          <w:sz w:val="24"/>
          <w:szCs w:val="24"/>
        </w:rPr>
        <w:t>formatted the fields this way because of internal engineering problems.</w:t>
      </w:r>
      <w:r>
        <w:rPr>
          <w:rStyle w:val="FootnoteReference"/>
          <w:rFonts w:ascii="Century Gothic" w:hAnsi="Century Gothic"/>
          <w:sz w:val="24"/>
          <w:szCs w:val="24"/>
        </w:rPr>
        <w:footnoteReference w:id="42"/>
      </w:r>
      <w:r w:rsidRPr="004943CB">
        <w:rPr>
          <w:rFonts w:ascii="Century Gothic" w:hAnsi="Century Gothic"/>
          <w:sz w:val="24"/>
          <w:szCs w:val="24"/>
        </w:rPr>
        <w:t xml:space="preserve"> </w:t>
      </w:r>
    </w:p>
    <w:p w:rsidR="006D4255" w:rsidRDefault="006D4255" w:rsidP="006D4255"/>
    <w:p w:rsidR="006D4255" w:rsidRDefault="006D4255" w:rsidP="006D4255">
      <w:pPr>
        <w:pStyle w:val="Heading2"/>
        <w:numPr>
          <w:ilvl w:val="0"/>
          <w:numId w:val="2"/>
        </w:numPr>
        <w:rPr>
          <w:rFonts w:ascii="Century Gothic" w:hAnsi="Century Gothic"/>
          <w:color w:val="17365D" w:themeColor="text2" w:themeShade="BF"/>
          <w:sz w:val="24"/>
          <w:szCs w:val="24"/>
        </w:rPr>
      </w:pPr>
      <w:r w:rsidRPr="006D4255">
        <w:rPr>
          <w:rFonts w:ascii="Century Gothic" w:hAnsi="Century Gothic"/>
          <w:color w:val="17365D" w:themeColor="text2" w:themeShade="BF"/>
          <w:sz w:val="24"/>
          <w:szCs w:val="24"/>
        </w:rPr>
        <w:t>FABRICATED TRADEMARK DATA ISSUES</w:t>
      </w:r>
    </w:p>
    <w:p w:rsidR="004943CB" w:rsidRDefault="004943CB" w:rsidP="004943CB"/>
    <w:p w:rsidR="004943CB" w:rsidRDefault="00561744" w:rsidP="00561744">
      <w:pPr>
        <w:ind w:left="1440"/>
        <w:rPr>
          <w:rFonts w:ascii="Century Gothic" w:hAnsi="Century Gothic"/>
          <w:sz w:val="24"/>
          <w:szCs w:val="24"/>
        </w:rPr>
      </w:pPr>
      <w:r>
        <w:rPr>
          <w:rFonts w:ascii="Century Gothic" w:hAnsi="Century Gothic"/>
          <w:sz w:val="24"/>
          <w:szCs w:val="24"/>
        </w:rPr>
        <w:t xml:space="preserve">Abuse of process comes in many forms and such can be expected to accompany the new gTLD rollout.  Prior examples may be cited such as the </w:t>
      </w:r>
      <w:r w:rsidR="004943CB" w:rsidRPr="004943CB">
        <w:rPr>
          <w:rFonts w:ascii="Century Gothic" w:hAnsi="Century Gothic"/>
          <w:sz w:val="24"/>
          <w:szCs w:val="24"/>
        </w:rPr>
        <w:t>fabricat</w:t>
      </w:r>
      <w:r>
        <w:rPr>
          <w:rFonts w:ascii="Century Gothic" w:hAnsi="Century Gothic"/>
          <w:sz w:val="24"/>
          <w:szCs w:val="24"/>
        </w:rPr>
        <w:t>ion of</w:t>
      </w:r>
      <w:r w:rsidR="004943CB" w:rsidRPr="004943CB">
        <w:rPr>
          <w:rFonts w:ascii="Century Gothic" w:hAnsi="Century Gothic"/>
          <w:sz w:val="24"/>
          <w:szCs w:val="24"/>
        </w:rPr>
        <w:t xml:space="preserve"> trademark data in order to procure</w:t>
      </w:r>
      <w:r>
        <w:rPr>
          <w:rFonts w:ascii="Century Gothic" w:hAnsi="Century Gothic"/>
          <w:sz w:val="24"/>
          <w:szCs w:val="24"/>
        </w:rPr>
        <w:t xml:space="preserve"> </w:t>
      </w:r>
      <w:r w:rsidR="004943CB" w:rsidRPr="004943CB">
        <w:rPr>
          <w:rFonts w:ascii="Century Gothic" w:hAnsi="Century Gothic"/>
          <w:sz w:val="24"/>
          <w:szCs w:val="24"/>
        </w:rPr>
        <w:t>potentially valuable names, particularly “generic” names like “star.info” and</w:t>
      </w:r>
      <w:r>
        <w:rPr>
          <w:rFonts w:ascii="Century Gothic" w:hAnsi="Century Gothic"/>
          <w:sz w:val="24"/>
          <w:szCs w:val="24"/>
        </w:rPr>
        <w:t xml:space="preserve"> </w:t>
      </w:r>
      <w:r w:rsidR="004943CB" w:rsidRPr="004943CB">
        <w:rPr>
          <w:rFonts w:ascii="Century Gothic" w:hAnsi="Century Gothic"/>
          <w:sz w:val="24"/>
          <w:szCs w:val="24"/>
        </w:rPr>
        <w:t>“fashion.info.” In one notorious case, a registrant obtained nearly 5,000 Sunrise</w:t>
      </w:r>
      <w:r>
        <w:rPr>
          <w:rFonts w:ascii="Century Gothic" w:hAnsi="Century Gothic"/>
          <w:sz w:val="24"/>
          <w:szCs w:val="24"/>
        </w:rPr>
        <w:t xml:space="preserve"> </w:t>
      </w:r>
      <w:r w:rsidR="004943CB" w:rsidRPr="004943CB">
        <w:rPr>
          <w:rFonts w:ascii="Century Gothic" w:hAnsi="Century Gothic"/>
          <w:sz w:val="24"/>
          <w:szCs w:val="24"/>
        </w:rPr>
        <w:t>registrations without valid trademarks</w:t>
      </w:r>
      <w:r>
        <w:rPr>
          <w:rFonts w:ascii="Century Gothic" w:hAnsi="Century Gothic"/>
          <w:sz w:val="24"/>
          <w:szCs w:val="24"/>
        </w:rPr>
        <w:t xml:space="preserve">.  </w:t>
      </w:r>
      <w:r w:rsidRPr="00561744">
        <w:rPr>
          <w:rFonts w:ascii="Century Gothic" w:hAnsi="Century Gothic"/>
          <w:sz w:val="24"/>
          <w:szCs w:val="24"/>
        </w:rPr>
        <w:t xml:space="preserve">The registrant was </w:t>
      </w:r>
      <w:proofErr w:type="spellStart"/>
      <w:r w:rsidRPr="00561744">
        <w:rPr>
          <w:rFonts w:ascii="Century Gothic" w:hAnsi="Century Gothic"/>
          <w:sz w:val="24"/>
          <w:szCs w:val="24"/>
        </w:rPr>
        <w:t>Konrad</w:t>
      </w:r>
      <w:proofErr w:type="spellEnd"/>
      <w:r w:rsidRPr="00561744">
        <w:rPr>
          <w:rFonts w:ascii="Century Gothic" w:hAnsi="Century Gothic"/>
          <w:sz w:val="24"/>
          <w:szCs w:val="24"/>
        </w:rPr>
        <w:t xml:space="preserve"> </w:t>
      </w:r>
      <w:proofErr w:type="spellStart"/>
      <w:r w:rsidRPr="00561744">
        <w:rPr>
          <w:rFonts w:ascii="Century Gothic" w:hAnsi="Century Gothic"/>
          <w:sz w:val="24"/>
          <w:szCs w:val="24"/>
        </w:rPr>
        <w:t>Plankenstein</w:t>
      </w:r>
      <w:proofErr w:type="spellEnd"/>
      <w:r w:rsidRPr="00561744">
        <w:rPr>
          <w:rFonts w:ascii="Century Gothic" w:hAnsi="Century Gothic"/>
          <w:sz w:val="24"/>
          <w:szCs w:val="24"/>
        </w:rPr>
        <w:t xml:space="preserve"> and the registrar was </w:t>
      </w:r>
      <w:proofErr w:type="spellStart"/>
      <w:r w:rsidRPr="00561744">
        <w:rPr>
          <w:rFonts w:ascii="Century Gothic" w:hAnsi="Century Gothic"/>
          <w:sz w:val="24"/>
          <w:szCs w:val="24"/>
        </w:rPr>
        <w:t>Speednames</w:t>
      </w:r>
      <w:proofErr w:type="spellEnd"/>
      <w:r w:rsidRPr="00561744">
        <w:rPr>
          <w:rFonts w:ascii="Century Gothic" w:hAnsi="Century Gothic"/>
          <w:sz w:val="24"/>
          <w:szCs w:val="24"/>
        </w:rPr>
        <w:t>.</w:t>
      </w:r>
      <w:r>
        <w:rPr>
          <w:rFonts w:ascii="Century Gothic" w:hAnsi="Century Gothic"/>
          <w:sz w:val="24"/>
          <w:szCs w:val="24"/>
        </w:rPr>
        <w:t xml:space="preserve">  </w:t>
      </w:r>
      <w:r w:rsidRPr="00561744">
        <w:rPr>
          <w:rFonts w:ascii="Century Gothic" w:hAnsi="Century Gothic"/>
          <w:sz w:val="24"/>
          <w:szCs w:val="24"/>
        </w:rPr>
        <w:t>Appendix J of the Registry Agreement</w:t>
      </w:r>
      <w:r>
        <w:rPr>
          <w:rFonts w:ascii="Century Gothic" w:hAnsi="Century Gothic"/>
          <w:sz w:val="24"/>
          <w:szCs w:val="24"/>
        </w:rPr>
        <w:t xml:space="preserve"> </w:t>
      </w:r>
      <w:r w:rsidRPr="00561744">
        <w:rPr>
          <w:rFonts w:ascii="Century Gothic" w:hAnsi="Century Gothic"/>
          <w:sz w:val="24"/>
          <w:szCs w:val="24"/>
        </w:rPr>
        <w:t>may have increased this kind of abuse by making it clear that neither Afilias nor</w:t>
      </w:r>
      <w:r>
        <w:rPr>
          <w:rFonts w:ascii="Century Gothic" w:hAnsi="Century Gothic"/>
          <w:sz w:val="24"/>
          <w:szCs w:val="24"/>
        </w:rPr>
        <w:t xml:space="preserve"> </w:t>
      </w:r>
      <w:r w:rsidRPr="00561744">
        <w:rPr>
          <w:rFonts w:ascii="Century Gothic" w:hAnsi="Century Gothic"/>
          <w:sz w:val="24"/>
          <w:szCs w:val="24"/>
        </w:rPr>
        <w:t>registrars had any obligation to verify trademark information. It was generally</w:t>
      </w:r>
      <w:r>
        <w:rPr>
          <w:rFonts w:ascii="Century Gothic" w:hAnsi="Century Gothic"/>
          <w:sz w:val="24"/>
          <w:szCs w:val="24"/>
        </w:rPr>
        <w:t xml:space="preserve"> </w:t>
      </w:r>
      <w:r w:rsidRPr="00561744">
        <w:rPr>
          <w:rFonts w:ascii="Century Gothic" w:hAnsi="Century Gothic"/>
          <w:sz w:val="24"/>
          <w:szCs w:val="24"/>
        </w:rPr>
        <w:t>known among registrars, and at least some of their customers, that Afilias was</w:t>
      </w:r>
      <w:r>
        <w:rPr>
          <w:rFonts w:ascii="Century Gothic" w:hAnsi="Century Gothic"/>
          <w:sz w:val="24"/>
          <w:szCs w:val="24"/>
        </w:rPr>
        <w:t xml:space="preserve"> </w:t>
      </w:r>
      <w:r w:rsidRPr="00561744">
        <w:rPr>
          <w:rFonts w:ascii="Century Gothic" w:hAnsi="Century Gothic"/>
          <w:sz w:val="24"/>
          <w:szCs w:val="24"/>
        </w:rPr>
        <w:t>not going to check Sunrise applications prior to processing. Registrants who</w:t>
      </w:r>
      <w:r>
        <w:rPr>
          <w:rFonts w:ascii="Century Gothic" w:hAnsi="Century Gothic"/>
          <w:sz w:val="24"/>
          <w:szCs w:val="24"/>
        </w:rPr>
        <w:t xml:space="preserve"> </w:t>
      </w:r>
      <w:r w:rsidRPr="00561744">
        <w:rPr>
          <w:rFonts w:ascii="Century Gothic" w:hAnsi="Century Gothic"/>
          <w:sz w:val="24"/>
          <w:szCs w:val="24"/>
        </w:rPr>
        <w:t>falsified trademark data presumably believed that the benefit of gaining a highly</w:t>
      </w:r>
      <w:r>
        <w:rPr>
          <w:rFonts w:ascii="Century Gothic" w:hAnsi="Century Gothic"/>
          <w:sz w:val="24"/>
          <w:szCs w:val="24"/>
        </w:rPr>
        <w:t xml:space="preserve"> </w:t>
      </w:r>
      <w:r w:rsidRPr="00561744">
        <w:rPr>
          <w:rFonts w:ascii="Century Gothic" w:hAnsi="Century Gothic"/>
          <w:sz w:val="24"/>
          <w:szCs w:val="24"/>
        </w:rPr>
        <w:t>desirable name outweighed the risk of losing it later upon discovery.</w:t>
      </w:r>
      <w:r w:rsidRPr="00561744">
        <w:rPr>
          <w:rStyle w:val="FootnoteReference"/>
          <w:rFonts w:ascii="Century Gothic" w:hAnsi="Century Gothic"/>
          <w:sz w:val="24"/>
          <w:szCs w:val="24"/>
        </w:rPr>
        <w:t xml:space="preserve"> </w:t>
      </w:r>
      <w:r>
        <w:rPr>
          <w:rStyle w:val="FootnoteReference"/>
          <w:rFonts w:ascii="Century Gothic" w:hAnsi="Century Gothic"/>
          <w:sz w:val="24"/>
          <w:szCs w:val="24"/>
        </w:rPr>
        <w:footnoteReference w:id="43"/>
      </w:r>
    </w:p>
    <w:p w:rsidR="00561744" w:rsidRDefault="00561744" w:rsidP="00561744">
      <w:pPr>
        <w:ind w:left="1440"/>
        <w:rPr>
          <w:rFonts w:ascii="Century Gothic" w:hAnsi="Century Gothic"/>
          <w:sz w:val="24"/>
          <w:szCs w:val="24"/>
        </w:rPr>
      </w:pPr>
    </w:p>
    <w:p w:rsidR="00561744" w:rsidRPr="004943CB" w:rsidRDefault="00561744" w:rsidP="00561744">
      <w:pPr>
        <w:ind w:left="1440"/>
        <w:rPr>
          <w:rFonts w:ascii="Century Gothic" w:hAnsi="Century Gothic"/>
          <w:sz w:val="24"/>
          <w:szCs w:val="24"/>
        </w:rPr>
      </w:pPr>
    </w:p>
    <w:p w:rsidR="006D4255" w:rsidRDefault="006D4255" w:rsidP="006D4255"/>
    <w:p w:rsidR="006D4255" w:rsidRDefault="006D4255" w:rsidP="006D4255">
      <w:pPr>
        <w:pStyle w:val="Heading2"/>
        <w:numPr>
          <w:ilvl w:val="0"/>
          <w:numId w:val="2"/>
        </w:numPr>
        <w:rPr>
          <w:rFonts w:ascii="Century Gothic" w:hAnsi="Century Gothic"/>
          <w:color w:val="17365D" w:themeColor="text2" w:themeShade="BF"/>
          <w:sz w:val="24"/>
          <w:szCs w:val="24"/>
        </w:rPr>
      </w:pPr>
      <w:r w:rsidRPr="006D4255">
        <w:rPr>
          <w:rFonts w:ascii="Century Gothic" w:hAnsi="Century Gothic"/>
          <w:color w:val="17365D" w:themeColor="text2" w:themeShade="BF"/>
          <w:sz w:val="24"/>
          <w:szCs w:val="24"/>
        </w:rPr>
        <w:t>THE ISSUE OF REGISTRANT CONFUSION</w:t>
      </w:r>
    </w:p>
    <w:p w:rsidR="00561744" w:rsidRDefault="00561744" w:rsidP="00561744"/>
    <w:p w:rsidR="00561744" w:rsidRPr="00561744" w:rsidRDefault="00D823B2" w:rsidP="00561744">
      <w:pPr>
        <w:ind w:left="1440"/>
        <w:rPr>
          <w:rFonts w:ascii="Century Gothic" w:hAnsi="Century Gothic"/>
          <w:sz w:val="24"/>
          <w:szCs w:val="24"/>
        </w:rPr>
      </w:pPr>
      <w:r>
        <w:rPr>
          <w:rFonts w:ascii="Century Gothic" w:hAnsi="Century Gothic"/>
          <w:sz w:val="24"/>
          <w:szCs w:val="24"/>
        </w:rPr>
        <w:t>One can anticipate</w:t>
      </w:r>
      <w:r w:rsidR="00561744" w:rsidRPr="00561744">
        <w:rPr>
          <w:rFonts w:ascii="Century Gothic" w:hAnsi="Century Gothic"/>
          <w:sz w:val="24"/>
          <w:szCs w:val="24"/>
        </w:rPr>
        <w:t xml:space="preserve"> potential registrant confusion concerning the nature and</w:t>
      </w:r>
      <w:r w:rsidR="00561744">
        <w:rPr>
          <w:rFonts w:ascii="Century Gothic" w:hAnsi="Century Gothic"/>
          <w:sz w:val="24"/>
          <w:szCs w:val="24"/>
        </w:rPr>
        <w:t xml:space="preserve"> </w:t>
      </w:r>
      <w:r>
        <w:rPr>
          <w:rFonts w:ascii="Century Gothic" w:hAnsi="Century Gothic"/>
          <w:sz w:val="24"/>
          <w:szCs w:val="24"/>
        </w:rPr>
        <w:t xml:space="preserve">manner of new gTLD </w:t>
      </w:r>
      <w:r w:rsidR="00561744" w:rsidRPr="00561744">
        <w:rPr>
          <w:rFonts w:ascii="Century Gothic" w:hAnsi="Century Gothic"/>
          <w:sz w:val="24"/>
          <w:szCs w:val="24"/>
        </w:rPr>
        <w:t>start-up mechanism</w:t>
      </w:r>
      <w:r>
        <w:rPr>
          <w:rFonts w:ascii="Century Gothic" w:hAnsi="Century Gothic"/>
          <w:sz w:val="24"/>
          <w:szCs w:val="24"/>
        </w:rPr>
        <w:t>s</w:t>
      </w:r>
      <w:r w:rsidR="00561744" w:rsidRPr="00561744">
        <w:rPr>
          <w:rFonts w:ascii="Century Gothic" w:hAnsi="Century Gothic"/>
          <w:sz w:val="24"/>
          <w:szCs w:val="24"/>
        </w:rPr>
        <w:t xml:space="preserve"> (e.g., when and how they</w:t>
      </w:r>
      <w:r>
        <w:rPr>
          <w:rFonts w:ascii="Century Gothic" w:hAnsi="Century Gothic"/>
          <w:sz w:val="24"/>
          <w:szCs w:val="24"/>
        </w:rPr>
        <w:t>’re</w:t>
      </w:r>
      <w:r w:rsidR="00561744" w:rsidRPr="00561744">
        <w:rPr>
          <w:rFonts w:ascii="Century Gothic" w:hAnsi="Century Gothic"/>
          <w:sz w:val="24"/>
          <w:szCs w:val="24"/>
        </w:rPr>
        <w:t xml:space="preserve"> expected</w:t>
      </w:r>
      <w:r w:rsidR="00561744">
        <w:rPr>
          <w:rFonts w:ascii="Century Gothic" w:hAnsi="Century Gothic"/>
          <w:sz w:val="24"/>
          <w:szCs w:val="24"/>
        </w:rPr>
        <w:t xml:space="preserve"> </w:t>
      </w:r>
      <w:r w:rsidR="00561744" w:rsidRPr="00561744">
        <w:rPr>
          <w:rFonts w:ascii="Century Gothic" w:hAnsi="Century Gothic"/>
          <w:sz w:val="24"/>
          <w:szCs w:val="24"/>
        </w:rPr>
        <w:t>to apply, when they w</w:t>
      </w:r>
      <w:r>
        <w:rPr>
          <w:rFonts w:ascii="Century Gothic" w:hAnsi="Century Gothic"/>
          <w:sz w:val="24"/>
          <w:szCs w:val="24"/>
        </w:rPr>
        <w:t xml:space="preserve">ill be </w:t>
      </w:r>
      <w:r w:rsidR="00561744" w:rsidRPr="00561744">
        <w:rPr>
          <w:rFonts w:ascii="Century Gothic" w:hAnsi="Century Gothic"/>
          <w:sz w:val="24"/>
          <w:szCs w:val="24"/>
        </w:rPr>
        <w:t>receiv</w:t>
      </w:r>
      <w:r>
        <w:rPr>
          <w:rFonts w:ascii="Century Gothic" w:hAnsi="Century Gothic"/>
          <w:sz w:val="24"/>
          <w:szCs w:val="24"/>
        </w:rPr>
        <w:t>ing</w:t>
      </w:r>
      <w:r w:rsidR="00561744" w:rsidRPr="00561744">
        <w:rPr>
          <w:rFonts w:ascii="Century Gothic" w:hAnsi="Century Gothic"/>
          <w:sz w:val="24"/>
          <w:szCs w:val="24"/>
        </w:rPr>
        <w:t xml:space="preserve"> </w:t>
      </w:r>
      <w:r w:rsidRPr="00561744">
        <w:rPr>
          <w:rFonts w:ascii="Century Gothic" w:hAnsi="Century Gothic"/>
          <w:sz w:val="24"/>
          <w:szCs w:val="24"/>
        </w:rPr>
        <w:t>decisions</w:t>
      </w:r>
      <w:r w:rsidR="00561744" w:rsidRPr="00561744">
        <w:rPr>
          <w:rFonts w:ascii="Century Gothic" w:hAnsi="Century Gothic"/>
          <w:sz w:val="24"/>
          <w:szCs w:val="24"/>
        </w:rPr>
        <w:t xml:space="preserve"> and the nature of</w:t>
      </w:r>
      <w:r w:rsidR="00561744">
        <w:rPr>
          <w:rFonts w:ascii="Century Gothic" w:hAnsi="Century Gothic"/>
          <w:sz w:val="24"/>
          <w:szCs w:val="24"/>
        </w:rPr>
        <w:t xml:space="preserve"> the ground rules</w:t>
      </w:r>
      <w:r>
        <w:rPr>
          <w:rFonts w:ascii="Century Gothic" w:hAnsi="Century Gothic"/>
          <w:sz w:val="24"/>
          <w:szCs w:val="24"/>
        </w:rPr>
        <w:t xml:space="preserve">).   </w:t>
      </w:r>
      <w:r w:rsidR="00561744" w:rsidRPr="00561744">
        <w:rPr>
          <w:rFonts w:ascii="Century Gothic" w:hAnsi="Century Gothic"/>
          <w:sz w:val="24"/>
          <w:szCs w:val="24"/>
        </w:rPr>
        <w:t xml:space="preserve">As noted </w:t>
      </w:r>
      <w:r>
        <w:rPr>
          <w:rFonts w:ascii="Century Gothic" w:hAnsi="Century Gothic"/>
          <w:sz w:val="24"/>
          <w:szCs w:val="24"/>
        </w:rPr>
        <w:t>in</w:t>
      </w:r>
      <w:r w:rsidR="00561744" w:rsidRPr="00561744">
        <w:rPr>
          <w:rFonts w:ascii="Century Gothic" w:hAnsi="Century Gothic"/>
          <w:sz w:val="24"/>
          <w:szCs w:val="24"/>
        </w:rPr>
        <w:t xml:space="preserve"> the .info discussion</w:t>
      </w:r>
      <w:r>
        <w:rPr>
          <w:rFonts w:ascii="Century Gothic" w:hAnsi="Century Gothic"/>
          <w:sz w:val="24"/>
          <w:szCs w:val="24"/>
        </w:rPr>
        <w:t>s</w:t>
      </w:r>
      <w:r w:rsidR="00561744" w:rsidRPr="00561744">
        <w:rPr>
          <w:rFonts w:ascii="Century Gothic" w:hAnsi="Century Gothic"/>
          <w:sz w:val="24"/>
          <w:szCs w:val="24"/>
        </w:rPr>
        <w:t>, there were reports of significant</w:t>
      </w:r>
      <w:r>
        <w:rPr>
          <w:rFonts w:ascii="Century Gothic" w:hAnsi="Century Gothic"/>
          <w:sz w:val="24"/>
          <w:szCs w:val="24"/>
        </w:rPr>
        <w:t xml:space="preserve"> </w:t>
      </w:r>
      <w:r w:rsidR="00561744" w:rsidRPr="00561744">
        <w:rPr>
          <w:rFonts w:ascii="Century Gothic" w:hAnsi="Century Gothic"/>
          <w:sz w:val="24"/>
          <w:szCs w:val="24"/>
        </w:rPr>
        <w:t>confusion among actual and potential registrants, registrars and others following</w:t>
      </w:r>
      <w:r>
        <w:rPr>
          <w:rFonts w:ascii="Century Gothic" w:hAnsi="Century Gothic"/>
          <w:sz w:val="24"/>
          <w:szCs w:val="24"/>
        </w:rPr>
        <w:t xml:space="preserve"> </w:t>
      </w:r>
      <w:r w:rsidR="00561744" w:rsidRPr="00561744">
        <w:rPr>
          <w:rFonts w:ascii="Century Gothic" w:hAnsi="Century Gothic"/>
          <w:sz w:val="24"/>
          <w:szCs w:val="24"/>
        </w:rPr>
        <w:t>launch of the new gTLDs as a whole. Some of it flowed from the “proof of</w:t>
      </w:r>
      <w:r>
        <w:rPr>
          <w:rFonts w:ascii="Century Gothic" w:hAnsi="Century Gothic"/>
          <w:sz w:val="24"/>
          <w:szCs w:val="24"/>
        </w:rPr>
        <w:t xml:space="preserve"> </w:t>
      </w:r>
      <w:r w:rsidR="00561744" w:rsidRPr="00561744">
        <w:rPr>
          <w:rFonts w:ascii="Century Gothic" w:hAnsi="Century Gothic"/>
          <w:sz w:val="24"/>
          <w:szCs w:val="24"/>
        </w:rPr>
        <w:t>concept” notion to try different start-up mechanisms and from the existing</w:t>
      </w:r>
      <w:r>
        <w:rPr>
          <w:rFonts w:ascii="Century Gothic" w:hAnsi="Century Gothic"/>
          <w:sz w:val="24"/>
          <w:szCs w:val="24"/>
        </w:rPr>
        <w:t xml:space="preserve"> </w:t>
      </w:r>
      <w:r w:rsidR="00561744" w:rsidRPr="00561744">
        <w:rPr>
          <w:rFonts w:ascii="Century Gothic" w:hAnsi="Century Gothic"/>
          <w:sz w:val="24"/>
          <w:szCs w:val="24"/>
        </w:rPr>
        <w:t>structure of having registrars serve as intermediaries between registries and</w:t>
      </w:r>
      <w:r>
        <w:rPr>
          <w:rFonts w:ascii="Century Gothic" w:hAnsi="Century Gothic"/>
          <w:sz w:val="24"/>
          <w:szCs w:val="24"/>
        </w:rPr>
        <w:t xml:space="preserve"> </w:t>
      </w:r>
      <w:r w:rsidR="00561744" w:rsidRPr="00561744">
        <w:rPr>
          <w:rFonts w:ascii="Century Gothic" w:hAnsi="Century Gothic"/>
          <w:sz w:val="24"/>
          <w:szCs w:val="24"/>
        </w:rPr>
        <w:t>registrants.</w:t>
      </w:r>
      <w:r w:rsidR="00561744">
        <w:rPr>
          <w:rFonts w:ascii="Century Gothic" w:hAnsi="Century Gothic"/>
          <w:sz w:val="24"/>
          <w:szCs w:val="24"/>
        </w:rPr>
        <w:t xml:space="preserve">  </w:t>
      </w:r>
      <w:r w:rsidR="00561744" w:rsidRPr="00561744">
        <w:rPr>
          <w:rFonts w:ascii="Century Gothic" w:hAnsi="Century Gothic"/>
          <w:sz w:val="24"/>
          <w:szCs w:val="24"/>
        </w:rPr>
        <w:t>Some of the confusion stemmed from the need for registries and registrants to</w:t>
      </w:r>
      <w:r>
        <w:rPr>
          <w:rFonts w:ascii="Century Gothic" w:hAnsi="Century Gothic"/>
          <w:sz w:val="24"/>
          <w:szCs w:val="24"/>
        </w:rPr>
        <w:t xml:space="preserve"> </w:t>
      </w:r>
      <w:r w:rsidR="00561744" w:rsidRPr="00561744">
        <w:rPr>
          <w:rFonts w:ascii="Century Gothic" w:hAnsi="Century Gothic"/>
          <w:sz w:val="24"/>
          <w:szCs w:val="24"/>
        </w:rPr>
        <w:t>communicate about new mechanisms and procedures through registrars, rather</w:t>
      </w:r>
      <w:r>
        <w:rPr>
          <w:rFonts w:ascii="Century Gothic" w:hAnsi="Century Gothic"/>
          <w:sz w:val="24"/>
          <w:szCs w:val="24"/>
        </w:rPr>
        <w:t xml:space="preserve"> </w:t>
      </w:r>
      <w:r w:rsidR="00561744" w:rsidRPr="00561744">
        <w:rPr>
          <w:rFonts w:ascii="Century Gothic" w:hAnsi="Century Gothic"/>
          <w:sz w:val="24"/>
          <w:szCs w:val="24"/>
        </w:rPr>
        <w:t xml:space="preserve">than directly. </w:t>
      </w:r>
      <w:r>
        <w:rPr>
          <w:rFonts w:ascii="Century Gothic" w:hAnsi="Century Gothic"/>
          <w:sz w:val="24"/>
          <w:szCs w:val="24"/>
        </w:rPr>
        <w:t xml:space="preserve"> </w:t>
      </w:r>
      <w:r w:rsidR="00561744" w:rsidRPr="00561744">
        <w:rPr>
          <w:rFonts w:ascii="Century Gothic" w:hAnsi="Century Gothic"/>
          <w:sz w:val="24"/>
          <w:szCs w:val="24"/>
        </w:rPr>
        <w:t>With sponsored TLDs, the whole notion of “sponsorship” was also</w:t>
      </w:r>
      <w:r>
        <w:rPr>
          <w:rFonts w:ascii="Century Gothic" w:hAnsi="Century Gothic"/>
          <w:sz w:val="24"/>
          <w:szCs w:val="24"/>
        </w:rPr>
        <w:t xml:space="preserve"> </w:t>
      </w:r>
      <w:r w:rsidR="00561744" w:rsidRPr="00561744">
        <w:rPr>
          <w:rFonts w:ascii="Century Gothic" w:hAnsi="Century Gothic"/>
          <w:sz w:val="24"/>
          <w:szCs w:val="24"/>
        </w:rPr>
        <w:t>new. It was not entirely clear what ICANN’s “delegated authority” over policy</w:t>
      </w:r>
      <w:r>
        <w:rPr>
          <w:rFonts w:ascii="Century Gothic" w:hAnsi="Century Gothic"/>
          <w:sz w:val="24"/>
          <w:szCs w:val="24"/>
        </w:rPr>
        <w:t xml:space="preserve"> </w:t>
      </w:r>
      <w:r w:rsidR="00561744" w:rsidRPr="00561744">
        <w:rPr>
          <w:rFonts w:ascii="Century Gothic" w:hAnsi="Century Gothic"/>
          <w:sz w:val="24"/>
          <w:szCs w:val="24"/>
        </w:rPr>
        <w:t>development would mean in practice. In addition, in the sponsored communities</w:t>
      </w:r>
      <w:r>
        <w:rPr>
          <w:rFonts w:ascii="Century Gothic" w:hAnsi="Century Gothic"/>
          <w:sz w:val="24"/>
          <w:szCs w:val="24"/>
        </w:rPr>
        <w:t xml:space="preserve"> </w:t>
      </w:r>
      <w:r w:rsidR="00561744" w:rsidRPr="00561744">
        <w:rPr>
          <w:rFonts w:ascii="Century Gothic" w:hAnsi="Century Gothic"/>
          <w:sz w:val="24"/>
          <w:szCs w:val="24"/>
        </w:rPr>
        <w:t>there was less familiarity with the role of registrars, and a marked preference for</w:t>
      </w:r>
      <w:r>
        <w:rPr>
          <w:rFonts w:ascii="Century Gothic" w:hAnsi="Century Gothic"/>
          <w:sz w:val="24"/>
          <w:szCs w:val="24"/>
        </w:rPr>
        <w:t xml:space="preserve"> </w:t>
      </w:r>
      <w:r w:rsidR="00561744" w:rsidRPr="00561744">
        <w:rPr>
          <w:rFonts w:ascii="Century Gothic" w:hAnsi="Century Gothic"/>
          <w:sz w:val="24"/>
          <w:szCs w:val="24"/>
        </w:rPr>
        <w:t>being able to deal with a Sponsoring Organization that was familiar (and</w:t>
      </w:r>
      <w:r>
        <w:rPr>
          <w:rFonts w:ascii="Century Gothic" w:hAnsi="Century Gothic"/>
          <w:sz w:val="24"/>
          <w:szCs w:val="24"/>
        </w:rPr>
        <w:t xml:space="preserve"> </w:t>
      </w:r>
      <w:r w:rsidR="00561744" w:rsidRPr="00561744">
        <w:rPr>
          <w:rFonts w:ascii="Century Gothic" w:hAnsi="Century Gothic"/>
          <w:sz w:val="24"/>
          <w:szCs w:val="24"/>
        </w:rPr>
        <w:t>precisely the reason why the Sponsor was selected by ICANN in the first place).</w:t>
      </w:r>
      <w:r>
        <w:rPr>
          <w:rStyle w:val="FootnoteReference"/>
          <w:rFonts w:ascii="Century Gothic" w:hAnsi="Century Gothic"/>
          <w:sz w:val="24"/>
          <w:szCs w:val="24"/>
        </w:rPr>
        <w:footnoteReference w:id="44"/>
      </w:r>
    </w:p>
    <w:p w:rsidR="00CE1767" w:rsidRDefault="00CE1767" w:rsidP="00CE1767"/>
    <w:p w:rsidR="00CE1767" w:rsidRDefault="00CE1767" w:rsidP="00CE1767">
      <w:pPr>
        <w:pStyle w:val="Heading2"/>
        <w:numPr>
          <w:ilvl w:val="0"/>
          <w:numId w:val="2"/>
        </w:numPr>
        <w:rPr>
          <w:rFonts w:ascii="Century Gothic" w:hAnsi="Century Gothic"/>
          <w:color w:val="17365D" w:themeColor="text2" w:themeShade="BF"/>
          <w:sz w:val="24"/>
          <w:szCs w:val="24"/>
        </w:rPr>
      </w:pPr>
      <w:r w:rsidRPr="00CE1767">
        <w:rPr>
          <w:rFonts w:ascii="Century Gothic" w:hAnsi="Century Gothic"/>
          <w:color w:val="17365D" w:themeColor="text2" w:themeShade="BF"/>
          <w:sz w:val="24"/>
          <w:szCs w:val="24"/>
        </w:rPr>
        <w:t>THE TRADEMARK &amp; GENERIC NAME ISSUE</w:t>
      </w:r>
    </w:p>
    <w:p w:rsidR="00D823B2" w:rsidRDefault="00D823B2" w:rsidP="00D823B2"/>
    <w:p w:rsidR="00D823B2" w:rsidRPr="00D823B2" w:rsidRDefault="00D823B2" w:rsidP="00D823B2">
      <w:pPr>
        <w:ind w:left="1440"/>
        <w:rPr>
          <w:rFonts w:ascii="Century Gothic" w:hAnsi="Century Gothic"/>
          <w:sz w:val="24"/>
          <w:szCs w:val="24"/>
        </w:rPr>
      </w:pPr>
      <w:r>
        <w:rPr>
          <w:rFonts w:ascii="Century Gothic" w:hAnsi="Century Gothic"/>
          <w:sz w:val="24"/>
          <w:szCs w:val="24"/>
        </w:rPr>
        <w:t>Trademark</w:t>
      </w:r>
      <w:r w:rsidRPr="00D823B2">
        <w:rPr>
          <w:rFonts w:ascii="Century Gothic" w:hAnsi="Century Gothic"/>
          <w:sz w:val="24"/>
          <w:szCs w:val="24"/>
        </w:rPr>
        <w:t xml:space="preserve"> holders </w:t>
      </w:r>
      <w:r>
        <w:rPr>
          <w:rFonts w:ascii="Century Gothic" w:hAnsi="Century Gothic"/>
          <w:sz w:val="24"/>
          <w:szCs w:val="24"/>
        </w:rPr>
        <w:t>have been</w:t>
      </w:r>
      <w:r w:rsidRPr="00D823B2">
        <w:rPr>
          <w:rFonts w:ascii="Century Gothic" w:hAnsi="Century Gothic"/>
          <w:sz w:val="24"/>
          <w:szCs w:val="24"/>
        </w:rPr>
        <w:t xml:space="preserve"> able to claim</w:t>
      </w:r>
      <w:r>
        <w:rPr>
          <w:rFonts w:ascii="Century Gothic" w:hAnsi="Century Gothic"/>
          <w:sz w:val="24"/>
          <w:szCs w:val="24"/>
        </w:rPr>
        <w:t xml:space="preserve"> </w:t>
      </w:r>
      <w:r w:rsidRPr="00D823B2">
        <w:rPr>
          <w:rFonts w:ascii="Century Gothic" w:hAnsi="Century Gothic"/>
          <w:sz w:val="24"/>
          <w:szCs w:val="24"/>
        </w:rPr>
        <w:t>“generic” words in advance of the general public</w:t>
      </w:r>
      <w:r>
        <w:rPr>
          <w:rFonts w:ascii="Century Gothic" w:hAnsi="Century Gothic"/>
          <w:sz w:val="24"/>
          <w:szCs w:val="24"/>
        </w:rPr>
        <w:t xml:space="preserve"> – a process that has </w:t>
      </w:r>
      <w:r w:rsidR="00191FFB">
        <w:rPr>
          <w:rFonts w:ascii="Century Gothic" w:hAnsi="Century Gothic"/>
          <w:sz w:val="24"/>
          <w:szCs w:val="24"/>
        </w:rPr>
        <w:t xml:space="preserve">engendered </w:t>
      </w:r>
      <w:r>
        <w:rPr>
          <w:rFonts w:ascii="Century Gothic" w:hAnsi="Century Gothic"/>
          <w:sz w:val="24"/>
          <w:szCs w:val="24"/>
        </w:rPr>
        <w:t>numerous legitimate complaints.</w:t>
      </w:r>
      <w:r w:rsidRPr="00D823B2">
        <w:rPr>
          <w:rFonts w:ascii="Century Gothic" w:hAnsi="Century Gothic"/>
          <w:sz w:val="24"/>
          <w:szCs w:val="24"/>
        </w:rPr>
        <w:t xml:space="preserve"> </w:t>
      </w:r>
      <w:r>
        <w:rPr>
          <w:rFonts w:ascii="Century Gothic" w:hAnsi="Century Gothic"/>
          <w:sz w:val="24"/>
          <w:szCs w:val="24"/>
        </w:rPr>
        <w:t xml:space="preserve">  For example, t</w:t>
      </w:r>
      <w:r w:rsidRPr="00D823B2">
        <w:rPr>
          <w:rFonts w:ascii="Century Gothic" w:hAnsi="Century Gothic"/>
          <w:sz w:val="24"/>
          <w:szCs w:val="24"/>
        </w:rPr>
        <w:t>he domain name “sun.info,”</w:t>
      </w:r>
      <w:r>
        <w:rPr>
          <w:rFonts w:ascii="Century Gothic" w:hAnsi="Century Gothic"/>
          <w:sz w:val="24"/>
          <w:szCs w:val="24"/>
        </w:rPr>
        <w:t xml:space="preserve"> </w:t>
      </w:r>
      <w:r w:rsidRPr="00D823B2">
        <w:rPr>
          <w:rFonts w:ascii="Century Gothic" w:hAnsi="Century Gothic"/>
          <w:sz w:val="24"/>
          <w:szCs w:val="24"/>
        </w:rPr>
        <w:t>was registered during Su</w:t>
      </w:r>
      <w:r>
        <w:rPr>
          <w:rFonts w:ascii="Century Gothic" w:hAnsi="Century Gothic"/>
          <w:sz w:val="24"/>
          <w:szCs w:val="24"/>
        </w:rPr>
        <w:t>nrise by Sun Microsystems, Inc</w:t>
      </w:r>
      <w:r w:rsidR="002238F6">
        <w:rPr>
          <w:rFonts w:ascii="Century Gothic" w:hAnsi="Century Gothic"/>
          <w:sz w:val="24"/>
          <w:szCs w:val="24"/>
        </w:rPr>
        <w:t>.</w:t>
      </w:r>
      <w:r w:rsidR="002238F6">
        <w:rPr>
          <w:rStyle w:val="FootnoteReference"/>
          <w:rFonts w:ascii="Century Gothic" w:hAnsi="Century Gothic"/>
          <w:sz w:val="24"/>
          <w:szCs w:val="24"/>
        </w:rPr>
        <w:footnoteReference w:id="45"/>
      </w:r>
      <w:r>
        <w:rPr>
          <w:rFonts w:ascii="Century Gothic" w:hAnsi="Century Gothic"/>
          <w:sz w:val="24"/>
          <w:szCs w:val="24"/>
        </w:rPr>
        <w:t xml:space="preserve">.  </w:t>
      </w:r>
      <w:r w:rsidR="002238F6">
        <w:rPr>
          <w:rFonts w:ascii="Century Gothic" w:hAnsi="Century Gothic"/>
          <w:sz w:val="24"/>
          <w:szCs w:val="24"/>
        </w:rPr>
        <w:t xml:space="preserve"> </w:t>
      </w:r>
      <w:r>
        <w:rPr>
          <w:rFonts w:ascii="Century Gothic" w:hAnsi="Century Gothic"/>
          <w:sz w:val="24"/>
          <w:szCs w:val="24"/>
        </w:rPr>
        <w:t>We can expect similar grievances to be raised in the new gTLD launch as ICANN has not modified its policies in this regard.</w:t>
      </w:r>
    </w:p>
    <w:p w:rsidR="001E7A8A" w:rsidRDefault="001E7A8A" w:rsidP="001E7A8A"/>
    <w:p w:rsidR="001010AB" w:rsidRDefault="001010AB" w:rsidP="001E7A8A"/>
    <w:p w:rsidR="001E7A8A" w:rsidRDefault="001E7A8A" w:rsidP="001E7A8A">
      <w:pPr>
        <w:pStyle w:val="Heading2"/>
        <w:numPr>
          <w:ilvl w:val="0"/>
          <w:numId w:val="2"/>
        </w:numPr>
        <w:rPr>
          <w:rFonts w:ascii="Century Gothic" w:hAnsi="Century Gothic"/>
          <w:color w:val="17365D" w:themeColor="text2" w:themeShade="BF"/>
          <w:sz w:val="24"/>
          <w:szCs w:val="24"/>
        </w:rPr>
      </w:pPr>
      <w:r w:rsidRPr="001E7A8A">
        <w:rPr>
          <w:rFonts w:ascii="Century Gothic" w:hAnsi="Century Gothic"/>
          <w:color w:val="17365D" w:themeColor="text2" w:themeShade="BF"/>
          <w:sz w:val="24"/>
          <w:szCs w:val="24"/>
        </w:rPr>
        <w:t>THE LOTTERY ISSUE</w:t>
      </w:r>
    </w:p>
    <w:p w:rsidR="001010AB" w:rsidRDefault="001010AB" w:rsidP="001010AB"/>
    <w:p w:rsidR="001010AB" w:rsidRPr="001010AB" w:rsidRDefault="001010AB" w:rsidP="00E81A3F">
      <w:pPr>
        <w:ind w:left="1440"/>
        <w:rPr>
          <w:rFonts w:ascii="Century Gothic" w:hAnsi="Century Gothic"/>
          <w:sz w:val="24"/>
          <w:szCs w:val="24"/>
        </w:rPr>
      </w:pPr>
      <w:r w:rsidRPr="001010AB">
        <w:rPr>
          <w:rFonts w:ascii="Century Gothic" w:hAnsi="Century Gothic"/>
          <w:sz w:val="24"/>
          <w:szCs w:val="24"/>
        </w:rPr>
        <w:t>Initial efforts by .biz to design an alternative distribution</w:t>
      </w:r>
      <w:r w:rsidR="00E81A3F">
        <w:rPr>
          <w:rFonts w:ascii="Century Gothic" w:hAnsi="Century Gothic"/>
          <w:sz w:val="24"/>
          <w:szCs w:val="24"/>
        </w:rPr>
        <w:t xml:space="preserve"> </w:t>
      </w:r>
      <w:r w:rsidRPr="001010AB">
        <w:rPr>
          <w:rFonts w:ascii="Century Gothic" w:hAnsi="Century Gothic"/>
          <w:sz w:val="24"/>
          <w:szCs w:val="24"/>
        </w:rPr>
        <w:t>system led a court to determine it would have constituted an illegal lottery.</w:t>
      </w:r>
      <w:r>
        <w:rPr>
          <w:rFonts w:ascii="Century Gothic" w:hAnsi="Century Gothic"/>
          <w:sz w:val="24"/>
          <w:szCs w:val="24"/>
        </w:rPr>
        <w:t xml:space="preserve">  </w:t>
      </w:r>
      <w:r w:rsidRPr="001010AB">
        <w:rPr>
          <w:rFonts w:ascii="Century Gothic" w:hAnsi="Century Gothic"/>
          <w:sz w:val="24"/>
          <w:szCs w:val="24"/>
        </w:rPr>
        <w:t>On July 23, 2001, David Scott Smiley, doing business as Smiley Productions and</w:t>
      </w:r>
      <w:r w:rsidR="00E81A3F">
        <w:rPr>
          <w:rFonts w:ascii="Century Gothic" w:hAnsi="Century Gothic"/>
          <w:sz w:val="24"/>
          <w:szCs w:val="24"/>
        </w:rPr>
        <w:t xml:space="preserve"> </w:t>
      </w:r>
      <w:r w:rsidRPr="001010AB">
        <w:rPr>
          <w:rFonts w:ascii="Century Gothic" w:hAnsi="Century Gothic"/>
          <w:sz w:val="24"/>
          <w:szCs w:val="24"/>
        </w:rPr>
        <w:t>Skyscraper Productions, LLC, filed a class action suit on behalf of all .biz</w:t>
      </w:r>
      <w:r w:rsidR="00E81A3F">
        <w:rPr>
          <w:rFonts w:ascii="Century Gothic" w:hAnsi="Century Gothic"/>
          <w:sz w:val="24"/>
          <w:szCs w:val="24"/>
        </w:rPr>
        <w:t xml:space="preserve"> </w:t>
      </w:r>
      <w:r w:rsidRPr="001010AB">
        <w:rPr>
          <w:rFonts w:ascii="Century Gothic" w:hAnsi="Century Gothic"/>
          <w:sz w:val="24"/>
          <w:szCs w:val="24"/>
        </w:rPr>
        <w:t xml:space="preserve">registrants in California Superior Court using that argument. </w:t>
      </w:r>
      <w:r w:rsidR="00E81A3F">
        <w:rPr>
          <w:rFonts w:ascii="Century Gothic" w:hAnsi="Century Gothic"/>
          <w:sz w:val="24"/>
          <w:szCs w:val="24"/>
        </w:rPr>
        <w:t xml:space="preserve"> </w:t>
      </w:r>
      <w:r w:rsidRPr="001010AB">
        <w:rPr>
          <w:rFonts w:ascii="Century Gothic" w:hAnsi="Century Gothic"/>
          <w:sz w:val="24"/>
          <w:szCs w:val="24"/>
        </w:rPr>
        <w:t>The plaintiffs alleged unjust enrichment and violation of competition</w:t>
      </w:r>
      <w:r w:rsidR="00E81A3F">
        <w:rPr>
          <w:rFonts w:ascii="Century Gothic" w:hAnsi="Century Gothic"/>
          <w:sz w:val="24"/>
          <w:szCs w:val="24"/>
        </w:rPr>
        <w:t xml:space="preserve"> </w:t>
      </w:r>
      <w:r w:rsidRPr="001010AB">
        <w:rPr>
          <w:rFonts w:ascii="Century Gothic" w:hAnsi="Century Gothic"/>
          <w:sz w:val="24"/>
          <w:szCs w:val="24"/>
        </w:rPr>
        <w:t>and consumer protection laws by distributing the TLD through means that</w:t>
      </w:r>
      <w:r w:rsidR="00E81A3F">
        <w:rPr>
          <w:rFonts w:ascii="Century Gothic" w:hAnsi="Century Gothic"/>
          <w:sz w:val="24"/>
          <w:szCs w:val="24"/>
        </w:rPr>
        <w:t xml:space="preserve"> </w:t>
      </w:r>
      <w:r w:rsidRPr="001010AB">
        <w:rPr>
          <w:rFonts w:ascii="Century Gothic" w:hAnsi="Century Gothic"/>
          <w:sz w:val="24"/>
          <w:szCs w:val="24"/>
        </w:rPr>
        <w:t>constituted an illegal lottery.</w:t>
      </w:r>
      <w:r w:rsidR="00E81A3F">
        <w:rPr>
          <w:rFonts w:ascii="Century Gothic" w:hAnsi="Century Gothic"/>
          <w:sz w:val="24"/>
          <w:szCs w:val="24"/>
        </w:rPr>
        <w:t xml:space="preserve">  </w:t>
      </w:r>
      <w:r w:rsidR="00E81A3F" w:rsidRPr="00E81A3F">
        <w:rPr>
          <w:rFonts w:ascii="Century Gothic" w:hAnsi="Century Gothic"/>
          <w:sz w:val="24"/>
          <w:szCs w:val="24"/>
        </w:rPr>
        <w:t xml:space="preserve">The plaintiffs moved for a preliminary injunction, which the Court granted. </w:t>
      </w:r>
      <w:r w:rsidR="00E81A3F">
        <w:rPr>
          <w:rFonts w:ascii="Century Gothic" w:hAnsi="Century Gothic"/>
          <w:sz w:val="24"/>
          <w:szCs w:val="24"/>
        </w:rPr>
        <w:t xml:space="preserve"> </w:t>
      </w:r>
      <w:r w:rsidR="00E81A3F" w:rsidRPr="00E81A3F">
        <w:rPr>
          <w:rFonts w:ascii="Century Gothic" w:hAnsi="Century Gothic"/>
          <w:sz w:val="24"/>
          <w:szCs w:val="24"/>
        </w:rPr>
        <w:t>The</w:t>
      </w:r>
      <w:r w:rsidR="00E81A3F">
        <w:rPr>
          <w:rFonts w:ascii="Century Gothic" w:hAnsi="Century Gothic"/>
          <w:sz w:val="24"/>
          <w:szCs w:val="24"/>
        </w:rPr>
        <w:t xml:space="preserve"> </w:t>
      </w:r>
      <w:r w:rsidR="00E81A3F" w:rsidRPr="00E81A3F">
        <w:rPr>
          <w:rFonts w:ascii="Century Gothic" w:hAnsi="Century Gothic"/>
          <w:sz w:val="24"/>
          <w:szCs w:val="24"/>
        </w:rPr>
        <w:t>court found there was reason to believe that the Land Rush system, particularly</w:t>
      </w:r>
      <w:r w:rsidR="00E81A3F">
        <w:rPr>
          <w:rFonts w:ascii="Century Gothic" w:hAnsi="Century Gothic"/>
          <w:sz w:val="24"/>
          <w:szCs w:val="24"/>
        </w:rPr>
        <w:t xml:space="preserve"> </w:t>
      </w:r>
      <w:r w:rsidR="00E81A3F" w:rsidRPr="00E81A3F">
        <w:rPr>
          <w:rFonts w:ascii="Century Gothic" w:hAnsi="Century Gothic"/>
          <w:sz w:val="24"/>
          <w:szCs w:val="24"/>
        </w:rPr>
        <w:t xml:space="preserve">the $2.00 fee, violated California’s lottery law. </w:t>
      </w:r>
      <w:r w:rsidR="00E81A3F">
        <w:rPr>
          <w:rFonts w:ascii="Century Gothic" w:hAnsi="Century Gothic"/>
          <w:sz w:val="24"/>
          <w:szCs w:val="24"/>
        </w:rPr>
        <w:t xml:space="preserve"> </w:t>
      </w:r>
      <w:r w:rsidR="00E81A3F" w:rsidRPr="00E81A3F">
        <w:rPr>
          <w:rFonts w:ascii="Century Gothic" w:hAnsi="Century Gothic"/>
          <w:sz w:val="24"/>
          <w:szCs w:val="24"/>
        </w:rPr>
        <w:t>The Court granted a preliminary</w:t>
      </w:r>
      <w:r w:rsidR="00E81A3F">
        <w:rPr>
          <w:rFonts w:ascii="Century Gothic" w:hAnsi="Century Gothic"/>
          <w:sz w:val="24"/>
          <w:szCs w:val="24"/>
        </w:rPr>
        <w:t xml:space="preserve"> </w:t>
      </w:r>
      <w:r w:rsidR="00E81A3F" w:rsidRPr="00E81A3F">
        <w:rPr>
          <w:rFonts w:ascii="Century Gothic" w:hAnsi="Century Gothic"/>
          <w:sz w:val="24"/>
          <w:szCs w:val="24"/>
        </w:rPr>
        <w:t>injunction against NeuLevel. NeuLevel</w:t>
      </w:r>
      <w:r w:rsidR="00E81A3F">
        <w:rPr>
          <w:rFonts w:ascii="Century Gothic" w:hAnsi="Century Gothic"/>
          <w:sz w:val="24"/>
          <w:szCs w:val="24"/>
        </w:rPr>
        <w:t xml:space="preserve"> </w:t>
      </w:r>
      <w:r w:rsidR="00E81A3F" w:rsidRPr="00E81A3F">
        <w:rPr>
          <w:rFonts w:ascii="Century Gothic" w:hAnsi="Century Gothic"/>
          <w:sz w:val="24"/>
          <w:szCs w:val="24"/>
        </w:rPr>
        <w:t>maintains the view that it would have prevailed on the merits, but it decided to</w:t>
      </w:r>
      <w:r w:rsidR="00E81A3F">
        <w:rPr>
          <w:rFonts w:ascii="Century Gothic" w:hAnsi="Century Gothic"/>
          <w:sz w:val="24"/>
          <w:szCs w:val="24"/>
        </w:rPr>
        <w:t xml:space="preserve"> </w:t>
      </w:r>
      <w:r w:rsidR="00E81A3F" w:rsidRPr="00E81A3F">
        <w:rPr>
          <w:rFonts w:ascii="Century Gothic" w:hAnsi="Century Gothic"/>
          <w:sz w:val="24"/>
          <w:szCs w:val="24"/>
        </w:rPr>
        <w:t>settle the case for roughly $3 million (which included refunding the application</w:t>
      </w:r>
      <w:r w:rsidR="00E81A3F">
        <w:rPr>
          <w:rFonts w:ascii="Century Gothic" w:hAnsi="Century Gothic"/>
          <w:sz w:val="24"/>
          <w:szCs w:val="24"/>
        </w:rPr>
        <w:t xml:space="preserve"> </w:t>
      </w:r>
      <w:r w:rsidR="00E81A3F" w:rsidRPr="00E81A3F">
        <w:rPr>
          <w:rFonts w:ascii="Century Gothic" w:hAnsi="Century Gothic"/>
          <w:sz w:val="24"/>
          <w:szCs w:val="24"/>
        </w:rPr>
        <w:t>fees and paying attorneys’ fees) in the interests of getting the TLD launched as</w:t>
      </w:r>
      <w:r w:rsidR="00E81A3F">
        <w:rPr>
          <w:rFonts w:ascii="Century Gothic" w:hAnsi="Century Gothic"/>
          <w:sz w:val="24"/>
          <w:szCs w:val="24"/>
        </w:rPr>
        <w:t xml:space="preserve"> </w:t>
      </w:r>
      <w:r w:rsidR="00E81A3F" w:rsidRPr="00E81A3F">
        <w:rPr>
          <w:rFonts w:ascii="Century Gothic" w:hAnsi="Century Gothic"/>
          <w:sz w:val="24"/>
          <w:szCs w:val="24"/>
        </w:rPr>
        <w:t>quickly as possible.</w:t>
      </w:r>
      <w:r w:rsidR="00E81A3F">
        <w:rPr>
          <w:rStyle w:val="FootnoteReference"/>
          <w:rFonts w:ascii="Century Gothic" w:hAnsi="Century Gothic"/>
          <w:sz w:val="24"/>
          <w:szCs w:val="24"/>
        </w:rPr>
        <w:footnoteReference w:id="46"/>
      </w:r>
      <w:r w:rsidR="00E81A3F">
        <w:rPr>
          <w:rFonts w:ascii="Century Gothic" w:hAnsi="Century Gothic"/>
          <w:sz w:val="24"/>
          <w:szCs w:val="24"/>
        </w:rPr>
        <w:t xml:space="preserve">  As new gTLD operators embark on developing new allocation systems, similar challenges may be encountered.</w:t>
      </w:r>
    </w:p>
    <w:p w:rsidR="002E3692" w:rsidRDefault="002E3692" w:rsidP="002E3692"/>
    <w:p w:rsidR="000B388E" w:rsidRDefault="000B388E" w:rsidP="000B388E">
      <w:pPr>
        <w:pStyle w:val="Heading2"/>
        <w:numPr>
          <w:ilvl w:val="0"/>
          <w:numId w:val="2"/>
        </w:numPr>
        <w:rPr>
          <w:rFonts w:ascii="Century Gothic" w:hAnsi="Century Gothic"/>
          <w:color w:val="17365D" w:themeColor="text2" w:themeShade="BF"/>
          <w:sz w:val="24"/>
          <w:szCs w:val="24"/>
        </w:rPr>
      </w:pPr>
      <w:r w:rsidRPr="000B388E">
        <w:rPr>
          <w:rFonts w:ascii="Century Gothic" w:hAnsi="Century Gothic"/>
          <w:color w:val="17365D" w:themeColor="text2" w:themeShade="BF"/>
          <w:sz w:val="24"/>
          <w:szCs w:val="24"/>
        </w:rPr>
        <w:t>LEGAL &amp; REGULATORY ISSUES</w:t>
      </w:r>
    </w:p>
    <w:p w:rsidR="003460B1" w:rsidRDefault="003460B1" w:rsidP="003460B1"/>
    <w:p w:rsidR="003460B1" w:rsidRPr="003460B1" w:rsidRDefault="003460B1" w:rsidP="003460B1">
      <w:pPr>
        <w:ind w:left="1440"/>
        <w:rPr>
          <w:rFonts w:ascii="Century Gothic" w:hAnsi="Century Gothic"/>
          <w:sz w:val="24"/>
          <w:szCs w:val="24"/>
        </w:rPr>
      </w:pPr>
      <w:r>
        <w:rPr>
          <w:rFonts w:ascii="Century Gothic" w:hAnsi="Century Gothic"/>
          <w:sz w:val="24"/>
          <w:szCs w:val="24"/>
        </w:rPr>
        <w:t xml:space="preserve">Prior new gTLD start-up mechanisms resulted in numerous lawsuits being filed even though </w:t>
      </w:r>
      <w:r w:rsidRPr="003460B1">
        <w:rPr>
          <w:rFonts w:ascii="Century Gothic" w:hAnsi="Century Gothic"/>
          <w:sz w:val="24"/>
          <w:szCs w:val="24"/>
        </w:rPr>
        <w:t>each</w:t>
      </w:r>
      <w:r>
        <w:rPr>
          <w:rFonts w:ascii="Century Gothic" w:hAnsi="Century Gothic"/>
          <w:sz w:val="24"/>
          <w:szCs w:val="24"/>
        </w:rPr>
        <w:t xml:space="preserve"> </w:t>
      </w:r>
      <w:r w:rsidRPr="003460B1">
        <w:rPr>
          <w:rFonts w:ascii="Century Gothic" w:hAnsi="Century Gothic"/>
          <w:sz w:val="24"/>
          <w:szCs w:val="24"/>
        </w:rPr>
        <w:t>applicant for a new gTLD executed detailed waivers as part of its original</w:t>
      </w:r>
      <w:r>
        <w:rPr>
          <w:rFonts w:ascii="Century Gothic" w:hAnsi="Century Gothic"/>
          <w:sz w:val="24"/>
          <w:szCs w:val="24"/>
        </w:rPr>
        <w:t xml:space="preserve"> </w:t>
      </w:r>
      <w:r w:rsidRPr="003460B1">
        <w:rPr>
          <w:rFonts w:ascii="Century Gothic" w:hAnsi="Century Gothic"/>
          <w:sz w:val="24"/>
          <w:szCs w:val="24"/>
        </w:rPr>
        <w:t>application to ICANN</w:t>
      </w:r>
      <w:r w:rsidR="000061C3">
        <w:rPr>
          <w:rStyle w:val="FootnoteReference"/>
          <w:rFonts w:ascii="Century Gothic" w:hAnsi="Century Gothic"/>
          <w:sz w:val="24"/>
          <w:szCs w:val="24"/>
        </w:rPr>
        <w:footnoteReference w:id="47"/>
      </w:r>
      <w:r w:rsidR="000061C3">
        <w:rPr>
          <w:rFonts w:ascii="Century Gothic" w:hAnsi="Century Gothic"/>
          <w:sz w:val="24"/>
          <w:szCs w:val="24"/>
        </w:rPr>
        <w:t xml:space="preserve">; some operators also faced challenges from alternate root registries and such challenges may once more be expected in the upcoming new gTLD round.  On the regulatory front, just as the </w:t>
      </w:r>
      <w:r w:rsidR="000061C3" w:rsidRPr="000061C3">
        <w:rPr>
          <w:rFonts w:ascii="Century Gothic" w:hAnsi="Century Gothic"/>
          <w:sz w:val="24"/>
          <w:szCs w:val="24"/>
        </w:rPr>
        <w:t>EU Data Protection Act of 1998</w:t>
      </w:r>
      <w:r w:rsidR="000061C3">
        <w:rPr>
          <w:rFonts w:ascii="Century Gothic" w:hAnsi="Century Gothic"/>
          <w:sz w:val="24"/>
          <w:szCs w:val="24"/>
        </w:rPr>
        <w:t xml:space="preserve"> necessitated certain Registry Agreement modifications, new legislative activities in other parts of the world might also impact the ICANN processes in the future.</w:t>
      </w:r>
    </w:p>
    <w:p w:rsidR="008D5302" w:rsidRDefault="008D5302" w:rsidP="008D5302"/>
    <w:p w:rsidR="001010AB" w:rsidRDefault="001010AB" w:rsidP="001010AB"/>
    <w:p w:rsidR="001010AB" w:rsidRDefault="001010AB" w:rsidP="001010AB">
      <w:pPr>
        <w:pStyle w:val="Heading1"/>
        <w:rPr>
          <w:rFonts w:ascii="Century Gothic" w:hAnsi="Century Gothic"/>
        </w:rPr>
      </w:pPr>
      <w:r w:rsidRPr="001010AB">
        <w:rPr>
          <w:rFonts w:ascii="Century Gothic" w:hAnsi="Century Gothic"/>
        </w:rPr>
        <w:t>PUTTING TH</w:t>
      </w:r>
      <w:r w:rsidR="000061C3">
        <w:rPr>
          <w:rFonts w:ascii="Century Gothic" w:hAnsi="Century Gothic"/>
        </w:rPr>
        <w:t>E THR</w:t>
      </w:r>
      <w:r w:rsidRPr="001010AB">
        <w:rPr>
          <w:rFonts w:ascii="Century Gothic" w:hAnsi="Century Gothic"/>
        </w:rPr>
        <w:t>EAT</w:t>
      </w:r>
      <w:r w:rsidR="000061C3">
        <w:rPr>
          <w:rFonts w:ascii="Century Gothic" w:hAnsi="Century Gothic"/>
        </w:rPr>
        <w:t xml:space="preserve"> MATRIX</w:t>
      </w:r>
      <w:r w:rsidRPr="001010AB">
        <w:rPr>
          <w:rFonts w:ascii="Century Gothic" w:hAnsi="Century Gothic"/>
        </w:rPr>
        <w:t xml:space="preserve"> IN</w:t>
      </w:r>
      <w:r w:rsidR="000061C3">
        <w:rPr>
          <w:rFonts w:ascii="Century Gothic" w:hAnsi="Century Gothic"/>
        </w:rPr>
        <w:t>TO</w:t>
      </w:r>
      <w:r w:rsidRPr="001010AB">
        <w:rPr>
          <w:rFonts w:ascii="Century Gothic" w:hAnsi="Century Gothic"/>
        </w:rPr>
        <w:t xml:space="preserve"> CONTEXT</w:t>
      </w:r>
    </w:p>
    <w:p w:rsidR="000061C3" w:rsidRDefault="000061C3" w:rsidP="000061C3"/>
    <w:p w:rsidR="000061C3" w:rsidRDefault="00963E6B" w:rsidP="000061C3">
      <w:pPr>
        <w:ind w:left="720"/>
        <w:rPr>
          <w:rFonts w:ascii="Century Gothic" w:hAnsi="Century Gothic"/>
          <w:sz w:val="24"/>
          <w:szCs w:val="24"/>
        </w:rPr>
      </w:pPr>
      <w:r>
        <w:rPr>
          <w:rFonts w:ascii="Century Gothic" w:hAnsi="Century Gothic"/>
          <w:sz w:val="24"/>
          <w:szCs w:val="24"/>
        </w:rPr>
        <w:t xml:space="preserve">Admittedly, there were a host of issues associated with the prior limited rollout of new gTLDs.  As we move forward, ICANN will not be launching just a few gTLDs, it will be launching hundreds of new gTLDs – and this is sure to remain a source of consternation.  While many parties will be negatively impacted by ICANN’s decision, the fundamental challenge that we face is ensuring that ICANN can scale up to properly meet its obligations as steward of the global domain name system so that </w:t>
      </w:r>
      <w:r w:rsidR="00EE291A">
        <w:rPr>
          <w:rFonts w:ascii="Century Gothic" w:hAnsi="Century Gothic"/>
          <w:sz w:val="24"/>
          <w:szCs w:val="24"/>
        </w:rPr>
        <w:t xml:space="preserve">whatever </w:t>
      </w:r>
      <w:r>
        <w:rPr>
          <w:rFonts w:ascii="Century Gothic" w:hAnsi="Century Gothic"/>
          <w:sz w:val="24"/>
          <w:szCs w:val="24"/>
        </w:rPr>
        <w:t xml:space="preserve">detrimental impacts </w:t>
      </w:r>
      <w:r w:rsidR="00EE291A">
        <w:rPr>
          <w:rFonts w:ascii="Century Gothic" w:hAnsi="Century Gothic"/>
          <w:sz w:val="24"/>
          <w:szCs w:val="24"/>
        </w:rPr>
        <w:t>may</w:t>
      </w:r>
      <w:r w:rsidR="00B30468">
        <w:rPr>
          <w:rFonts w:ascii="Century Gothic" w:hAnsi="Century Gothic"/>
          <w:sz w:val="24"/>
          <w:szCs w:val="24"/>
        </w:rPr>
        <w:t xml:space="preserve"> result from this program </w:t>
      </w:r>
      <w:r>
        <w:rPr>
          <w:rFonts w:ascii="Century Gothic" w:hAnsi="Century Gothic"/>
          <w:sz w:val="24"/>
          <w:szCs w:val="24"/>
        </w:rPr>
        <w:t xml:space="preserve">will be outweighed by </w:t>
      </w:r>
      <w:r w:rsidR="00EE291A">
        <w:rPr>
          <w:rFonts w:ascii="Century Gothic" w:hAnsi="Century Gothic"/>
          <w:sz w:val="24"/>
          <w:szCs w:val="24"/>
        </w:rPr>
        <w:t>th</w:t>
      </w:r>
      <w:r w:rsidR="00B21B65">
        <w:rPr>
          <w:rFonts w:ascii="Century Gothic" w:hAnsi="Century Gothic"/>
          <w:sz w:val="24"/>
          <w:szCs w:val="24"/>
        </w:rPr>
        <w:t>e</w:t>
      </w:r>
      <w:r>
        <w:rPr>
          <w:rFonts w:ascii="Century Gothic" w:hAnsi="Century Gothic"/>
          <w:sz w:val="24"/>
          <w:szCs w:val="24"/>
        </w:rPr>
        <w:t xml:space="preserve"> benefits </w:t>
      </w:r>
      <w:r w:rsidR="00EE291A">
        <w:rPr>
          <w:rFonts w:ascii="Century Gothic" w:hAnsi="Century Gothic"/>
          <w:sz w:val="24"/>
          <w:szCs w:val="24"/>
        </w:rPr>
        <w:t xml:space="preserve">that will </w:t>
      </w:r>
      <w:r>
        <w:rPr>
          <w:rFonts w:ascii="Century Gothic" w:hAnsi="Century Gothic"/>
          <w:sz w:val="24"/>
          <w:szCs w:val="24"/>
        </w:rPr>
        <w:t>accrue under th</w:t>
      </w:r>
      <w:r w:rsidR="00B30468">
        <w:rPr>
          <w:rFonts w:ascii="Century Gothic" w:hAnsi="Century Gothic"/>
          <w:sz w:val="24"/>
          <w:szCs w:val="24"/>
        </w:rPr>
        <w:t>e</w:t>
      </w:r>
      <w:r>
        <w:rPr>
          <w:rFonts w:ascii="Century Gothic" w:hAnsi="Century Gothic"/>
          <w:sz w:val="24"/>
          <w:szCs w:val="24"/>
        </w:rPr>
        <w:t xml:space="preserve"> program.</w:t>
      </w:r>
    </w:p>
    <w:p w:rsidR="00B30468" w:rsidRDefault="00B30468" w:rsidP="000061C3">
      <w:pPr>
        <w:ind w:left="720"/>
        <w:rPr>
          <w:rFonts w:ascii="Century Gothic" w:hAnsi="Century Gothic"/>
          <w:sz w:val="24"/>
          <w:szCs w:val="24"/>
        </w:rPr>
      </w:pPr>
      <w:r>
        <w:rPr>
          <w:rFonts w:ascii="Century Gothic" w:hAnsi="Century Gothic"/>
          <w:sz w:val="24"/>
          <w:szCs w:val="24"/>
        </w:rPr>
        <w:t>To ensure such benefits, a policy-formulating and regulatory regime needs to be in place that will effectively serve the needs of the public interest.</w:t>
      </w:r>
    </w:p>
    <w:p w:rsidR="00B30468" w:rsidRDefault="00B30468" w:rsidP="000061C3">
      <w:pPr>
        <w:ind w:left="720"/>
        <w:rPr>
          <w:rFonts w:ascii="Century Gothic" w:hAnsi="Century Gothic"/>
          <w:sz w:val="24"/>
          <w:szCs w:val="24"/>
        </w:rPr>
      </w:pPr>
    </w:p>
    <w:p w:rsidR="00B30468" w:rsidRDefault="00B30468" w:rsidP="00B30468">
      <w:pPr>
        <w:pStyle w:val="Heading1"/>
        <w:rPr>
          <w:rFonts w:ascii="Century Gothic" w:hAnsi="Century Gothic"/>
        </w:rPr>
      </w:pPr>
      <w:r w:rsidRPr="00B30468">
        <w:rPr>
          <w:rFonts w:ascii="Century Gothic" w:hAnsi="Century Gothic"/>
        </w:rPr>
        <w:t>THE AT-LARGE COMMUNITY &amp; THE PUBLIC INTEREST</w:t>
      </w:r>
    </w:p>
    <w:p w:rsidR="00B30468" w:rsidRDefault="00B30468" w:rsidP="00B30468"/>
    <w:p w:rsidR="007C25D5" w:rsidRDefault="00EE291A" w:rsidP="00B30468">
      <w:pPr>
        <w:ind w:left="720"/>
        <w:rPr>
          <w:rFonts w:ascii="Century Gothic" w:hAnsi="Century Gothic"/>
          <w:sz w:val="24"/>
          <w:szCs w:val="24"/>
        </w:rPr>
      </w:pPr>
      <w:r>
        <w:rPr>
          <w:rFonts w:ascii="Century Gothic" w:hAnsi="Century Gothic"/>
          <w:sz w:val="24"/>
          <w:szCs w:val="24"/>
        </w:rPr>
        <w:t xml:space="preserve">To answer the question, “Where does ICANN need to be in three to five years’ time?” we must first thoroughly understand </w:t>
      </w:r>
      <w:r w:rsidR="00B21B65">
        <w:rPr>
          <w:rFonts w:ascii="Century Gothic" w:hAnsi="Century Gothic"/>
          <w:sz w:val="24"/>
          <w:szCs w:val="24"/>
        </w:rPr>
        <w:t xml:space="preserve">our own construct and the nature of those deficiencies that </w:t>
      </w:r>
      <w:r w:rsidR="008F5A49">
        <w:rPr>
          <w:rFonts w:ascii="Century Gothic" w:hAnsi="Century Gothic"/>
          <w:sz w:val="24"/>
          <w:szCs w:val="24"/>
        </w:rPr>
        <w:t>hamper our forward progress</w:t>
      </w:r>
      <w:r w:rsidR="00B21B65">
        <w:rPr>
          <w:rFonts w:ascii="Century Gothic" w:hAnsi="Century Gothic"/>
          <w:sz w:val="24"/>
          <w:szCs w:val="24"/>
        </w:rPr>
        <w:t>.</w:t>
      </w:r>
    </w:p>
    <w:p w:rsidR="00B21B65" w:rsidRDefault="00B21B65" w:rsidP="00B30468">
      <w:pPr>
        <w:ind w:left="720"/>
        <w:rPr>
          <w:rFonts w:ascii="Century Gothic" w:hAnsi="Century Gothic"/>
          <w:sz w:val="24"/>
          <w:szCs w:val="24"/>
        </w:rPr>
      </w:pPr>
      <w:r>
        <w:rPr>
          <w:rFonts w:ascii="Century Gothic" w:hAnsi="Century Gothic"/>
          <w:sz w:val="24"/>
          <w:szCs w:val="24"/>
        </w:rPr>
        <w:t>The ICANN organization has previously been described by its own CEO as “</w:t>
      </w:r>
      <w:r w:rsidRPr="007C25D5">
        <w:rPr>
          <w:rFonts w:ascii="Century Gothic" w:hAnsi="Century Gothic"/>
          <w:sz w:val="24"/>
          <w:szCs w:val="24"/>
        </w:rPr>
        <w:t>a collection of squabbling interests, tied up in an elaborately complicated organizational chart</w:t>
      </w:r>
      <w:r>
        <w:rPr>
          <w:rFonts w:ascii="Century Gothic" w:hAnsi="Century Gothic"/>
          <w:sz w:val="24"/>
          <w:szCs w:val="24"/>
        </w:rPr>
        <w:t>” with At-Large membership serving as the “</w:t>
      </w:r>
      <w:r w:rsidRPr="007C25D5">
        <w:rPr>
          <w:rFonts w:ascii="Century Gothic" w:hAnsi="Century Gothic"/>
          <w:sz w:val="24"/>
          <w:szCs w:val="24"/>
        </w:rPr>
        <w:t>single largest distraction from what should have been the central ICANN focus</w:t>
      </w:r>
      <w:r>
        <w:rPr>
          <w:rFonts w:ascii="Century Gothic" w:hAnsi="Century Gothic"/>
          <w:sz w:val="24"/>
          <w:szCs w:val="24"/>
        </w:rPr>
        <w:t>”.</w:t>
      </w:r>
      <w:r>
        <w:rPr>
          <w:rStyle w:val="FootnoteReference"/>
          <w:rFonts w:ascii="Century Gothic" w:hAnsi="Century Gothic"/>
          <w:sz w:val="24"/>
          <w:szCs w:val="24"/>
        </w:rPr>
        <w:footnoteReference w:id="48"/>
      </w:r>
    </w:p>
    <w:p w:rsidR="00B30468" w:rsidRDefault="00B21B65" w:rsidP="00B30468">
      <w:pPr>
        <w:ind w:left="720"/>
        <w:rPr>
          <w:rFonts w:ascii="Century Gothic" w:hAnsi="Century Gothic"/>
          <w:sz w:val="24"/>
          <w:szCs w:val="24"/>
        </w:rPr>
      </w:pPr>
      <w:r>
        <w:rPr>
          <w:rFonts w:ascii="Century Gothic" w:hAnsi="Century Gothic"/>
          <w:sz w:val="24"/>
          <w:szCs w:val="24"/>
        </w:rPr>
        <w:t xml:space="preserve">It is the structure of the At-Large and its impact that I wish to address as, in my view, no </w:t>
      </w:r>
      <w:r w:rsidR="007C25D5">
        <w:rPr>
          <w:rFonts w:ascii="Century Gothic" w:hAnsi="Century Gothic"/>
          <w:sz w:val="24"/>
          <w:szCs w:val="24"/>
        </w:rPr>
        <w:t xml:space="preserve">single group </w:t>
      </w:r>
      <w:r>
        <w:rPr>
          <w:rFonts w:ascii="Century Gothic" w:hAnsi="Century Gothic"/>
          <w:sz w:val="24"/>
          <w:szCs w:val="24"/>
        </w:rPr>
        <w:t xml:space="preserve">within ICANN </w:t>
      </w:r>
      <w:r w:rsidR="007C25D5">
        <w:rPr>
          <w:rFonts w:ascii="Century Gothic" w:hAnsi="Century Gothic"/>
          <w:sz w:val="24"/>
          <w:szCs w:val="24"/>
        </w:rPr>
        <w:t xml:space="preserve">is </w:t>
      </w:r>
      <w:r w:rsidR="00E86608">
        <w:rPr>
          <w:rFonts w:ascii="Century Gothic" w:hAnsi="Century Gothic"/>
          <w:sz w:val="24"/>
          <w:szCs w:val="24"/>
        </w:rPr>
        <w:t xml:space="preserve">currently </w:t>
      </w:r>
      <w:r w:rsidR="007C25D5">
        <w:rPr>
          <w:rFonts w:ascii="Century Gothic" w:hAnsi="Century Gothic"/>
          <w:sz w:val="24"/>
          <w:szCs w:val="24"/>
        </w:rPr>
        <w:t xml:space="preserve">more lacking in policy-formulating and regulatory acumen than </w:t>
      </w:r>
      <w:r>
        <w:rPr>
          <w:rFonts w:ascii="Century Gothic" w:hAnsi="Century Gothic"/>
          <w:sz w:val="24"/>
          <w:szCs w:val="24"/>
        </w:rPr>
        <w:t>this particular community – and that represents an unacceptable hazard</w:t>
      </w:r>
      <w:r w:rsidR="00733327">
        <w:rPr>
          <w:rFonts w:ascii="Century Gothic" w:hAnsi="Century Gothic"/>
          <w:sz w:val="24"/>
          <w:szCs w:val="24"/>
        </w:rPr>
        <w:t xml:space="preserve"> that impacts the public interest</w:t>
      </w:r>
      <w:r>
        <w:rPr>
          <w:rFonts w:ascii="Century Gothic" w:hAnsi="Century Gothic"/>
          <w:sz w:val="24"/>
          <w:szCs w:val="24"/>
        </w:rPr>
        <w:t>.</w:t>
      </w:r>
    </w:p>
    <w:p w:rsidR="00B21B65" w:rsidRDefault="00B21B65" w:rsidP="00B30468">
      <w:pPr>
        <w:ind w:left="720"/>
        <w:rPr>
          <w:rFonts w:ascii="Century Gothic" w:hAnsi="Century Gothic"/>
          <w:sz w:val="24"/>
          <w:szCs w:val="24"/>
        </w:rPr>
      </w:pPr>
    </w:p>
    <w:p w:rsidR="00B21B65" w:rsidRDefault="00B21B65" w:rsidP="00B30468">
      <w:pPr>
        <w:ind w:left="720"/>
        <w:rPr>
          <w:rFonts w:ascii="Century Gothic" w:hAnsi="Century Gothic"/>
          <w:sz w:val="24"/>
          <w:szCs w:val="24"/>
        </w:rPr>
      </w:pPr>
    </w:p>
    <w:p w:rsidR="00B21B65" w:rsidRDefault="00B21B65" w:rsidP="00B21B65">
      <w:pPr>
        <w:pStyle w:val="Heading2"/>
        <w:numPr>
          <w:ilvl w:val="0"/>
          <w:numId w:val="2"/>
        </w:numPr>
        <w:rPr>
          <w:rFonts w:ascii="Century Gothic" w:hAnsi="Century Gothic"/>
          <w:color w:val="17365D" w:themeColor="text2" w:themeShade="BF"/>
          <w:sz w:val="24"/>
          <w:szCs w:val="24"/>
        </w:rPr>
      </w:pPr>
      <w:r w:rsidRPr="00B21B65">
        <w:rPr>
          <w:rFonts w:ascii="Century Gothic" w:hAnsi="Century Gothic"/>
          <w:color w:val="17365D" w:themeColor="text2" w:themeShade="BF"/>
          <w:sz w:val="24"/>
          <w:szCs w:val="24"/>
        </w:rPr>
        <w:t>THE AT-LARGE AS CURRENTLY P</w:t>
      </w:r>
      <w:r w:rsidR="00E86608">
        <w:rPr>
          <w:rFonts w:ascii="Century Gothic" w:hAnsi="Century Gothic"/>
          <w:color w:val="17365D" w:themeColor="text2" w:themeShade="BF"/>
          <w:sz w:val="24"/>
          <w:szCs w:val="24"/>
        </w:rPr>
        <w:t>ORTRAYED</w:t>
      </w:r>
    </w:p>
    <w:p w:rsidR="00B21B65" w:rsidRDefault="00B21B65" w:rsidP="00B21B65"/>
    <w:p w:rsidR="00B21B65" w:rsidRDefault="00733327" w:rsidP="00733327">
      <w:pPr>
        <w:ind w:left="1440"/>
        <w:rPr>
          <w:rFonts w:ascii="Century Gothic" w:hAnsi="Century Gothic"/>
          <w:sz w:val="24"/>
          <w:szCs w:val="24"/>
        </w:rPr>
      </w:pPr>
      <w:r>
        <w:rPr>
          <w:rFonts w:ascii="Century Gothic" w:hAnsi="Century Gothic"/>
          <w:sz w:val="24"/>
          <w:szCs w:val="24"/>
        </w:rPr>
        <w:t xml:space="preserve">In a written response to questions posed by a member of the U.S. House of Representatives, ICANN V.P. Kurt </w:t>
      </w:r>
      <w:proofErr w:type="spellStart"/>
      <w:r>
        <w:rPr>
          <w:rFonts w:ascii="Century Gothic" w:hAnsi="Century Gothic"/>
          <w:sz w:val="24"/>
          <w:szCs w:val="24"/>
        </w:rPr>
        <w:t>Pritz</w:t>
      </w:r>
      <w:proofErr w:type="spellEnd"/>
      <w:r>
        <w:rPr>
          <w:rFonts w:ascii="Century Gothic" w:hAnsi="Century Gothic"/>
          <w:sz w:val="24"/>
          <w:szCs w:val="24"/>
        </w:rPr>
        <w:t xml:space="preserve"> described the At-Large Advisory Committee (ALAC) as the “</w:t>
      </w:r>
      <w:r w:rsidRPr="00733327">
        <w:rPr>
          <w:rFonts w:ascii="Century Gothic" w:hAnsi="Century Gothic"/>
          <w:sz w:val="24"/>
          <w:szCs w:val="24"/>
        </w:rPr>
        <w:t>home</w:t>
      </w:r>
      <w:r>
        <w:rPr>
          <w:rFonts w:ascii="Century Gothic" w:hAnsi="Century Gothic"/>
          <w:sz w:val="24"/>
          <w:szCs w:val="24"/>
        </w:rPr>
        <w:t xml:space="preserve"> </w:t>
      </w:r>
      <w:r w:rsidRPr="00733327">
        <w:rPr>
          <w:rFonts w:ascii="Century Gothic" w:hAnsi="Century Gothic"/>
          <w:sz w:val="24"/>
          <w:szCs w:val="24"/>
        </w:rPr>
        <w:t>within</w:t>
      </w:r>
      <w:r>
        <w:rPr>
          <w:rFonts w:ascii="Century Gothic" w:hAnsi="Century Gothic"/>
          <w:sz w:val="24"/>
          <w:szCs w:val="24"/>
        </w:rPr>
        <w:t xml:space="preserve"> </w:t>
      </w:r>
      <w:r w:rsidRPr="00733327">
        <w:rPr>
          <w:rFonts w:ascii="Century Gothic" w:hAnsi="Century Gothic"/>
          <w:sz w:val="24"/>
          <w:szCs w:val="24"/>
        </w:rPr>
        <w:t>ICANN</w:t>
      </w:r>
      <w:r>
        <w:rPr>
          <w:rFonts w:ascii="Century Gothic" w:hAnsi="Century Gothic"/>
          <w:sz w:val="24"/>
          <w:szCs w:val="24"/>
        </w:rPr>
        <w:t xml:space="preserve"> </w:t>
      </w:r>
      <w:r w:rsidRPr="00733327">
        <w:rPr>
          <w:rFonts w:ascii="Century Gothic" w:hAnsi="Century Gothic"/>
          <w:sz w:val="24"/>
          <w:szCs w:val="24"/>
        </w:rPr>
        <w:t>for</w:t>
      </w:r>
      <w:r>
        <w:rPr>
          <w:rFonts w:ascii="Century Gothic" w:hAnsi="Century Gothic"/>
          <w:sz w:val="24"/>
          <w:szCs w:val="24"/>
        </w:rPr>
        <w:t xml:space="preserve"> </w:t>
      </w:r>
      <w:r w:rsidRPr="00733327">
        <w:rPr>
          <w:rFonts w:ascii="Century Gothic" w:hAnsi="Century Gothic"/>
          <w:sz w:val="24"/>
          <w:szCs w:val="24"/>
        </w:rPr>
        <w:t>the</w:t>
      </w:r>
      <w:r>
        <w:rPr>
          <w:rFonts w:ascii="Century Gothic" w:hAnsi="Century Gothic"/>
          <w:sz w:val="24"/>
          <w:szCs w:val="24"/>
        </w:rPr>
        <w:t xml:space="preserve"> </w:t>
      </w:r>
      <w:r w:rsidRPr="00733327">
        <w:rPr>
          <w:rFonts w:ascii="Century Gothic" w:hAnsi="Century Gothic"/>
          <w:sz w:val="24"/>
          <w:szCs w:val="24"/>
        </w:rPr>
        <w:t>voice</w:t>
      </w:r>
      <w:r>
        <w:rPr>
          <w:rFonts w:ascii="Century Gothic" w:hAnsi="Century Gothic"/>
          <w:sz w:val="24"/>
          <w:szCs w:val="24"/>
        </w:rPr>
        <w:t xml:space="preserve"> </w:t>
      </w:r>
      <w:r w:rsidRPr="00733327">
        <w:rPr>
          <w:rFonts w:ascii="Century Gothic" w:hAnsi="Century Gothic"/>
          <w:sz w:val="24"/>
          <w:szCs w:val="24"/>
        </w:rPr>
        <w:t>of</w:t>
      </w:r>
      <w:r>
        <w:rPr>
          <w:rFonts w:ascii="Century Gothic" w:hAnsi="Century Gothic"/>
          <w:sz w:val="24"/>
          <w:szCs w:val="24"/>
        </w:rPr>
        <w:t xml:space="preserve"> </w:t>
      </w:r>
      <w:r w:rsidRPr="00733327">
        <w:rPr>
          <w:rFonts w:ascii="Century Gothic" w:hAnsi="Century Gothic"/>
          <w:sz w:val="24"/>
          <w:szCs w:val="24"/>
        </w:rPr>
        <w:t>the</w:t>
      </w:r>
      <w:r>
        <w:rPr>
          <w:rFonts w:ascii="Century Gothic" w:hAnsi="Century Gothic"/>
          <w:sz w:val="24"/>
          <w:szCs w:val="24"/>
        </w:rPr>
        <w:t xml:space="preserve"> </w:t>
      </w:r>
      <w:r w:rsidRPr="00733327">
        <w:rPr>
          <w:rFonts w:ascii="Century Gothic" w:hAnsi="Century Gothic"/>
          <w:sz w:val="24"/>
          <w:szCs w:val="24"/>
        </w:rPr>
        <w:t>Internet</w:t>
      </w:r>
      <w:r>
        <w:rPr>
          <w:rFonts w:ascii="Century Gothic" w:hAnsi="Century Gothic"/>
          <w:sz w:val="24"/>
          <w:szCs w:val="24"/>
        </w:rPr>
        <w:t xml:space="preserve"> end-</w:t>
      </w:r>
      <w:r w:rsidRPr="00733327">
        <w:rPr>
          <w:rFonts w:ascii="Century Gothic" w:hAnsi="Century Gothic"/>
          <w:sz w:val="24"/>
          <w:szCs w:val="24"/>
        </w:rPr>
        <w:t>user</w:t>
      </w:r>
      <w:r>
        <w:rPr>
          <w:rFonts w:ascii="Century Gothic" w:hAnsi="Century Gothic"/>
          <w:sz w:val="24"/>
          <w:szCs w:val="24"/>
        </w:rPr>
        <w:t>”</w:t>
      </w:r>
      <w:r w:rsidR="006136CA">
        <w:rPr>
          <w:rStyle w:val="FootnoteReference"/>
          <w:rFonts w:ascii="Century Gothic" w:hAnsi="Century Gothic"/>
          <w:sz w:val="24"/>
          <w:szCs w:val="24"/>
        </w:rPr>
        <w:footnoteReference w:id="49"/>
      </w:r>
      <w:r>
        <w:rPr>
          <w:rFonts w:ascii="Century Gothic" w:hAnsi="Century Gothic"/>
          <w:sz w:val="24"/>
          <w:szCs w:val="24"/>
        </w:rPr>
        <w:t xml:space="preserve"> and as an enabler of robust processes for the community that will facilitate the filing of new gTLD objections (as a safeguard </w:t>
      </w:r>
      <w:r w:rsidRPr="00733327">
        <w:rPr>
          <w:rFonts w:ascii="Century Gothic" w:hAnsi="Century Gothic"/>
          <w:sz w:val="24"/>
          <w:szCs w:val="24"/>
        </w:rPr>
        <w:t>against</w:t>
      </w:r>
      <w:r>
        <w:rPr>
          <w:rFonts w:ascii="Century Gothic" w:hAnsi="Century Gothic"/>
          <w:sz w:val="24"/>
          <w:szCs w:val="24"/>
        </w:rPr>
        <w:t xml:space="preserve"> </w:t>
      </w:r>
      <w:r w:rsidRPr="00733327">
        <w:rPr>
          <w:rFonts w:ascii="Century Gothic" w:hAnsi="Century Gothic"/>
          <w:sz w:val="24"/>
          <w:szCs w:val="24"/>
        </w:rPr>
        <w:t>the</w:t>
      </w:r>
      <w:r>
        <w:rPr>
          <w:rFonts w:ascii="Century Gothic" w:hAnsi="Century Gothic"/>
          <w:sz w:val="24"/>
          <w:szCs w:val="24"/>
        </w:rPr>
        <w:t xml:space="preserve"> </w:t>
      </w:r>
      <w:r w:rsidRPr="00733327">
        <w:rPr>
          <w:rFonts w:ascii="Century Gothic" w:hAnsi="Century Gothic"/>
          <w:sz w:val="24"/>
          <w:szCs w:val="24"/>
        </w:rPr>
        <w:t>introduction</w:t>
      </w:r>
      <w:r>
        <w:rPr>
          <w:rFonts w:ascii="Century Gothic" w:hAnsi="Century Gothic"/>
          <w:sz w:val="24"/>
          <w:szCs w:val="24"/>
        </w:rPr>
        <w:t xml:space="preserve"> </w:t>
      </w:r>
      <w:r w:rsidRPr="00733327">
        <w:rPr>
          <w:rFonts w:ascii="Century Gothic" w:hAnsi="Century Gothic"/>
          <w:sz w:val="24"/>
          <w:szCs w:val="24"/>
        </w:rPr>
        <w:t>of</w:t>
      </w:r>
      <w:r>
        <w:rPr>
          <w:rFonts w:ascii="Century Gothic" w:hAnsi="Century Gothic"/>
          <w:sz w:val="24"/>
          <w:szCs w:val="24"/>
        </w:rPr>
        <w:t xml:space="preserve"> </w:t>
      </w:r>
      <w:r w:rsidRPr="00733327">
        <w:rPr>
          <w:rFonts w:ascii="Century Gothic" w:hAnsi="Century Gothic"/>
          <w:sz w:val="24"/>
          <w:szCs w:val="24"/>
        </w:rPr>
        <w:t>a</w:t>
      </w:r>
      <w:r>
        <w:rPr>
          <w:rFonts w:ascii="Century Gothic" w:hAnsi="Century Gothic"/>
          <w:sz w:val="24"/>
          <w:szCs w:val="24"/>
        </w:rPr>
        <w:t xml:space="preserve"> </w:t>
      </w:r>
      <w:r w:rsidRPr="00733327">
        <w:rPr>
          <w:rFonts w:ascii="Century Gothic" w:hAnsi="Century Gothic"/>
          <w:sz w:val="24"/>
          <w:szCs w:val="24"/>
        </w:rPr>
        <w:t>new</w:t>
      </w:r>
      <w:r>
        <w:rPr>
          <w:rFonts w:ascii="Century Gothic" w:hAnsi="Century Gothic"/>
          <w:sz w:val="24"/>
          <w:szCs w:val="24"/>
        </w:rPr>
        <w:t xml:space="preserve"> </w:t>
      </w:r>
      <w:r w:rsidRPr="00733327">
        <w:rPr>
          <w:rFonts w:ascii="Century Gothic" w:hAnsi="Century Gothic"/>
          <w:sz w:val="24"/>
          <w:szCs w:val="24"/>
        </w:rPr>
        <w:t>top-level</w:t>
      </w:r>
      <w:r>
        <w:rPr>
          <w:rFonts w:ascii="Century Gothic" w:hAnsi="Century Gothic"/>
          <w:sz w:val="24"/>
          <w:szCs w:val="24"/>
        </w:rPr>
        <w:t xml:space="preserve"> </w:t>
      </w:r>
      <w:r w:rsidRPr="00733327">
        <w:rPr>
          <w:rFonts w:ascii="Century Gothic" w:hAnsi="Century Gothic"/>
          <w:sz w:val="24"/>
          <w:szCs w:val="24"/>
        </w:rPr>
        <w:t>domain</w:t>
      </w:r>
      <w:r>
        <w:rPr>
          <w:rFonts w:ascii="Century Gothic" w:hAnsi="Century Gothic"/>
          <w:sz w:val="24"/>
          <w:szCs w:val="24"/>
        </w:rPr>
        <w:t xml:space="preserve"> </w:t>
      </w:r>
      <w:r w:rsidRPr="00733327">
        <w:rPr>
          <w:rFonts w:ascii="Century Gothic" w:hAnsi="Century Gothic"/>
          <w:sz w:val="24"/>
          <w:szCs w:val="24"/>
        </w:rPr>
        <w:t>containing</w:t>
      </w:r>
      <w:r>
        <w:rPr>
          <w:rFonts w:ascii="Century Gothic" w:hAnsi="Century Gothic"/>
          <w:sz w:val="24"/>
          <w:szCs w:val="24"/>
        </w:rPr>
        <w:t xml:space="preserve"> </w:t>
      </w:r>
      <w:r w:rsidRPr="00733327">
        <w:rPr>
          <w:rFonts w:ascii="Century Gothic" w:hAnsi="Century Gothic"/>
          <w:sz w:val="24"/>
          <w:szCs w:val="24"/>
        </w:rPr>
        <w:t>terms</w:t>
      </w:r>
      <w:r>
        <w:rPr>
          <w:rFonts w:ascii="Century Gothic" w:hAnsi="Century Gothic"/>
          <w:sz w:val="24"/>
          <w:szCs w:val="24"/>
        </w:rPr>
        <w:t xml:space="preserve"> </w:t>
      </w:r>
      <w:r w:rsidRPr="00733327">
        <w:rPr>
          <w:rFonts w:ascii="Century Gothic" w:hAnsi="Century Gothic"/>
          <w:sz w:val="24"/>
          <w:szCs w:val="24"/>
        </w:rPr>
        <w:t>such</w:t>
      </w:r>
      <w:r>
        <w:rPr>
          <w:rFonts w:ascii="Century Gothic" w:hAnsi="Century Gothic"/>
          <w:sz w:val="24"/>
          <w:szCs w:val="24"/>
        </w:rPr>
        <w:t xml:space="preserve"> </w:t>
      </w:r>
      <w:r w:rsidRPr="00733327">
        <w:rPr>
          <w:rFonts w:ascii="Century Gothic" w:hAnsi="Century Gothic"/>
          <w:sz w:val="24"/>
          <w:szCs w:val="24"/>
        </w:rPr>
        <w:t>as</w:t>
      </w:r>
      <w:r>
        <w:rPr>
          <w:rFonts w:ascii="Century Gothic" w:hAnsi="Century Gothic"/>
          <w:sz w:val="24"/>
          <w:szCs w:val="24"/>
        </w:rPr>
        <w:t xml:space="preserve"> </w:t>
      </w:r>
      <w:r w:rsidRPr="00733327">
        <w:rPr>
          <w:rFonts w:ascii="Century Gothic" w:hAnsi="Century Gothic"/>
          <w:sz w:val="24"/>
          <w:szCs w:val="24"/>
        </w:rPr>
        <w:t>racial</w:t>
      </w:r>
      <w:r>
        <w:rPr>
          <w:rFonts w:ascii="Century Gothic" w:hAnsi="Century Gothic"/>
          <w:sz w:val="24"/>
          <w:szCs w:val="24"/>
        </w:rPr>
        <w:t xml:space="preserve"> </w:t>
      </w:r>
      <w:r w:rsidRPr="00733327">
        <w:rPr>
          <w:rFonts w:ascii="Century Gothic" w:hAnsi="Century Gothic"/>
          <w:sz w:val="24"/>
          <w:szCs w:val="24"/>
        </w:rPr>
        <w:t>epithets</w:t>
      </w:r>
      <w:r>
        <w:rPr>
          <w:rFonts w:ascii="Century Gothic" w:hAnsi="Century Gothic"/>
          <w:sz w:val="24"/>
          <w:szCs w:val="24"/>
        </w:rPr>
        <w:t xml:space="preserve">).  </w:t>
      </w:r>
      <w:r w:rsidR="006136CA">
        <w:rPr>
          <w:rFonts w:ascii="Century Gothic" w:hAnsi="Century Gothic"/>
          <w:sz w:val="24"/>
          <w:szCs w:val="24"/>
        </w:rPr>
        <w:t xml:space="preserve">In this context, the </w:t>
      </w:r>
      <w:r w:rsidR="00AE284D">
        <w:rPr>
          <w:rFonts w:ascii="Century Gothic" w:hAnsi="Century Gothic"/>
          <w:sz w:val="24"/>
          <w:szCs w:val="24"/>
        </w:rPr>
        <w:t>ALAC</w:t>
      </w:r>
      <w:r w:rsidR="006136CA">
        <w:rPr>
          <w:rFonts w:ascii="Century Gothic" w:hAnsi="Century Gothic"/>
          <w:sz w:val="24"/>
          <w:szCs w:val="24"/>
        </w:rPr>
        <w:t xml:space="preserve"> is p</w:t>
      </w:r>
      <w:r w:rsidR="00E86608">
        <w:rPr>
          <w:rFonts w:ascii="Century Gothic" w:hAnsi="Century Gothic"/>
          <w:sz w:val="24"/>
          <w:szCs w:val="24"/>
        </w:rPr>
        <w:t>ortrayed</w:t>
      </w:r>
      <w:r w:rsidR="006136CA">
        <w:rPr>
          <w:rFonts w:ascii="Century Gothic" w:hAnsi="Century Gothic"/>
          <w:sz w:val="24"/>
          <w:szCs w:val="24"/>
        </w:rPr>
        <w:t xml:space="preserve"> by ICANN as a champion fighting to ensure that community sensitivities are recognized and are properly accorded their due. </w:t>
      </w:r>
    </w:p>
    <w:p w:rsidR="00E86608" w:rsidRDefault="006136CA" w:rsidP="00733327">
      <w:pPr>
        <w:ind w:left="1440"/>
        <w:rPr>
          <w:rFonts w:ascii="Century Gothic" w:hAnsi="Century Gothic"/>
          <w:sz w:val="24"/>
          <w:szCs w:val="24"/>
        </w:rPr>
      </w:pPr>
      <w:r>
        <w:rPr>
          <w:rFonts w:ascii="Century Gothic" w:hAnsi="Century Gothic"/>
          <w:sz w:val="24"/>
          <w:szCs w:val="24"/>
        </w:rPr>
        <w:t xml:space="preserve">In </w:t>
      </w:r>
      <w:r w:rsidR="00316982">
        <w:rPr>
          <w:rFonts w:ascii="Century Gothic" w:hAnsi="Century Gothic"/>
          <w:sz w:val="24"/>
          <w:szCs w:val="24"/>
        </w:rPr>
        <w:t>light of this p</w:t>
      </w:r>
      <w:r w:rsidR="00AE284D">
        <w:rPr>
          <w:rFonts w:ascii="Century Gothic" w:hAnsi="Century Gothic"/>
          <w:sz w:val="24"/>
          <w:szCs w:val="24"/>
        </w:rPr>
        <w:t>ortrayal</w:t>
      </w:r>
      <w:r>
        <w:rPr>
          <w:rFonts w:ascii="Century Gothic" w:hAnsi="Century Gothic"/>
          <w:sz w:val="24"/>
          <w:szCs w:val="24"/>
        </w:rPr>
        <w:t xml:space="preserve">, one might think that </w:t>
      </w:r>
      <w:r w:rsidR="00E86608">
        <w:rPr>
          <w:rFonts w:ascii="Century Gothic" w:hAnsi="Century Gothic"/>
          <w:sz w:val="24"/>
          <w:szCs w:val="24"/>
        </w:rPr>
        <w:t>the ALAC has provided carefully-honed channels of input/communication that regularly allow for an upward steady flow of comments from the world-wide base of Internet end-users to their designated “representatives” on the At-Large Advisory Committee</w:t>
      </w:r>
      <w:r w:rsidR="00C9514D">
        <w:rPr>
          <w:rFonts w:ascii="Century Gothic" w:hAnsi="Century Gothic"/>
          <w:sz w:val="24"/>
          <w:szCs w:val="24"/>
        </w:rPr>
        <w:t>, but y</w:t>
      </w:r>
      <w:r w:rsidR="00E86608">
        <w:rPr>
          <w:rFonts w:ascii="Century Gothic" w:hAnsi="Century Gothic"/>
          <w:sz w:val="24"/>
          <w:szCs w:val="24"/>
        </w:rPr>
        <w:t>ou would be very wrong.</w:t>
      </w:r>
      <w:r w:rsidR="00C9514D">
        <w:rPr>
          <w:rFonts w:ascii="Century Gothic" w:hAnsi="Century Gothic"/>
          <w:sz w:val="24"/>
          <w:szCs w:val="24"/>
        </w:rPr>
        <w:t xml:space="preserve">  O</w:t>
      </w:r>
      <w:r w:rsidR="00E86608">
        <w:rPr>
          <w:rFonts w:ascii="Century Gothic" w:hAnsi="Century Gothic"/>
          <w:sz w:val="24"/>
          <w:szCs w:val="24"/>
        </w:rPr>
        <w:t xml:space="preserve">ne might </w:t>
      </w:r>
      <w:r w:rsidR="00C9514D">
        <w:rPr>
          <w:rFonts w:ascii="Century Gothic" w:hAnsi="Century Gothic"/>
          <w:sz w:val="24"/>
          <w:szCs w:val="24"/>
        </w:rPr>
        <w:t xml:space="preserve">also </w:t>
      </w:r>
      <w:r w:rsidR="00E86608">
        <w:rPr>
          <w:rFonts w:ascii="Century Gothic" w:hAnsi="Century Gothic"/>
          <w:sz w:val="24"/>
          <w:szCs w:val="24"/>
        </w:rPr>
        <w:t xml:space="preserve">think that </w:t>
      </w:r>
      <w:r>
        <w:rPr>
          <w:rFonts w:ascii="Century Gothic" w:hAnsi="Century Gothic"/>
          <w:sz w:val="24"/>
          <w:szCs w:val="24"/>
        </w:rPr>
        <w:t xml:space="preserve">the </w:t>
      </w:r>
      <w:r w:rsidR="00E86608">
        <w:rPr>
          <w:rFonts w:ascii="Century Gothic" w:hAnsi="Century Gothic"/>
          <w:sz w:val="24"/>
          <w:szCs w:val="24"/>
        </w:rPr>
        <w:t>Statements</w:t>
      </w:r>
      <w:r>
        <w:rPr>
          <w:rFonts w:ascii="Century Gothic" w:hAnsi="Century Gothic"/>
          <w:sz w:val="24"/>
          <w:szCs w:val="24"/>
        </w:rPr>
        <w:t xml:space="preserve"> of the ALAC </w:t>
      </w:r>
      <w:r w:rsidR="00C9514D">
        <w:rPr>
          <w:rFonts w:ascii="Century Gothic" w:hAnsi="Century Gothic"/>
          <w:sz w:val="24"/>
          <w:szCs w:val="24"/>
        </w:rPr>
        <w:t xml:space="preserve">(as expressions of the public interest) </w:t>
      </w:r>
      <w:r w:rsidR="00E86608">
        <w:rPr>
          <w:rFonts w:ascii="Century Gothic" w:hAnsi="Century Gothic"/>
          <w:sz w:val="24"/>
          <w:szCs w:val="24"/>
        </w:rPr>
        <w:t>have a very high impact on ICANN’s policy or policy implementation activities</w:t>
      </w:r>
      <w:r w:rsidR="00C9514D">
        <w:rPr>
          <w:rFonts w:ascii="Century Gothic" w:hAnsi="Century Gothic"/>
          <w:sz w:val="24"/>
          <w:szCs w:val="24"/>
        </w:rPr>
        <w:t>, but n</w:t>
      </w:r>
      <w:r>
        <w:rPr>
          <w:rFonts w:ascii="Century Gothic" w:hAnsi="Century Gothic"/>
          <w:sz w:val="24"/>
          <w:szCs w:val="24"/>
        </w:rPr>
        <w:t xml:space="preserve">othing </w:t>
      </w:r>
      <w:r w:rsidR="00316982">
        <w:rPr>
          <w:rFonts w:ascii="Century Gothic" w:hAnsi="Century Gothic"/>
          <w:sz w:val="24"/>
          <w:szCs w:val="24"/>
        </w:rPr>
        <w:t>could be further from the truth</w:t>
      </w:r>
      <w:r w:rsidR="00E86608">
        <w:rPr>
          <w:rFonts w:ascii="Century Gothic" w:hAnsi="Century Gothic"/>
          <w:sz w:val="24"/>
          <w:szCs w:val="24"/>
        </w:rPr>
        <w:t>.</w:t>
      </w:r>
    </w:p>
    <w:p w:rsidR="00083A8E" w:rsidRDefault="00C9514D" w:rsidP="00733327">
      <w:pPr>
        <w:ind w:left="1440"/>
        <w:rPr>
          <w:rFonts w:ascii="Century Gothic" w:hAnsi="Century Gothic"/>
          <w:sz w:val="24"/>
          <w:szCs w:val="24"/>
        </w:rPr>
      </w:pPr>
      <w:r>
        <w:rPr>
          <w:rFonts w:ascii="Century Gothic" w:hAnsi="Century Gothic"/>
          <w:sz w:val="24"/>
          <w:szCs w:val="24"/>
        </w:rPr>
        <w:t xml:space="preserve">If the At-Large Community is </w:t>
      </w:r>
      <w:r w:rsidR="00322632">
        <w:rPr>
          <w:rFonts w:ascii="Century Gothic" w:hAnsi="Century Gothic"/>
          <w:sz w:val="24"/>
          <w:szCs w:val="24"/>
        </w:rPr>
        <w:t xml:space="preserve">ever </w:t>
      </w:r>
      <w:r>
        <w:rPr>
          <w:rFonts w:ascii="Century Gothic" w:hAnsi="Century Gothic"/>
          <w:sz w:val="24"/>
          <w:szCs w:val="24"/>
        </w:rPr>
        <w:t xml:space="preserve">to be regarded as </w:t>
      </w:r>
      <w:r w:rsidR="00C321EB">
        <w:rPr>
          <w:rFonts w:ascii="Century Gothic" w:hAnsi="Century Gothic"/>
          <w:sz w:val="24"/>
          <w:szCs w:val="24"/>
        </w:rPr>
        <w:t>it has been portrayed by ICANN management</w:t>
      </w:r>
      <w:r>
        <w:rPr>
          <w:rFonts w:ascii="Century Gothic" w:hAnsi="Century Gothic"/>
          <w:sz w:val="24"/>
          <w:szCs w:val="24"/>
        </w:rPr>
        <w:t xml:space="preserve">, then </w:t>
      </w:r>
      <w:r w:rsidR="00AE284D">
        <w:rPr>
          <w:rFonts w:ascii="Century Gothic" w:hAnsi="Century Gothic"/>
          <w:sz w:val="24"/>
          <w:szCs w:val="24"/>
        </w:rPr>
        <w:t>certain changes will need to be made over the course of the next three to five years</w:t>
      </w:r>
      <w:r w:rsidR="00083A8E">
        <w:rPr>
          <w:rFonts w:ascii="Century Gothic" w:hAnsi="Century Gothic"/>
          <w:sz w:val="24"/>
          <w:szCs w:val="24"/>
        </w:rPr>
        <w:t xml:space="preserve"> to turn th</w:t>
      </w:r>
      <w:r w:rsidR="00322632">
        <w:rPr>
          <w:rFonts w:ascii="Century Gothic" w:hAnsi="Century Gothic"/>
          <w:sz w:val="24"/>
          <w:szCs w:val="24"/>
        </w:rPr>
        <w:t>is</w:t>
      </w:r>
      <w:r w:rsidR="00083A8E">
        <w:rPr>
          <w:rFonts w:ascii="Century Gothic" w:hAnsi="Century Gothic"/>
          <w:sz w:val="24"/>
          <w:szCs w:val="24"/>
        </w:rPr>
        <w:t xml:space="preserve"> </w:t>
      </w:r>
      <w:r w:rsidR="00C321EB">
        <w:rPr>
          <w:rFonts w:ascii="Century Gothic" w:hAnsi="Century Gothic"/>
          <w:sz w:val="24"/>
          <w:szCs w:val="24"/>
        </w:rPr>
        <w:t>vision</w:t>
      </w:r>
      <w:r w:rsidR="00083A8E">
        <w:rPr>
          <w:rFonts w:ascii="Century Gothic" w:hAnsi="Century Gothic"/>
          <w:sz w:val="24"/>
          <w:szCs w:val="24"/>
        </w:rPr>
        <w:t xml:space="preserve"> into a reality</w:t>
      </w:r>
      <w:r w:rsidR="00AE284D">
        <w:rPr>
          <w:rFonts w:ascii="Century Gothic" w:hAnsi="Century Gothic"/>
          <w:sz w:val="24"/>
          <w:szCs w:val="24"/>
        </w:rPr>
        <w:t xml:space="preserve">.  </w:t>
      </w:r>
    </w:p>
    <w:p w:rsidR="00C9514D" w:rsidRDefault="00AE284D" w:rsidP="00733327">
      <w:pPr>
        <w:ind w:left="1440"/>
        <w:rPr>
          <w:rFonts w:ascii="Century Gothic" w:hAnsi="Century Gothic"/>
          <w:sz w:val="24"/>
          <w:szCs w:val="24"/>
        </w:rPr>
      </w:pPr>
      <w:r>
        <w:rPr>
          <w:rFonts w:ascii="Century Gothic" w:hAnsi="Century Gothic"/>
          <w:sz w:val="24"/>
          <w:szCs w:val="24"/>
        </w:rPr>
        <w:t xml:space="preserve">The changes </w:t>
      </w:r>
      <w:r w:rsidR="00083A8E">
        <w:rPr>
          <w:rFonts w:ascii="Century Gothic" w:hAnsi="Century Gothic"/>
          <w:sz w:val="24"/>
          <w:szCs w:val="24"/>
        </w:rPr>
        <w:t xml:space="preserve">proposed herein </w:t>
      </w:r>
      <w:r>
        <w:rPr>
          <w:rFonts w:ascii="Century Gothic" w:hAnsi="Century Gothic"/>
          <w:sz w:val="24"/>
          <w:szCs w:val="24"/>
        </w:rPr>
        <w:t>are to be regarded as those that would likely be proposed within the context of ICANN’s regularly scheduled review cycles.  Inasmuch as the last review of the ALAC commenced on 30 March 2007</w:t>
      </w:r>
      <w:r>
        <w:rPr>
          <w:rStyle w:val="FootnoteReference"/>
          <w:rFonts w:ascii="Century Gothic" w:hAnsi="Century Gothic"/>
          <w:sz w:val="24"/>
          <w:szCs w:val="24"/>
        </w:rPr>
        <w:footnoteReference w:id="50"/>
      </w:r>
      <w:r w:rsidR="00C9514D">
        <w:rPr>
          <w:rFonts w:ascii="Century Gothic" w:hAnsi="Century Gothic"/>
          <w:sz w:val="24"/>
          <w:szCs w:val="24"/>
        </w:rPr>
        <w:t xml:space="preserve">  </w:t>
      </w:r>
      <w:r>
        <w:rPr>
          <w:rFonts w:ascii="Century Gothic" w:hAnsi="Century Gothic"/>
          <w:sz w:val="24"/>
          <w:szCs w:val="24"/>
        </w:rPr>
        <w:t>and in that the ICANN bylaws specify that “</w:t>
      </w:r>
      <w:r w:rsidRPr="00AE284D">
        <w:rPr>
          <w:rFonts w:ascii="Century Gothic" w:hAnsi="Century Gothic"/>
          <w:sz w:val="24"/>
          <w:szCs w:val="24"/>
        </w:rPr>
        <w:t>These periodic reviews shall be conducted no less frequently than every five years</w:t>
      </w:r>
      <w:r>
        <w:rPr>
          <w:rFonts w:ascii="Century Gothic" w:hAnsi="Century Gothic"/>
          <w:sz w:val="24"/>
          <w:szCs w:val="24"/>
        </w:rPr>
        <w:t>”</w:t>
      </w:r>
      <w:r>
        <w:rPr>
          <w:rStyle w:val="FootnoteReference"/>
          <w:rFonts w:ascii="Century Gothic" w:hAnsi="Century Gothic"/>
          <w:sz w:val="24"/>
          <w:szCs w:val="24"/>
        </w:rPr>
        <w:footnoteReference w:id="51"/>
      </w:r>
      <w:r>
        <w:rPr>
          <w:rFonts w:ascii="Century Gothic" w:hAnsi="Century Gothic"/>
          <w:sz w:val="24"/>
          <w:szCs w:val="24"/>
        </w:rPr>
        <w:t xml:space="preserve">, the next review will soon be upon us.  It is in this context and </w:t>
      </w:r>
      <w:r w:rsidR="00083A8E">
        <w:rPr>
          <w:rFonts w:ascii="Century Gothic" w:hAnsi="Century Gothic"/>
          <w:sz w:val="24"/>
          <w:szCs w:val="24"/>
        </w:rPr>
        <w:t xml:space="preserve">in </w:t>
      </w:r>
      <w:r>
        <w:rPr>
          <w:rFonts w:ascii="Century Gothic" w:hAnsi="Century Gothic"/>
          <w:sz w:val="24"/>
          <w:szCs w:val="24"/>
        </w:rPr>
        <w:t>its relation to the Strategic Plan that these comments are offered.</w:t>
      </w:r>
    </w:p>
    <w:p w:rsidR="002A0A70" w:rsidRDefault="002A0A70" w:rsidP="00733327">
      <w:pPr>
        <w:ind w:left="1440"/>
        <w:rPr>
          <w:rFonts w:ascii="Century Gothic" w:hAnsi="Century Gothic"/>
          <w:sz w:val="24"/>
          <w:szCs w:val="24"/>
        </w:rPr>
      </w:pPr>
    </w:p>
    <w:p w:rsidR="002A0A70" w:rsidRDefault="002A0A70" w:rsidP="00733327">
      <w:pPr>
        <w:ind w:left="1440"/>
        <w:rPr>
          <w:rFonts w:ascii="Century Gothic" w:hAnsi="Century Gothic"/>
          <w:sz w:val="24"/>
          <w:szCs w:val="24"/>
        </w:rPr>
      </w:pPr>
    </w:p>
    <w:p w:rsidR="002A0A70" w:rsidRDefault="006D7F95" w:rsidP="006D7F95">
      <w:pPr>
        <w:pStyle w:val="Heading2"/>
        <w:numPr>
          <w:ilvl w:val="0"/>
          <w:numId w:val="2"/>
        </w:numPr>
        <w:rPr>
          <w:rFonts w:ascii="Century Gothic" w:hAnsi="Century Gothic"/>
          <w:color w:val="17365D" w:themeColor="text2" w:themeShade="BF"/>
          <w:sz w:val="24"/>
          <w:szCs w:val="24"/>
        </w:rPr>
      </w:pPr>
      <w:r w:rsidRPr="006D7F95">
        <w:rPr>
          <w:rFonts w:ascii="Century Gothic" w:hAnsi="Century Gothic"/>
          <w:color w:val="17365D" w:themeColor="text2" w:themeShade="BF"/>
          <w:sz w:val="24"/>
          <w:szCs w:val="24"/>
        </w:rPr>
        <w:t>MAKING THE CASE FOR A CHANGE</w:t>
      </w:r>
    </w:p>
    <w:p w:rsidR="006D7F95" w:rsidRDefault="006D7F95" w:rsidP="006D7F95"/>
    <w:p w:rsidR="006D7F95" w:rsidRDefault="00C321EB" w:rsidP="006D7F95">
      <w:pPr>
        <w:ind w:left="1440"/>
        <w:rPr>
          <w:rFonts w:ascii="Century Gothic" w:hAnsi="Century Gothic"/>
          <w:sz w:val="24"/>
          <w:szCs w:val="24"/>
        </w:rPr>
      </w:pPr>
      <w:r>
        <w:rPr>
          <w:rFonts w:ascii="Century Gothic" w:hAnsi="Century Gothic"/>
          <w:sz w:val="24"/>
          <w:szCs w:val="24"/>
        </w:rPr>
        <w:t xml:space="preserve">At issue is effective participation and productivity.  </w:t>
      </w:r>
      <w:r w:rsidR="006D7F95">
        <w:rPr>
          <w:rFonts w:ascii="Century Gothic" w:hAnsi="Century Gothic"/>
          <w:sz w:val="24"/>
          <w:szCs w:val="24"/>
        </w:rPr>
        <w:t xml:space="preserve">Over the years I have vociferously argued that </w:t>
      </w:r>
      <w:r w:rsidR="008F5A49">
        <w:rPr>
          <w:rFonts w:ascii="Century Gothic" w:hAnsi="Century Gothic"/>
          <w:sz w:val="24"/>
          <w:szCs w:val="24"/>
        </w:rPr>
        <w:t xml:space="preserve">conditions are such that </w:t>
      </w:r>
      <w:r w:rsidR="006D7F95">
        <w:rPr>
          <w:rFonts w:ascii="Century Gothic" w:hAnsi="Century Gothic"/>
          <w:sz w:val="24"/>
          <w:szCs w:val="24"/>
        </w:rPr>
        <w:t xml:space="preserve">ALAC </w:t>
      </w:r>
      <w:r>
        <w:rPr>
          <w:rFonts w:ascii="Century Gothic" w:hAnsi="Century Gothic"/>
          <w:sz w:val="24"/>
          <w:szCs w:val="24"/>
        </w:rPr>
        <w:t>members regularly</w:t>
      </w:r>
      <w:r w:rsidR="006D7F95">
        <w:rPr>
          <w:rFonts w:ascii="Century Gothic" w:hAnsi="Century Gothic"/>
          <w:sz w:val="24"/>
          <w:szCs w:val="24"/>
        </w:rPr>
        <w:t xml:space="preserve"> fail to engage in “work”; my opening remarks</w:t>
      </w:r>
      <w:r w:rsidR="006D7F95">
        <w:rPr>
          <w:rStyle w:val="FootnoteReference"/>
          <w:rFonts w:ascii="Century Gothic" w:hAnsi="Century Gothic"/>
          <w:sz w:val="24"/>
          <w:szCs w:val="24"/>
        </w:rPr>
        <w:footnoteReference w:id="52"/>
      </w:r>
      <w:r w:rsidR="006D7F95">
        <w:rPr>
          <w:rFonts w:ascii="Century Gothic" w:hAnsi="Century Gothic"/>
          <w:sz w:val="24"/>
          <w:szCs w:val="24"/>
        </w:rPr>
        <w:t xml:space="preserve"> to the ALAC Review’s </w:t>
      </w:r>
      <w:r w:rsidR="007830E2">
        <w:rPr>
          <w:rFonts w:ascii="Century Gothic" w:hAnsi="Century Gothic"/>
          <w:sz w:val="24"/>
          <w:szCs w:val="24"/>
        </w:rPr>
        <w:t xml:space="preserve">2008 </w:t>
      </w:r>
      <w:r w:rsidR="006D7F95">
        <w:rPr>
          <w:rFonts w:ascii="Century Gothic" w:hAnsi="Century Gothic"/>
          <w:sz w:val="24"/>
          <w:szCs w:val="24"/>
        </w:rPr>
        <w:t>mid-term consultation were as follows:</w:t>
      </w:r>
    </w:p>
    <w:p w:rsidR="006D7F95" w:rsidRPr="006D7F95" w:rsidRDefault="006D7F95" w:rsidP="006D7F95">
      <w:pPr>
        <w:pStyle w:val="ListParagraph"/>
        <w:numPr>
          <w:ilvl w:val="0"/>
          <w:numId w:val="3"/>
        </w:numPr>
        <w:rPr>
          <w:rFonts w:ascii="Century Gothic" w:hAnsi="Century Gothic"/>
          <w:sz w:val="24"/>
          <w:szCs w:val="24"/>
        </w:rPr>
      </w:pPr>
      <w:r w:rsidRPr="006D7F95">
        <w:rPr>
          <w:rFonts w:ascii="Century Gothic" w:hAnsi="Century Gothic"/>
          <w:sz w:val="24"/>
          <w:szCs w:val="24"/>
        </w:rPr>
        <w:t>ALAC New GTLD WG -- no comments in last 3 months</w:t>
      </w:r>
    </w:p>
    <w:p w:rsidR="006D7F95" w:rsidRPr="006D7F95" w:rsidRDefault="006D7F95" w:rsidP="006D7F95">
      <w:pPr>
        <w:pStyle w:val="ListParagraph"/>
        <w:numPr>
          <w:ilvl w:val="0"/>
          <w:numId w:val="3"/>
        </w:numPr>
        <w:rPr>
          <w:rFonts w:ascii="Century Gothic" w:hAnsi="Century Gothic"/>
          <w:sz w:val="24"/>
          <w:szCs w:val="24"/>
        </w:rPr>
      </w:pPr>
      <w:r w:rsidRPr="006D7F95">
        <w:rPr>
          <w:rFonts w:ascii="Century Gothic" w:hAnsi="Century Gothic"/>
          <w:sz w:val="24"/>
          <w:szCs w:val="24"/>
        </w:rPr>
        <w:t>ALAC Domain Tasting WG -- no comments -- ever.</w:t>
      </w:r>
    </w:p>
    <w:p w:rsidR="006D7F95" w:rsidRPr="006D7F95" w:rsidRDefault="006D7F95" w:rsidP="006D7F95">
      <w:pPr>
        <w:pStyle w:val="ListParagraph"/>
        <w:numPr>
          <w:ilvl w:val="0"/>
          <w:numId w:val="3"/>
        </w:numPr>
        <w:rPr>
          <w:rFonts w:ascii="Century Gothic" w:hAnsi="Century Gothic"/>
          <w:sz w:val="24"/>
          <w:szCs w:val="24"/>
        </w:rPr>
      </w:pPr>
      <w:r w:rsidRPr="006D7F95">
        <w:rPr>
          <w:rFonts w:ascii="Century Gothic" w:hAnsi="Century Gothic"/>
          <w:sz w:val="24"/>
          <w:szCs w:val="24"/>
        </w:rPr>
        <w:t>ALAC IDN WG -- no member discussions in last 9 months</w:t>
      </w:r>
    </w:p>
    <w:p w:rsidR="006D7F95" w:rsidRPr="006D7F95" w:rsidRDefault="006D7F95" w:rsidP="006D7F95">
      <w:pPr>
        <w:pStyle w:val="ListParagraph"/>
        <w:numPr>
          <w:ilvl w:val="0"/>
          <w:numId w:val="3"/>
        </w:numPr>
        <w:rPr>
          <w:rFonts w:ascii="Century Gothic" w:hAnsi="Century Gothic"/>
          <w:sz w:val="24"/>
          <w:szCs w:val="24"/>
        </w:rPr>
      </w:pPr>
      <w:r w:rsidRPr="006D7F95">
        <w:rPr>
          <w:rFonts w:ascii="Century Gothic" w:hAnsi="Century Gothic"/>
          <w:sz w:val="24"/>
          <w:szCs w:val="24"/>
        </w:rPr>
        <w:t>ALAC IPv6 WG -- no discussion in last six months</w:t>
      </w:r>
    </w:p>
    <w:p w:rsidR="006D7F95" w:rsidRPr="006D7F95" w:rsidRDefault="006D7F95" w:rsidP="006D7F95">
      <w:pPr>
        <w:pStyle w:val="ListParagraph"/>
        <w:numPr>
          <w:ilvl w:val="0"/>
          <w:numId w:val="3"/>
        </w:numPr>
        <w:rPr>
          <w:rFonts w:ascii="Century Gothic" w:hAnsi="Century Gothic"/>
          <w:sz w:val="24"/>
          <w:szCs w:val="24"/>
        </w:rPr>
      </w:pPr>
      <w:r w:rsidRPr="006D7F95">
        <w:rPr>
          <w:rFonts w:ascii="Century Gothic" w:hAnsi="Century Gothic"/>
          <w:sz w:val="24"/>
          <w:szCs w:val="24"/>
        </w:rPr>
        <w:t>ALAC MGTPLAN WG -- no discussion in last seven months</w:t>
      </w:r>
    </w:p>
    <w:p w:rsidR="006D7F95" w:rsidRPr="006D7F95" w:rsidRDefault="006D7F95" w:rsidP="006D7F95">
      <w:pPr>
        <w:pStyle w:val="ListParagraph"/>
        <w:numPr>
          <w:ilvl w:val="0"/>
          <w:numId w:val="3"/>
        </w:numPr>
        <w:rPr>
          <w:rFonts w:ascii="Century Gothic" w:hAnsi="Century Gothic"/>
          <w:sz w:val="24"/>
          <w:szCs w:val="24"/>
        </w:rPr>
      </w:pPr>
      <w:r w:rsidRPr="006D7F95">
        <w:rPr>
          <w:rFonts w:ascii="Century Gothic" w:hAnsi="Century Gothic"/>
          <w:sz w:val="24"/>
          <w:szCs w:val="24"/>
        </w:rPr>
        <w:t>ALAC WHOIS WG -- one post in last ten months</w:t>
      </w:r>
    </w:p>
    <w:p w:rsidR="006D7F95" w:rsidRPr="006D7F95" w:rsidRDefault="006D7F95" w:rsidP="006D7F95">
      <w:pPr>
        <w:pStyle w:val="ListParagraph"/>
        <w:numPr>
          <w:ilvl w:val="0"/>
          <w:numId w:val="3"/>
        </w:numPr>
        <w:rPr>
          <w:rFonts w:ascii="Century Gothic" w:hAnsi="Century Gothic"/>
          <w:sz w:val="24"/>
          <w:szCs w:val="24"/>
        </w:rPr>
      </w:pPr>
      <w:r w:rsidRPr="006D7F95">
        <w:rPr>
          <w:rFonts w:ascii="Century Gothic" w:hAnsi="Century Gothic"/>
          <w:sz w:val="24"/>
          <w:szCs w:val="24"/>
        </w:rPr>
        <w:t xml:space="preserve">ALAC list -- devoid of any user issues discussion </w:t>
      </w:r>
    </w:p>
    <w:p w:rsidR="002A0A70" w:rsidRDefault="006D7F95" w:rsidP="006D7F95">
      <w:pPr>
        <w:pStyle w:val="ListParagraph"/>
        <w:numPr>
          <w:ilvl w:val="0"/>
          <w:numId w:val="3"/>
        </w:numPr>
        <w:rPr>
          <w:rFonts w:ascii="Century Gothic" w:hAnsi="Century Gothic"/>
          <w:sz w:val="24"/>
          <w:szCs w:val="24"/>
        </w:rPr>
      </w:pPr>
      <w:r w:rsidRPr="006D7F95">
        <w:rPr>
          <w:rFonts w:ascii="Century Gothic" w:hAnsi="Century Gothic"/>
          <w:sz w:val="24"/>
          <w:szCs w:val="24"/>
        </w:rPr>
        <w:t>Monthly meetings -- 98% of time spent on internal matters</w:t>
      </w:r>
    </w:p>
    <w:p w:rsidR="007830E2" w:rsidRDefault="007830E2" w:rsidP="006D7F95">
      <w:pPr>
        <w:ind w:left="1440"/>
        <w:rPr>
          <w:rFonts w:ascii="Century Gothic" w:hAnsi="Century Gothic"/>
          <w:sz w:val="24"/>
          <w:szCs w:val="24"/>
        </w:rPr>
      </w:pPr>
      <w:r>
        <w:rPr>
          <w:rFonts w:ascii="Century Gothic" w:hAnsi="Century Gothic"/>
          <w:sz w:val="24"/>
          <w:szCs w:val="24"/>
        </w:rPr>
        <w:t>I would love to be able to state that the last three years have seen a transformative sea-change in ALAC work activ</w:t>
      </w:r>
      <w:r w:rsidR="00C321EB">
        <w:rPr>
          <w:rFonts w:ascii="Century Gothic" w:hAnsi="Century Gothic"/>
          <w:sz w:val="24"/>
          <w:szCs w:val="24"/>
        </w:rPr>
        <w:t>ities, but such is not the case</w:t>
      </w:r>
      <w:r w:rsidR="008F5A49">
        <w:rPr>
          <w:rFonts w:ascii="Century Gothic" w:hAnsi="Century Gothic"/>
          <w:sz w:val="24"/>
          <w:szCs w:val="24"/>
        </w:rPr>
        <w:t xml:space="preserve">… active </w:t>
      </w:r>
      <w:r w:rsidR="00A7759C">
        <w:rPr>
          <w:rFonts w:ascii="Century Gothic" w:hAnsi="Century Gothic"/>
          <w:sz w:val="24"/>
          <w:szCs w:val="24"/>
        </w:rPr>
        <w:t xml:space="preserve">policy-related </w:t>
      </w:r>
      <w:r w:rsidR="008F5A49">
        <w:rPr>
          <w:rFonts w:ascii="Century Gothic" w:hAnsi="Century Gothic"/>
          <w:sz w:val="24"/>
          <w:szCs w:val="24"/>
        </w:rPr>
        <w:t>discussion still eludes the ALAC.</w:t>
      </w:r>
    </w:p>
    <w:p w:rsidR="008F5A49" w:rsidRDefault="008F5A49" w:rsidP="006D7F95">
      <w:pPr>
        <w:ind w:left="1440"/>
        <w:rPr>
          <w:rFonts w:ascii="Century Gothic" w:hAnsi="Century Gothic"/>
          <w:sz w:val="24"/>
          <w:szCs w:val="24"/>
        </w:rPr>
      </w:pPr>
    </w:p>
    <w:p w:rsidR="007830E2" w:rsidRPr="007830E2" w:rsidRDefault="008F5A49" w:rsidP="007830E2">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 xml:space="preserve">CURRENT </w:t>
      </w:r>
      <w:r w:rsidR="007830E2" w:rsidRPr="007830E2">
        <w:rPr>
          <w:rFonts w:ascii="Century Gothic" w:hAnsi="Century Gothic"/>
          <w:color w:val="17365D" w:themeColor="text2" w:themeShade="BF"/>
          <w:sz w:val="24"/>
          <w:szCs w:val="24"/>
        </w:rPr>
        <w:t>ALAC WORKING GROUPS:  EMPIRICAL DATA</w:t>
      </w:r>
    </w:p>
    <w:p w:rsidR="002A0A70" w:rsidRDefault="002A0A70" w:rsidP="00733327">
      <w:pPr>
        <w:ind w:left="1440"/>
        <w:rPr>
          <w:rFonts w:ascii="Century Gothic" w:hAnsi="Century Gothic"/>
          <w:sz w:val="24"/>
          <w:szCs w:val="24"/>
        </w:rPr>
      </w:pPr>
    </w:p>
    <w:p w:rsidR="00716145" w:rsidRDefault="00716145" w:rsidP="0045145A">
      <w:pPr>
        <w:pStyle w:val="ListParagraph"/>
        <w:numPr>
          <w:ilvl w:val="0"/>
          <w:numId w:val="4"/>
        </w:numPr>
        <w:rPr>
          <w:rFonts w:ascii="Century Gothic" w:hAnsi="Century Gothic"/>
          <w:sz w:val="24"/>
          <w:szCs w:val="24"/>
        </w:rPr>
      </w:pPr>
      <w:r w:rsidRPr="00716145">
        <w:rPr>
          <w:rFonts w:ascii="Century Gothic" w:hAnsi="Century Gothic"/>
          <w:sz w:val="24"/>
          <w:szCs w:val="24"/>
        </w:rPr>
        <w:t>GTLD WG – 2.68 comments per week</w:t>
      </w:r>
    </w:p>
    <w:p w:rsidR="00716145" w:rsidRDefault="00716145" w:rsidP="0045145A">
      <w:pPr>
        <w:pStyle w:val="ListParagraph"/>
        <w:numPr>
          <w:ilvl w:val="0"/>
          <w:numId w:val="4"/>
        </w:numPr>
        <w:rPr>
          <w:rFonts w:ascii="Century Gothic" w:hAnsi="Century Gothic"/>
          <w:sz w:val="24"/>
          <w:szCs w:val="24"/>
        </w:rPr>
      </w:pPr>
      <w:r>
        <w:rPr>
          <w:rFonts w:ascii="Century Gothic" w:hAnsi="Century Gothic"/>
          <w:sz w:val="24"/>
          <w:szCs w:val="24"/>
        </w:rPr>
        <w:t>ENGAGEMENT WG – less-than-one (.91) comment per week</w:t>
      </w:r>
    </w:p>
    <w:p w:rsidR="00716145" w:rsidRPr="00716145" w:rsidRDefault="00716145" w:rsidP="0045145A">
      <w:pPr>
        <w:pStyle w:val="ListParagraph"/>
        <w:numPr>
          <w:ilvl w:val="0"/>
          <w:numId w:val="4"/>
        </w:numPr>
        <w:rPr>
          <w:rFonts w:ascii="Century Gothic" w:hAnsi="Century Gothic"/>
          <w:sz w:val="24"/>
          <w:szCs w:val="24"/>
        </w:rPr>
      </w:pPr>
      <w:r>
        <w:rPr>
          <w:rFonts w:ascii="Century Gothic" w:hAnsi="Century Gothic"/>
          <w:sz w:val="24"/>
          <w:szCs w:val="24"/>
        </w:rPr>
        <w:t>ICANN-FUTURE WG – less-than-one (.69) comment per week</w:t>
      </w:r>
    </w:p>
    <w:p w:rsidR="007830E2" w:rsidRDefault="0045145A" w:rsidP="0045145A">
      <w:pPr>
        <w:pStyle w:val="ListParagraph"/>
        <w:numPr>
          <w:ilvl w:val="0"/>
          <w:numId w:val="4"/>
        </w:numPr>
        <w:rPr>
          <w:rFonts w:ascii="Century Gothic" w:hAnsi="Century Gothic"/>
          <w:sz w:val="24"/>
          <w:szCs w:val="24"/>
        </w:rPr>
      </w:pPr>
      <w:r w:rsidRPr="0045145A">
        <w:rPr>
          <w:rFonts w:ascii="Century Gothic" w:hAnsi="Century Gothic"/>
          <w:sz w:val="24"/>
          <w:szCs w:val="24"/>
        </w:rPr>
        <w:t>ALAC WHOIS WG – less-than-one (.54) comment per week</w:t>
      </w:r>
    </w:p>
    <w:p w:rsidR="00716145" w:rsidRPr="0045145A" w:rsidRDefault="00716145" w:rsidP="0045145A">
      <w:pPr>
        <w:pStyle w:val="ListParagraph"/>
        <w:numPr>
          <w:ilvl w:val="0"/>
          <w:numId w:val="4"/>
        </w:numPr>
        <w:rPr>
          <w:rFonts w:ascii="Century Gothic" w:hAnsi="Century Gothic"/>
          <w:sz w:val="24"/>
          <w:szCs w:val="24"/>
        </w:rPr>
      </w:pPr>
      <w:r>
        <w:rPr>
          <w:rFonts w:ascii="Century Gothic" w:hAnsi="Century Gothic"/>
          <w:sz w:val="24"/>
          <w:szCs w:val="24"/>
        </w:rPr>
        <w:t>IDN WG – less-than-one (.38) comment per week</w:t>
      </w:r>
    </w:p>
    <w:p w:rsidR="0045145A" w:rsidRDefault="0045145A" w:rsidP="0045145A">
      <w:pPr>
        <w:pStyle w:val="ListParagraph"/>
        <w:numPr>
          <w:ilvl w:val="0"/>
          <w:numId w:val="4"/>
        </w:numPr>
        <w:rPr>
          <w:rFonts w:ascii="Century Gothic" w:hAnsi="Century Gothic"/>
          <w:sz w:val="24"/>
          <w:szCs w:val="24"/>
        </w:rPr>
      </w:pPr>
      <w:r w:rsidRPr="0045145A">
        <w:rPr>
          <w:rFonts w:ascii="Century Gothic" w:hAnsi="Century Gothic"/>
          <w:sz w:val="24"/>
          <w:szCs w:val="24"/>
        </w:rPr>
        <w:t xml:space="preserve">FINANCE SUB-COMMITTEE – </w:t>
      </w:r>
      <w:r>
        <w:rPr>
          <w:rFonts w:ascii="Century Gothic" w:hAnsi="Century Gothic"/>
          <w:sz w:val="24"/>
          <w:szCs w:val="24"/>
        </w:rPr>
        <w:t>less-than-one (.18) comment/</w:t>
      </w:r>
      <w:r w:rsidRPr="0045145A">
        <w:rPr>
          <w:rFonts w:ascii="Century Gothic" w:hAnsi="Century Gothic"/>
          <w:sz w:val="24"/>
          <w:szCs w:val="24"/>
        </w:rPr>
        <w:t>week</w:t>
      </w:r>
    </w:p>
    <w:p w:rsidR="002A0A70" w:rsidRDefault="004A2E56" w:rsidP="004A2E56">
      <w:pPr>
        <w:ind w:left="1440"/>
        <w:rPr>
          <w:rFonts w:ascii="Century Gothic" w:hAnsi="Century Gothic"/>
          <w:sz w:val="24"/>
          <w:szCs w:val="24"/>
        </w:rPr>
      </w:pPr>
      <w:r>
        <w:rPr>
          <w:rFonts w:ascii="Century Gothic" w:hAnsi="Century Gothic"/>
          <w:sz w:val="24"/>
          <w:szCs w:val="24"/>
        </w:rPr>
        <w:t>To be fair, even though the ALAC has never once in eight years produced a working group report, this level of productivity (measured by amount of comments tendered) should still be compared to the typical output of GNSO working groups</w:t>
      </w:r>
      <w:r w:rsidR="006B2DAA">
        <w:rPr>
          <w:rFonts w:ascii="Century Gothic" w:hAnsi="Century Gothic"/>
          <w:sz w:val="24"/>
          <w:szCs w:val="24"/>
        </w:rPr>
        <w:t xml:space="preserve"> (that do produce reports)</w:t>
      </w:r>
      <w:r>
        <w:rPr>
          <w:rFonts w:ascii="Century Gothic" w:hAnsi="Century Gothic"/>
          <w:sz w:val="24"/>
          <w:szCs w:val="24"/>
        </w:rPr>
        <w:t>.</w:t>
      </w:r>
    </w:p>
    <w:p w:rsidR="00A8384E" w:rsidRDefault="00A8384E" w:rsidP="004A2E56">
      <w:pPr>
        <w:ind w:left="1440"/>
        <w:rPr>
          <w:rFonts w:ascii="Century Gothic" w:hAnsi="Century Gothic"/>
          <w:sz w:val="24"/>
          <w:szCs w:val="24"/>
        </w:rPr>
      </w:pPr>
    </w:p>
    <w:p w:rsidR="004A2E56" w:rsidRDefault="004A2E56" w:rsidP="004A2E56">
      <w:pPr>
        <w:pStyle w:val="Heading2"/>
        <w:numPr>
          <w:ilvl w:val="0"/>
          <w:numId w:val="2"/>
        </w:numPr>
        <w:rPr>
          <w:rFonts w:ascii="Century Gothic" w:hAnsi="Century Gothic"/>
          <w:color w:val="17365D" w:themeColor="text2" w:themeShade="BF"/>
          <w:sz w:val="24"/>
          <w:szCs w:val="24"/>
        </w:rPr>
      </w:pPr>
      <w:r w:rsidRPr="004A2E56">
        <w:rPr>
          <w:rFonts w:ascii="Century Gothic" w:hAnsi="Century Gothic"/>
          <w:color w:val="17365D" w:themeColor="text2" w:themeShade="BF"/>
          <w:sz w:val="24"/>
          <w:szCs w:val="24"/>
        </w:rPr>
        <w:t>WORKING GROUPS COMPARED</w:t>
      </w:r>
    </w:p>
    <w:p w:rsidR="004A2E56" w:rsidRDefault="004A2E56" w:rsidP="004A2E56"/>
    <w:p w:rsidR="006B2DAA" w:rsidRDefault="006B2DAA" w:rsidP="006B2DAA">
      <w:pPr>
        <w:pStyle w:val="ListParagraph"/>
        <w:numPr>
          <w:ilvl w:val="0"/>
          <w:numId w:val="5"/>
        </w:numPr>
        <w:rPr>
          <w:rFonts w:ascii="Century Gothic" w:hAnsi="Century Gothic"/>
          <w:sz w:val="24"/>
          <w:szCs w:val="24"/>
        </w:rPr>
      </w:pPr>
      <w:r>
        <w:rPr>
          <w:rFonts w:ascii="Century Gothic" w:hAnsi="Century Gothic"/>
          <w:sz w:val="24"/>
          <w:szCs w:val="24"/>
        </w:rPr>
        <w:t>GNSO VERTICAL INTEGRATION – 53.65 comments per week</w:t>
      </w:r>
    </w:p>
    <w:p w:rsidR="006B2DAA" w:rsidRDefault="006B2DAA" w:rsidP="006B2DAA">
      <w:pPr>
        <w:pStyle w:val="ListParagraph"/>
        <w:numPr>
          <w:ilvl w:val="0"/>
          <w:numId w:val="5"/>
        </w:numPr>
        <w:rPr>
          <w:rFonts w:ascii="Century Gothic" w:hAnsi="Century Gothic"/>
          <w:sz w:val="24"/>
          <w:szCs w:val="24"/>
        </w:rPr>
      </w:pPr>
      <w:r>
        <w:rPr>
          <w:rFonts w:ascii="Century Gothic" w:hAnsi="Century Gothic"/>
          <w:sz w:val="24"/>
          <w:szCs w:val="24"/>
        </w:rPr>
        <w:t>GNSO MORALITY/PUBLIC ORDER – 42.75 comments/week</w:t>
      </w:r>
    </w:p>
    <w:p w:rsidR="006B2DAA" w:rsidRDefault="006B2DAA" w:rsidP="006B2DAA">
      <w:pPr>
        <w:pStyle w:val="ListParagraph"/>
        <w:numPr>
          <w:ilvl w:val="0"/>
          <w:numId w:val="5"/>
        </w:numPr>
        <w:rPr>
          <w:rFonts w:ascii="Century Gothic" w:hAnsi="Century Gothic"/>
          <w:sz w:val="24"/>
          <w:szCs w:val="24"/>
        </w:rPr>
      </w:pPr>
      <w:r>
        <w:rPr>
          <w:rFonts w:ascii="Century Gothic" w:hAnsi="Century Gothic"/>
          <w:sz w:val="24"/>
          <w:szCs w:val="24"/>
        </w:rPr>
        <w:t>GNSO WHOIS TF – 12.88 comments per week</w:t>
      </w:r>
    </w:p>
    <w:p w:rsidR="006B2DAA" w:rsidRDefault="006B2DAA" w:rsidP="006B2DAA">
      <w:pPr>
        <w:pStyle w:val="ListParagraph"/>
        <w:numPr>
          <w:ilvl w:val="0"/>
          <w:numId w:val="5"/>
        </w:numPr>
        <w:rPr>
          <w:rFonts w:ascii="Century Gothic" w:hAnsi="Century Gothic"/>
          <w:sz w:val="24"/>
          <w:szCs w:val="24"/>
        </w:rPr>
      </w:pPr>
      <w:r>
        <w:rPr>
          <w:rFonts w:ascii="Century Gothic" w:hAnsi="Century Gothic"/>
          <w:sz w:val="24"/>
          <w:szCs w:val="24"/>
        </w:rPr>
        <w:t>GNSO NEW GTLD PDP – 8.67 comments per week</w:t>
      </w:r>
    </w:p>
    <w:p w:rsidR="006B2DAA" w:rsidRDefault="006B2DAA" w:rsidP="006B2DAA">
      <w:pPr>
        <w:pStyle w:val="ListParagraph"/>
        <w:numPr>
          <w:ilvl w:val="0"/>
          <w:numId w:val="5"/>
        </w:numPr>
        <w:rPr>
          <w:rFonts w:ascii="Century Gothic" w:hAnsi="Century Gothic"/>
          <w:sz w:val="24"/>
          <w:szCs w:val="24"/>
        </w:rPr>
      </w:pPr>
      <w:r>
        <w:rPr>
          <w:rFonts w:ascii="Century Gothic" w:hAnsi="Century Gothic"/>
          <w:sz w:val="24"/>
          <w:szCs w:val="24"/>
        </w:rPr>
        <w:t>GNSO FAST FLUX – 7.90 comments per week</w:t>
      </w:r>
    </w:p>
    <w:p w:rsidR="006B2DAA" w:rsidRDefault="006B2DAA" w:rsidP="006B2DAA">
      <w:pPr>
        <w:pStyle w:val="ListParagraph"/>
        <w:numPr>
          <w:ilvl w:val="0"/>
          <w:numId w:val="5"/>
        </w:numPr>
        <w:rPr>
          <w:rFonts w:ascii="Century Gothic" w:hAnsi="Century Gothic"/>
          <w:sz w:val="24"/>
          <w:szCs w:val="24"/>
        </w:rPr>
      </w:pPr>
      <w:r>
        <w:rPr>
          <w:rFonts w:ascii="Century Gothic" w:hAnsi="Century Gothic"/>
          <w:sz w:val="24"/>
          <w:szCs w:val="24"/>
        </w:rPr>
        <w:t>GNSO IRTP-B – 7.45 comments per week</w:t>
      </w:r>
    </w:p>
    <w:p w:rsidR="004B31BB" w:rsidRDefault="004B31BB" w:rsidP="006B2DAA">
      <w:pPr>
        <w:pStyle w:val="ListParagraph"/>
        <w:numPr>
          <w:ilvl w:val="0"/>
          <w:numId w:val="5"/>
        </w:numPr>
        <w:rPr>
          <w:rFonts w:ascii="Century Gothic" w:hAnsi="Century Gothic"/>
          <w:sz w:val="24"/>
          <w:szCs w:val="24"/>
        </w:rPr>
      </w:pPr>
      <w:r>
        <w:rPr>
          <w:rFonts w:ascii="Century Gothic" w:hAnsi="Century Gothic"/>
          <w:sz w:val="24"/>
          <w:szCs w:val="24"/>
        </w:rPr>
        <w:t>GNSO PENDR – 7.00 comments per week</w:t>
      </w:r>
    </w:p>
    <w:p w:rsidR="006B2DAA" w:rsidRDefault="006B2DAA" w:rsidP="006B2DAA">
      <w:pPr>
        <w:pStyle w:val="ListParagraph"/>
        <w:numPr>
          <w:ilvl w:val="0"/>
          <w:numId w:val="5"/>
        </w:numPr>
        <w:rPr>
          <w:rFonts w:ascii="Century Gothic" w:hAnsi="Century Gothic"/>
          <w:sz w:val="24"/>
          <w:szCs w:val="24"/>
        </w:rPr>
      </w:pPr>
      <w:r>
        <w:rPr>
          <w:rFonts w:ascii="Century Gothic" w:hAnsi="Century Gothic"/>
          <w:sz w:val="24"/>
          <w:szCs w:val="24"/>
        </w:rPr>
        <w:t>GNSO RAA TEAM B – 4.28 comments per week</w:t>
      </w:r>
    </w:p>
    <w:p w:rsidR="004B31BB" w:rsidRDefault="004B31BB" w:rsidP="004B31BB">
      <w:pPr>
        <w:rPr>
          <w:rFonts w:ascii="Century Gothic" w:hAnsi="Century Gothic"/>
          <w:sz w:val="24"/>
          <w:szCs w:val="24"/>
        </w:rPr>
      </w:pPr>
    </w:p>
    <w:p w:rsidR="004B31BB" w:rsidRDefault="00EB55C0" w:rsidP="004B31BB">
      <w:pPr>
        <w:pStyle w:val="Heading2"/>
        <w:numPr>
          <w:ilvl w:val="0"/>
          <w:numId w:val="2"/>
        </w:numPr>
        <w:rPr>
          <w:rFonts w:ascii="Century Gothic" w:hAnsi="Century Gothic"/>
          <w:color w:val="17365D" w:themeColor="text2" w:themeShade="BF"/>
          <w:sz w:val="24"/>
          <w:szCs w:val="24"/>
        </w:rPr>
      </w:pPr>
      <w:r>
        <w:rPr>
          <w:rFonts w:ascii="Century Gothic" w:hAnsi="Century Gothic"/>
          <w:color w:val="17365D" w:themeColor="text2" w:themeShade="BF"/>
          <w:sz w:val="24"/>
          <w:szCs w:val="24"/>
        </w:rPr>
        <w:t>THE ROOT OF THE PROBLEM</w:t>
      </w:r>
    </w:p>
    <w:p w:rsidR="004B31BB" w:rsidRDefault="004B31BB" w:rsidP="004B31BB"/>
    <w:p w:rsidR="00EF2769" w:rsidRDefault="004B31BB" w:rsidP="004B31BB">
      <w:pPr>
        <w:ind w:left="1440"/>
        <w:rPr>
          <w:rFonts w:ascii="Century Gothic" w:hAnsi="Century Gothic"/>
          <w:sz w:val="24"/>
          <w:szCs w:val="24"/>
        </w:rPr>
      </w:pPr>
      <w:r>
        <w:rPr>
          <w:rFonts w:ascii="Century Gothic" w:hAnsi="Century Gothic"/>
          <w:sz w:val="24"/>
          <w:szCs w:val="24"/>
        </w:rPr>
        <w:t xml:space="preserve">While the figures </w:t>
      </w:r>
      <w:r w:rsidR="008F5A49">
        <w:rPr>
          <w:rFonts w:ascii="Century Gothic" w:hAnsi="Century Gothic"/>
          <w:sz w:val="24"/>
          <w:szCs w:val="24"/>
        </w:rPr>
        <w:t xml:space="preserve">tend to </w:t>
      </w:r>
      <w:r>
        <w:rPr>
          <w:rFonts w:ascii="Century Gothic" w:hAnsi="Century Gothic"/>
          <w:sz w:val="24"/>
          <w:szCs w:val="24"/>
        </w:rPr>
        <w:t>speak for themselves, at issue is why the ALAC performance is so lackluster by comparison</w:t>
      </w:r>
      <w:r w:rsidR="005A7977">
        <w:rPr>
          <w:rFonts w:ascii="Century Gothic" w:hAnsi="Century Gothic"/>
          <w:sz w:val="24"/>
          <w:szCs w:val="24"/>
        </w:rPr>
        <w:t>…</w:t>
      </w:r>
      <w:r w:rsidR="00F642B2">
        <w:rPr>
          <w:rFonts w:ascii="Century Gothic" w:hAnsi="Century Gothic"/>
          <w:sz w:val="24"/>
          <w:szCs w:val="24"/>
        </w:rPr>
        <w:t xml:space="preserve"> </w:t>
      </w:r>
    </w:p>
    <w:p w:rsidR="004B31BB" w:rsidRDefault="004B31BB" w:rsidP="004B31BB">
      <w:pPr>
        <w:ind w:left="1440"/>
        <w:rPr>
          <w:rFonts w:ascii="Century Gothic" w:hAnsi="Century Gothic"/>
          <w:sz w:val="24"/>
          <w:szCs w:val="24"/>
        </w:rPr>
      </w:pPr>
      <w:r>
        <w:rPr>
          <w:rFonts w:ascii="Century Gothic" w:hAnsi="Century Gothic"/>
          <w:sz w:val="24"/>
          <w:szCs w:val="24"/>
        </w:rPr>
        <w:t>Within the GNSO one finds spirited discussion between several different special interest communities.  In order to arrive at consensus</w:t>
      </w:r>
      <w:r w:rsidR="005A7977">
        <w:rPr>
          <w:rFonts w:ascii="Century Gothic" w:hAnsi="Century Gothic"/>
          <w:sz w:val="24"/>
          <w:szCs w:val="24"/>
        </w:rPr>
        <w:t>,</w:t>
      </w:r>
      <w:r>
        <w:rPr>
          <w:rFonts w:ascii="Century Gothic" w:hAnsi="Century Gothic"/>
          <w:sz w:val="24"/>
          <w:szCs w:val="24"/>
        </w:rPr>
        <w:t xml:space="preserve"> ideas need to be forged in the heat of combative dialogue wherein only those views that can muster broad community-wide support will prevail.</w:t>
      </w:r>
      <w:r w:rsidR="005A7977">
        <w:rPr>
          <w:rFonts w:ascii="Century Gothic" w:hAnsi="Century Gothic"/>
          <w:sz w:val="24"/>
          <w:szCs w:val="24"/>
        </w:rPr>
        <w:t xml:space="preserve">  As former ICANN CEO Stuart Lynn indicated, “</w:t>
      </w:r>
      <w:r w:rsidR="005A7977" w:rsidRPr="005A7977">
        <w:rPr>
          <w:rFonts w:ascii="Century Gothic" w:hAnsi="Century Gothic"/>
          <w:sz w:val="24"/>
          <w:szCs w:val="24"/>
        </w:rPr>
        <w:t>ICANN is intended to be a lightning rod for loud and noisy debates, and considerable contention.</w:t>
      </w:r>
      <w:r w:rsidR="005A7977">
        <w:rPr>
          <w:rFonts w:ascii="Century Gothic" w:hAnsi="Century Gothic"/>
          <w:sz w:val="24"/>
          <w:szCs w:val="24"/>
        </w:rPr>
        <w:t>”</w:t>
      </w:r>
      <w:r w:rsidR="005A7977">
        <w:rPr>
          <w:rStyle w:val="FootnoteReference"/>
          <w:rFonts w:ascii="Century Gothic" w:hAnsi="Century Gothic"/>
          <w:sz w:val="24"/>
          <w:szCs w:val="24"/>
        </w:rPr>
        <w:footnoteReference w:id="53"/>
      </w:r>
    </w:p>
    <w:p w:rsidR="005A7977" w:rsidRDefault="005A7977" w:rsidP="004B31BB">
      <w:pPr>
        <w:ind w:left="1440"/>
        <w:rPr>
          <w:rFonts w:ascii="Century Gothic" w:hAnsi="Century Gothic"/>
          <w:sz w:val="24"/>
          <w:szCs w:val="24"/>
        </w:rPr>
      </w:pPr>
      <w:r>
        <w:rPr>
          <w:rFonts w:ascii="Century Gothic" w:hAnsi="Century Gothic"/>
          <w:sz w:val="24"/>
          <w:szCs w:val="24"/>
        </w:rPr>
        <w:t>Contrast this environment with that which one finds within the ALAC ambit – in ALAC circles one finds only like-minded non-commercial organizational representatives whose natural inclination is to tacitly agree with the views of their non-commercial colleagues.  Dissent is rare and comments are almost non-existent (other than those that indicate +1).   This approach</w:t>
      </w:r>
      <w:r w:rsidR="00F642B2">
        <w:rPr>
          <w:rFonts w:ascii="Century Gothic" w:hAnsi="Century Gothic"/>
          <w:sz w:val="24"/>
          <w:szCs w:val="24"/>
        </w:rPr>
        <w:t xml:space="preserve"> (</w:t>
      </w:r>
      <w:r>
        <w:rPr>
          <w:rFonts w:ascii="Century Gothic" w:hAnsi="Century Gothic"/>
          <w:sz w:val="24"/>
          <w:szCs w:val="24"/>
        </w:rPr>
        <w:t>which fails to challenge the ALAC to justify and advance their positions against opposition</w:t>
      </w:r>
      <w:r w:rsidR="00F642B2">
        <w:rPr>
          <w:rFonts w:ascii="Century Gothic" w:hAnsi="Century Gothic"/>
          <w:sz w:val="24"/>
          <w:szCs w:val="24"/>
        </w:rPr>
        <w:t>)</w:t>
      </w:r>
      <w:r>
        <w:rPr>
          <w:rFonts w:ascii="Century Gothic" w:hAnsi="Century Gothic"/>
          <w:sz w:val="24"/>
          <w:szCs w:val="24"/>
        </w:rPr>
        <w:t xml:space="preserve">, </w:t>
      </w:r>
      <w:r w:rsidR="008F5A49">
        <w:rPr>
          <w:rFonts w:ascii="Century Gothic" w:hAnsi="Century Gothic"/>
          <w:sz w:val="24"/>
          <w:szCs w:val="24"/>
        </w:rPr>
        <w:t>remains</w:t>
      </w:r>
      <w:r>
        <w:rPr>
          <w:rFonts w:ascii="Century Gothic" w:hAnsi="Century Gothic"/>
          <w:sz w:val="24"/>
          <w:szCs w:val="24"/>
        </w:rPr>
        <w:t xml:space="preserve"> flawed and </w:t>
      </w:r>
      <w:r w:rsidR="00CD3FF1">
        <w:rPr>
          <w:rFonts w:ascii="Century Gothic" w:hAnsi="Century Gothic"/>
          <w:sz w:val="24"/>
          <w:szCs w:val="24"/>
        </w:rPr>
        <w:t xml:space="preserve">as such </w:t>
      </w:r>
      <w:r>
        <w:rPr>
          <w:rFonts w:ascii="Century Gothic" w:hAnsi="Century Gothic"/>
          <w:sz w:val="24"/>
          <w:szCs w:val="24"/>
        </w:rPr>
        <w:t xml:space="preserve">fails to </w:t>
      </w:r>
      <w:r w:rsidR="00F642B2">
        <w:rPr>
          <w:rFonts w:ascii="Century Gothic" w:hAnsi="Century Gothic"/>
          <w:sz w:val="24"/>
          <w:szCs w:val="24"/>
        </w:rPr>
        <w:t xml:space="preserve">properly </w:t>
      </w:r>
      <w:r>
        <w:rPr>
          <w:rFonts w:ascii="Century Gothic" w:hAnsi="Century Gothic"/>
          <w:sz w:val="24"/>
          <w:szCs w:val="24"/>
        </w:rPr>
        <w:t>serve the public interest.</w:t>
      </w:r>
    </w:p>
    <w:p w:rsidR="00B011EE" w:rsidRDefault="00B011EE" w:rsidP="004B31BB">
      <w:pPr>
        <w:ind w:left="1440"/>
        <w:rPr>
          <w:rFonts w:ascii="Century Gothic" w:hAnsi="Century Gothic"/>
          <w:sz w:val="24"/>
          <w:szCs w:val="24"/>
        </w:rPr>
      </w:pPr>
    </w:p>
    <w:p w:rsidR="00F642B2" w:rsidRDefault="00F642B2" w:rsidP="004B31BB">
      <w:pPr>
        <w:ind w:left="1440"/>
        <w:rPr>
          <w:rFonts w:ascii="Century Gothic" w:hAnsi="Century Gothic"/>
          <w:sz w:val="24"/>
          <w:szCs w:val="24"/>
        </w:rPr>
      </w:pPr>
    </w:p>
    <w:p w:rsidR="003C63B7" w:rsidRDefault="003C63B7" w:rsidP="003C63B7">
      <w:pPr>
        <w:pStyle w:val="Heading1"/>
        <w:rPr>
          <w:rFonts w:ascii="Century Gothic" w:hAnsi="Century Gothic"/>
        </w:rPr>
      </w:pPr>
      <w:r w:rsidRPr="003C63B7">
        <w:rPr>
          <w:rFonts w:ascii="Century Gothic" w:hAnsi="Century Gothic"/>
        </w:rPr>
        <w:t>THE AT-LARGE COMMUNITY WITHIN ICANN</w:t>
      </w:r>
    </w:p>
    <w:p w:rsidR="003C63B7" w:rsidRDefault="003C63B7" w:rsidP="003C63B7"/>
    <w:p w:rsidR="003C63B7" w:rsidRDefault="003C63B7" w:rsidP="003C63B7">
      <w:pPr>
        <w:ind w:left="720"/>
        <w:rPr>
          <w:rFonts w:ascii="Century Gothic" w:hAnsi="Century Gothic"/>
          <w:sz w:val="24"/>
          <w:szCs w:val="24"/>
        </w:rPr>
      </w:pPr>
      <w:r>
        <w:rPr>
          <w:rFonts w:ascii="Century Gothic" w:hAnsi="Century Gothic"/>
          <w:sz w:val="24"/>
          <w:szCs w:val="24"/>
        </w:rPr>
        <w:t xml:space="preserve">Presently the At-Large is comprised of 134 non-commercial organizational entities and a handful of individuals.  The vast majority of these certified organizational entities (At-Large Structures) almost never participate in </w:t>
      </w:r>
      <w:r w:rsidR="00B15C75">
        <w:rPr>
          <w:rFonts w:ascii="Century Gothic" w:hAnsi="Century Gothic"/>
          <w:sz w:val="24"/>
          <w:szCs w:val="24"/>
        </w:rPr>
        <w:t xml:space="preserve">any </w:t>
      </w:r>
      <w:r>
        <w:rPr>
          <w:rFonts w:ascii="Century Gothic" w:hAnsi="Century Gothic"/>
          <w:sz w:val="24"/>
          <w:szCs w:val="24"/>
        </w:rPr>
        <w:t>mailing lis</w:t>
      </w:r>
      <w:r w:rsidR="00B15C75">
        <w:rPr>
          <w:rFonts w:ascii="Century Gothic" w:hAnsi="Century Gothic"/>
          <w:sz w:val="24"/>
          <w:szCs w:val="24"/>
        </w:rPr>
        <w:t>t or teleconference discussions and complaints regarding such member non-participation routinely are fielded, studied, examined and agonized over</w:t>
      </w:r>
      <w:r w:rsidR="007006E3">
        <w:rPr>
          <w:rStyle w:val="FootnoteReference"/>
          <w:rFonts w:ascii="Century Gothic" w:hAnsi="Century Gothic"/>
          <w:sz w:val="24"/>
          <w:szCs w:val="24"/>
        </w:rPr>
        <w:footnoteReference w:id="54"/>
      </w:r>
      <w:r w:rsidR="00B15C75">
        <w:rPr>
          <w:rFonts w:ascii="Century Gothic" w:hAnsi="Century Gothic"/>
          <w:sz w:val="24"/>
          <w:szCs w:val="24"/>
        </w:rPr>
        <w:t xml:space="preserve"> (invariably leading to an onslaught of ever more frequent calls for enhanced outreach</w:t>
      </w:r>
      <w:r w:rsidR="007006E3">
        <w:rPr>
          <w:rStyle w:val="FootnoteReference"/>
          <w:rFonts w:ascii="Century Gothic" w:hAnsi="Century Gothic"/>
          <w:sz w:val="24"/>
          <w:szCs w:val="24"/>
        </w:rPr>
        <w:footnoteReference w:id="55"/>
      </w:r>
      <w:r w:rsidR="006D25B8">
        <w:rPr>
          <w:rFonts w:ascii="Century Gothic" w:hAnsi="Century Gothic"/>
          <w:sz w:val="24"/>
          <w:szCs w:val="24"/>
        </w:rPr>
        <w:t xml:space="preserve"> to thereby attain more participants</w:t>
      </w:r>
      <w:r w:rsidR="00B15C75">
        <w:rPr>
          <w:rFonts w:ascii="Century Gothic" w:hAnsi="Century Gothic"/>
          <w:sz w:val="24"/>
          <w:szCs w:val="24"/>
        </w:rPr>
        <w:t>).</w:t>
      </w:r>
    </w:p>
    <w:p w:rsidR="007006E3" w:rsidRDefault="00B15C75" w:rsidP="003C63B7">
      <w:pPr>
        <w:ind w:left="720"/>
        <w:rPr>
          <w:rFonts w:ascii="Century Gothic" w:hAnsi="Century Gothic"/>
          <w:sz w:val="24"/>
          <w:szCs w:val="24"/>
        </w:rPr>
      </w:pPr>
      <w:r>
        <w:rPr>
          <w:rFonts w:ascii="Century Gothic" w:hAnsi="Century Gothic"/>
          <w:sz w:val="24"/>
          <w:szCs w:val="24"/>
        </w:rPr>
        <w:t xml:space="preserve">With regard to those that actually participate in the process, an ALAC member at the Singapore session opined:  “while a few of us are working hard, most </w:t>
      </w:r>
      <w:r w:rsidR="007006E3">
        <w:rPr>
          <w:rFonts w:ascii="Century Gothic" w:hAnsi="Century Gothic"/>
          <w:sz w:val="24"/>
          <w:szCs w:val="24"/>
        </w:rPr>
        <w:t xml:space="preserve">of us </w:t>
      </w:r>
      <w:r>
        <w:rPr>
          <w:rFonts w:ascii="Century Gothic" w:hAnsi="Century Gothic"/>
          <w:sz w:val="24"/>
          <w:szCs w:val="24"/>
        </w:rPr>
        <w:t>are hardly working”.</w:t>
      </w:r>
      <w:r w:rsidR="007006E3">
        <w:rPr>
          <w:rFonts w:ascii="Century Gothic" w:hAnsi="Century Gothic"/>
          <w:sz w:val="24"/>
          <w:szCs w:val="24"/>
        </w:rPr>
        <w:t xml:space="preserve">  </w:t>
      </w:r>
      <w:r w:rsidR="006D25B8">
        <w:rPr>
          <w:rFonts w:ascii="Century Gothic" w:hAnsi="Century Gothic"/>
          <w:sz w:val="24"/>
          <w:szCs w:val="24"/>
        </w:rPr>
        <w:t xml:space="preserve"> </w:t>
      </w:r>
    </w:p>
    <w:p w:rsidR="007006E3" w:rsidRDefault="007006E3" w:rsidP="007006E3">
      <w:pPr>
        <w:pStyle w:val="Heading1"/>
        <w:rPr>
          <w:rFonts w:ascii="Century Gothic" w:hAnsi="Century Gothic"/>
        </w:rPr>
      </w:pPr>
      <w:r w:rsidRPr="007006E3">
        <w:rPr>
          <w:rFonts w:ascii="Century Gothic" w:hAnsi="Century Gothic"/>
        </w:rPr>
        <w:t>TURNING THE SITUATION AROUND</w:t>
      </w:r>
    </w:p>
    <w:p w:rsidR="007006E3" w:rsidRDefault="007006E3" w:rsidP="007006E3"/>
    <w:p w:rsidR="00D03BD5" w:rsidRDefault="00D03BD5" w:rsidP="00D03BD5">
      <w:pPr>
        <w:ind w:left="720"/>
        <w:rPr>
          <w:rFonts w:ascii="Century Gothic" w:hAnsi="Century Gothic"/>
          <w:sz w:val="24"/>
          <w:szCs w:val="24"/>
        </w:rPr>
      </w:pPr>
      <w:r>
        <w:rPr>
          <w:rFonts w:ascii="Century Gothic" w:hAnsi="Century Gothic"/>
          <w:sz w:val="24"/>
          <w:szCs w:val="24"/>
        </w:rPr>
        <w:t xml:space="preserve">The public interest is best served by thoughtful, well-considered substantive </w:t>
      </w:r>
      <w:r w:rsidR="0027759D">
        <w:rPr>
          <w:rFonts w:ascii="Century Gothic" w:hAnsi="Century Gothic"/>
          <w:sz w:val="24"/>
          <w:szCs w:val="24"/>
        </w:rPr>
        <w:t xml:space="preserve">and broadly representative </w:t>
      </w:r>
      <w:r>
        <w:rPr>
          <w:rFonts w:ascii="Century Gothic" w:hAnsi="Century Gothic"/>
          <w:sz w:val="24"/>
          <w:szCs w:val="24"/>
        </w:rPr>
        <w:t xml:space="preserve">commentary that has emerged from a cordial yet combative consensus-engendering environment where arguments need to meet the test of universal acceptability.  </w:t>
      </w:r>
      <w:r w:rsidR="0027759D">
        <w:rPr>
          <w:rFonts w:ascii="Century Gothic" w:hAnsi="Century Gothic"/>
          <w:sz w:val="24"/>
          <w:szCs w:val="24"/>
        </w:rPr>
        <w:t xml:space="preserve">If the At-Large is to carry the banner of the public interest, then its contributions must </w:t>
      </w:r>
      <w:r w:rsidR="006D25B8">
        <w:rPr>
          <w:rFonts w:ascii="Century Gothic" w:hAnsi="Century Gothic"/>
          <w:sz w:val="24"/>
          <w:szCs w:val="24"/>
        </w:rPr>
        <w:t xml:space="preserve">also </w:t>
      </w:r>
      <w:r w:rsidR="0027759D">
        <w:rPr>
          <w:rFonts w:ascii="Century Gothic" w:hAnsi="Century Gothic"/>
          <w:sz w:val="24"/>
          <w:szCs w:val="24"/>
        </w:rPr>
        <w:t xml:space="preserve">be able to withstand the heat of intensive debate and must become part of the policy-recommending process.  </w:t>
      </w:r>
    </w:p>
    <w:p w:rsidR="004C5C5F" w:rsidRDefault="004C5C5F" w:rsidP="00D03BD5">
      <w:pPr>
        <w:ind w:left="720"/>
        <w:rPr>
          <w:rFonts w:ascii="Century Gothic" w:hAnsi="Century Gothic"/>
          <w:sz w:val="24"/>
          <w:szCs w:val="24"/>
        </w:rPr>
      </w:pPr>
      <w:r>
        <w:rPr>
          <w:rFonts w:ascii="Century Gothic" w:hAnsi="Century Gothic"/>
          <w:sz w:val="24"/>
          <w:szCs w:val="24"/>
        </w:rPr>
        <w:t xml:space="preserve">As an Advisory Committee to the ICANN Board, the ALAC typically provides Statements </w:t>
      </w:r>
      <w:r w:rsidRPr="004C5C5F">
        <w:rPr>
          <w:rFonts w:ascii="Century Gothic" w:hAnsi="Century Gothic"/>
          <w:sz w:val="24"/>
          <w:szCs w:val="24"/>
          <w:u w:val="single"/>
        </w:rPr>
        <w:t>after</w:t>
      </w:r>
      <w:r>
        <w:rPr>
          <w:rFonts w:ascii="Century Gothic" w:hAnsi="Century Gothic"/>
          <w:sz w:val="24"/>
          <w:szCs w:val="24"/>
        </w:rPr>
        <w:t xml:space="preserve"> the remainder of the community has prepared policy propositions.   If the At-Large is to </w:t>
      </w:r>
      <w:r w:rsidR="006D25B8">
        <w:rPr>
          <w:rFonts w:ascii="Century Gothic" w:hAnsi="Century Gothic"/>
          <w:sz w:val="24"/>
          <w:szCs w:val="24"/>
        </w:rPr>
        <w:t>be associated with</w:t>
      </w:r>
      <w:r>
        <w:rPr>
          <w:rFonts w:ascii="Century Gothic" w:hAnsi="Century Gothic"/>
          <w:sz w:val="24"/>
          <w:szCs w:val="24"/>
        </w:rPr>
        <w:t xml:space="preserve"> the public interest </w:t>
      </w:r>
      <w:r w:rsidR="006D25B8">
        <w:rPr>
          <w:rFonts w:ascii="Century Gothic" w:hAnsi="Century Gothic"/>
          <w:sz w:val="24"/>
          <w:szCs w:val="24"/>
        </w:rPr>
        <w:t xml:space="preserve">component </w:t>
      </w:r>
      <w:r>
        <w:rPr>
          <w:rFonts w:ascii="Century Gothic" w:hAnsi="Century Gothic"/>
          <w:sz w:val="24"/>
          <w:szCs w:val="24"/>
        </w:rPr>
        <w:t>within ICANN, then it needs to do more than offer after-the-fact commentary; instead</w:t>
      </w:r>
      <w:r w:rsidR="00E67599">
        <w:rPr>
          <w:rFonts w:ascii="Century Gothic" w:hAnsi="Century Gothic"/>
          <w:sz w:val="24"/>
          <w:szCs w:val="24"/>
        </w:rPr>
        <w:t>,</w:t>
      </w:r>
      <w:r>
        <w:rPr>
          <w:rFonts w:ascii="Century Gothic" w:hAnsi="Century Gothic"/>
          <w:sz w:val="24"/>
          <w:szCs w:val="24"/>
        </w:rPr>
        <w:t xml:space="preserve"> it needs to actively be involved in the grass-roots preparation of policy as a full participant in a multi-stakeholder discussion environment.</w:t>
      </w:r>
    </w:p>
    <w:p w:rsidR="006D25B8" w:rsidRDefault="006D25B8" w:rsidP="00D03BD5">
      <w:pPr>
        <w:ind w:left="720"/>
        <w:rPr>
          <w:rFonts w:ascii="Century Gothic" w:hAnsi="Century Gothic"/>
          <w:sz w:val="24"/>
          <w:szCs w:val="24"/>
        </w:rPr>
      </w:pPr>
    </w:p>
    <w:p w:rsidR="00690C4E" w:rsidRDefault="00690C4E" w:rsidP="00D03BD5">
      <w:pPr>
        <w:ind w:left="720"/>
        <w:rPr>
          <w:rFonts w:ascii="Century Gothic" w:hAnsi="Century Gothic"/>
          <w:sz w:val="24"/>
          <w:szCs w:val="24"/>
        </w:rPr>
      </w:pPr>
    </w:p>
    <w:p w:rsidR="00690C4E" w:rsidRDefault="00690C4E" w:rsidP="00690C4E">
      <w:pPr>
        <w:pStyle w:val="Heading1"/>
        <w:rPr>
          <w:rFonts w:ascii="Century Gothic" w:hAnsi="Century Gothic"/>
        </w:rPr>
      </w:pPr>
      <w:r w:rsidRPr="00690C4E">
        <w:rPr>
          <w:rFonts w:ascii="Century Gothic" w:hAnsi="Century Gothic"/>
        </w:rPr>
        <w:t>THE WAY FORWARD</w:t>
      </w:r>
    </w:p>
    <w:p w:rsidR="00690C4E" w:rsidRDefault="00690C4E" w:rsidP="00690C4E"/>
    <w:p w:rsidR="00690C4E" w:rsidRDefault="00690C4E" w:rsidP="00690C4E">
      <w:pPr>
        <w:ind w:left="720"/>
        <w:rPr>
          <w:rFonts w:ascii="Century Gothic" w:hAnsi="Century Gothic"/>
          <w:sz w:val="24"/>
          <w:szCs w:val="24"/>
        </w:rPr>
      </w:pPr>
      <w:r w:rsidRPr="00690C4E">
        <w:rPr>
          <w:rFonts w:ascii="Century Gothic" w:hAnsi="Century Gothic"/>
          <w:sz w:val="24"/>
          <w:szCs w:val="24"/>
        </w:rPr>
        <w:t>In prior years</w:t>
      </w:r>
      <w:r>
        <w:rPr>
          <w:rFonts w:ascii="Century Gothic" w:hAnsi="Century Gothic"/>
          <w:sz w:val="24"/>
          <w:szCs w:val="24"/>
        </w:rPr>
        <w:t>, after a substantial period of study,</w:t>
      </w:r>
      <w:r w:rsidRPr="00690C4E">
        <w:rPr>
          <w:rFonts w:ascii="Century Gothic" w:hAnsi="Century Gothic"/>
          <w:sz w:val="24"/>
          <w:szCs w:val="24"/>
        </w:rPr>
        <w:t xml:space="preserve"> the recommendation was put forward </w:t>
      </w:r>
      <w:r>
        <w:rPr>
          <w:rFonts w:ascii="Century Gothic" w:hAnsi="Century Gothic"/>
          <w:sz w:val="24"/>
          <w:szCs w:val="24"/>
        </w:rPr>
        <w:t>to create an At-Large Supporting Organization</w:t>
      </w:r>
      <w:r w:rsidR="008F5923">
        <w:rPr>
          <w:rFonts w:ascii="Century Gothic" w:hAnsi="Century Gothic"/>
          <w:sz w:val="24"/>
          <w:szCs w:val="24"/>
        </w:rPr>
        <w:t xml:space="preserve"> (ALSO)</w:t>
      </w:r>
      <w:r w:rsidR="008F5923">
        <w:rPr>
          <w:rStyle w:val="FootnoteReference"/>
          <w:rFonts w:ascii="Century Gothic" w:hAnsi="Century Gothic"/>
          <w:sz w:val="24"/>
          <w:szCs w:val="24"/>
        </w:rPr>
        <w:footnoteReference w:id="56"/>
      </w:r>
      <w:r w:rsidR="008F5923">
        <w:rPr>
          <w:rFonts w:ascii="Century Gothic" w:hAnsi="Century Gothic"/>
          <w:sz w:val="24"/>
          <w:szCs w:val="24"/>
        </w:rPr>
        <w:t>.  The specific recommendations were these:</w:t>
      </w:r>
    </w:p>
    <w:p w:rsidR="008F5923" w:rsidRPr="008F5923" w:rsidRDefault="008F5923" w:rsidP="008F5923">
      <w:pPr>
        <w:ind w:left="1440"/>
        <w:rPr>
          <w:rFonts w:ascii="Century Gothic" w:hAnsi="Century Gothic"/>
          <w:sz w:val="24"/>
          <w:szCs w:val="24"/>
        </w:rPr>
      </w:pPr>
      <w:r w:rsidRPr="008F5923">
        <w:rPr>
          <w:rFonts w:ascii="Century Gothic" w:hAnsi="Century Gothic"/>
          <w:sz w:val="24"/>
          <w:szCs w:val="24"/>
        </w:rPr>
        <w:t>(a) Create an At-Large Supporting Organization (ALSO) as a regionally-based framework for informed participation of any interested individual and for At-Large involvement in ICANN policy and decision-making (including mechanisms to foster discussion among individuals and with ICANN's decision-making bodies);</w:t>
      </w:r>
    </w:p>
    <w:p w:rsidR="008F5923" w:rsidRPr="008F5923" w:rsidRDefault="008F5923" w:rsidP="008F5923">
      <w:pPr>
        <w:ind w:left="1440"/>
        <w:rPr>
          <w:rFonts w:ascii="Century Gothic" w:hAnsi="Century Gothic"/>
          <w:sz w:val="24"/>
          <w:szCs w:val="24"/>
        </w:rPr>
      </w:pPr>
      <w:r w:rsidRPr="008F5923">
        <w:rPr>
          <w:rFonts w:ascii="Century Gothic" w:hAnsi="Century Gothic"/>
          <w:sz w:val="24"/>
          <w:szCs w:val="24"/>
        </w:rPr>
        <w:t>(b) Focus At-Large membership on an identifiable and vested community (an ALSO electorate) to provide a practical mechanism for voter registration and self-funding (e.g. The ALSC recommends that membership be based on individual domain name holders and efforts continue to be made to identify an additional membership option with a r</w:t>
      </w:r>
      <w:r>
        <w:rPr>
          <w:rFonts w:ascii="Century Gothic" w:hAnsi="Century Gothic"/>
          <w:sz w:val="24"/>
          <w:szCs w:val="24"/>
        </w:rPr>
        <w:t>easonable level of verification</w:t>
      </w:r>
      <w:r w:rsidRPr="008F5923">
        <w:rPr>
          <w:rFonts w:ascii="Century Gothic" w:hAnsi="Century Gothic"/>
          <w:sz w:val="24"/>
          <w:szCs w:val="24"/>
        </w:rPr>
        <w:t>);</w:t>
      </w:r>
    </w:p>
    <w:p w:rsidR="008F5923" w:rsidRDefault="008F5923" w:rsidP="008F5923">
      <w:pPr>
        <w:ind w:left="1440"/>
        <w:rPr>
          <w:rFonts w:ascii="Century Gothic" w:hAnsi="Century Gothic"/>
          <w:sz w:val="24"/>
          <w:szCs w:val="24"/>
        </w:rPr>
      </w:pPr>
      <w:r w:rsidRPr="008F5923">
        <w:rPr>
          <w:rFonts w:ascii="Century Gothic" w:hAnsi="Century Gothic"/>
          <w:sz w:val="24"/>
          <w:szCs w:val="24"/>
        </w:rPr>
        <w:t>(c) Provide a proportionate role for At-Large members in selecting ICANN's Board (along with other ICANN constituencies) (e.g. The ALSC recommends 6 At-Large</w:t>
      </w:r>
      <w:r>
        <w:rPr>
          <w:rFonts w:ascii="Century Gothic" w:hAnsi="Century Gothic"/>
          <w:sz w:val="24"/>
          <w:szCs w:val="24"/>
        </w:rPr>
        <w:t xml:space="preserve"> Directors in a 19 member Board</w:t>
      </w:r>
      <w:r w:rsidRPr="008F5923">
        <w:rPr>
          <w:rFonts w:ascii="Century Gothic" w:hAnsi="Century Gothic"/>
          <w:sz w:val="24"/>
          <w:szCs w:val="24"/>
        </w:rPr>
        <w:t>);</w:t>
      </w:r>
    </w:p>
    <w:p w:rsidR="008F5923" w:rsidRDefault="008F5923" w:rsidP="008F5923">
      <w:pPr>
        <w:ind w:left="1440"/>
        <w:rPr>
          <w:rFonts w:ascii="Century Gothic" w:hAnsi="Century Gothic"/>
          <w:sz w:val="24"/>
          <w:szCs w:val="24"/>
        </w:rPr>
      </w:pPr>
    </w:p>
    <w:p w:rsidR="008F5923" w:rsidRDefault="008F5923" w:rsidP="008F5923">
      <w:pPr>
        <w:ind w:left="720"/>
        <w:rPr>
          <w:rFonts w:ascii="Century Gothic" w:hAnsi="Century Gothic"/>
          <w:sz w:val="24"/>
          <w:szCs w:val="24"/>
        </w:rPr>
      </w:pPr>
      <w:r>
        <w:rPr>
          <w:rFonts w:ascii="Century Gothic" w:hAnsi="Century Gothic"/>
          <w:sz w:val="24"/>
          <w:szCs w:val="24"/>
        </w:rPr>
        <w:t xml:space="preserve">Instead of creating a Supporting Organization, the ICANN Board created an Advisory Committee; instead of a </w:t>
      </w:r>
      <w:r w:rsidR="0016351C">
        <w:rPr>
          <w:rFonts w:ascii="Century Gothic" w:hAnsi="Century Gothic"/>
          <w:sz w:val="24"/>
          <w:szCs w:val="24"/>
        </w:rPr>
        <w:t xml:space="preserve">self-funded </w:t>
      </w:r>
      <w:r>
        <w:rPr>
          <w:rFonts w:ascii="Century Gothic" w:hAnsi="Century Gothic"/>
          <w:sz w:val="24"/>
          <w:szCs w:val="24"/>
        </w:rPr>
        <w:t xml:space="preserve">vested community comprised of individual domain name holders, the at-large composition was re-designed to primarily be associated with </w:t>
      </w:r>
      <w:r w:rsidR="0016351C">
        <w:rPr>
          <w:rFonts w:ascii="Century Gothic" w:hAnsi="Century Gothic"/>
          <w:sz w:val="24"/>
          <w:szCs w:val="24"/>
        </w:rPr>
        <w:t xml:space="preserve">ICANN-funded </w:t>
      </w:r>
      <w:r>
        <w:rPr>
          <w:rFonts w:ascii="Century Gothic" w:hAnsi="Century Gothic"/>
          <w:sz w:val="24"/>
          <w:szCs w:val="24"/>
        </w:rPr>
        <w:t>non-commercial organizational entities; and instead of a significant role on the ICANN Board, the At-Large now elects only a single Board member.</w:t>
      </w:r>
    </w:p>
    <w:p w:rsidR="008F5923" w:rsidRDefault="008F5923" w:rsidP="008F5923">
      <w:pPr>
        <w:ind w:left="720"/>
        <w:rPr>
          <w:rFonts w:ascii="Century Gothic" w:hAnsi="Century Gothic"/>
          <w:sz w:val="24"/>
          <w:szCs w:val="24"/>
        </w:rPr>
      </w:pPr>
      <w:r>
        <w:rPr>
          <w:rFonts w:ascii="Century Gothic" w:hAnsi="Century Gothic"/>
          <w:sz w:val="24"/>
          <w:szCs w:val="24"/>
        </w:rPr>
        <w:t>So, with the bulk of these blue-panel recommendations rejected by an earlier ICANN Board, how then do we move forward properly?</w:t>
      </w:r>
    </w:p>
    <w:p w:rsidR="004801A8" w:rsidRDefault="004801A8" w:rsidP="008F5923">
      <w:pPr>
        <w:ind w:left="720"/>
        <w:rPr>
          <w:rFonts w:ascii="Century Gothic" w:hAnsi="Century Gothic"/>
          <w:sz w:val="24"/>
          <w:szCs w:val="24"/>
        </w:rPr>
      </w:pPr>
    </w:p>
    <w:p w:rsidR="004801A8" w:rsidRDefault="004801A8" w:rsidP="008F5923">
      <w:pPr>
        <w:ind w:left="720"/>
        <w:rPr>
          <w:rFonts w:ascii="Century Gothic" w:hAnsi="Century Gothic"/>
          <w:sz w:val="24"/>
          <w:szCs w:val="24"/>
        </w:rPr>
      </w:pPr>
    </w:p>
    <w:p w:rsidR="004801A8" w:rsidRDefault="004801A8" w:rsidP="004801A8">
      <w:pPr>
        <w:pStyle w:val="Heading1"/>
        <w:rPr>
          <w:rFonts w:ascii="Century Gothic" w:hAnsi="Century Gothic"/>
        </w:rPr>
      </w:pPr>
      <w:r w:rsidRPr="004801A8">
        <w:rPr>
          <w:rFonts w:ascii="Century Gothic" w:hAnsi="Century Gothic"/>
        </w:rPr>
        <w:t>A RE-ALIGNMENT IN THE PUBLIC INTEREST</w:t>
      </w:r>
    </w:p>
    <w:p w:rsidR="004801A8" w:rsidRDefault="004801A8" w:rsidP="004801A8"/>
    <w:p w:rsidR="004801A8" w:rsidRDefault="004801A8" w:rsidP="004801A8">
      <w:pPr>
        <w:ind w:left="720"/>
        <w:rPr>
          <w:rFonts w:ascii="Century Gothic" w:hAnsi="Century Gothic"/>
          <w:sz w:val="24"/>
          <w:szCs w:val="24"/>
        </w:rPr>
      </w:pPr>
      <w:r>
        <w:rPr>
          <w:rFonts w:ascii="Century Gothic" w:hAnsi="Century Gothic"/>
          <w:sz w:val="24"/>
          <w:szCs w:val="24"/>
        </w:rPr>
        <w:t>While some will argue that ALAC improvements are on the way</w:t>
      </w:r>
      <w:r>
        <w:rPr>
          <w:rStyle w:val="FootnoteReference"/>
          <w:rFonts w:ascii="Century Gothic" w:hAnsi="Century Gothic"/>
          <w:sz w:val="24"/>
          <w:szCs w:val="24"/>
        </w:rPr>
        <w:footnoteReference w:id="57"/>
      </w:r>
      <w:r>
        <w:rPr>
          <w:rFonts w:ascii="Century Gothic" w:hAnsi="Century Gothic"/>
          <w:sz w:val="24"/>
          <w:szCs w:val="24"/>
        </w:rPr>
        <w:t xml:space="preserve"> and will be ready any day now, the blunt truth is that no amount of tweaking will repair a problem that stems from a structural deficiency </w:t>
      </w:r>
      <w:r w:rsidR="00D25E25">
        <w:rPr>
          <w:rFonts w:ascii="Century Gothic" w:hAnsi="Century Gothic"/>
          <w:sz w:val="24"/>
          <w:szCs w:val="24"/>
        </w:rPr>
        <w:t>–</w:t>
      </w:r>
      <w:r>
        <w:rPr>
          <w:rFonts w:ascii="Century Gothic" w:hAnsi="Century Gothic"/>
          <w:sz w:val="24"/>
          <w:szCs w:val="24"/>
        </w:rPr>
        <w:t xml:space="preserve"> </w:t>
      </w:r>
      <w:r w:rsidR="00D25E25">
        <w:rPr>
          <w:rFonts w:ascii="Century Gothic" w:hAnsi="Century Gothic"/>
          <w:sz w:val="24"/>
          <w:szCs w:val="24"/>
        </w:rPr>
        <w:t xml:space="preserve">you simply can’t put like-minded folks together in a single construct that essentially yields the following:  </w:t>
      </w:r>
    </w:p>
    <w:p w:rsidR="00D25E25" w:rsidRDefault="00D25E25" w:rsidP="00D25E25">
      <w:pPr>
        <w:pStyle w:val="ListParagraph"/>
        <w:numPr>
          <w:ilvl w:val="2"/>
          <w:numId w:val="2"/>
        </w:numPr>
        <w:rPr>
          <w:rFonts w:ascii="Century Gothic" w:hAnsi="Century Gothic"/>
          <w:sz w:val="24"/>
          <w:szCs w:val="24"/>
        </w:rPr>
      </w:pPr>
      <w:r w:rsidRPr="00D25E25">
        <w:rPr>
          <w:rFonts w:ascii="Century Gothic" w:hAnsi="Century Gothic"/>
          <w:sz w:val="24"/>
          <w:szCs w:val="24"/>
        </w:rPr>
        <w:t>“</w:t>
      </w:r>
      <w:r>
        <w:rPr>
          <w:rFonts w:ascii="Century Gothic" w:hAnsi="Century Gothic"/>
          <w:sz w:val="24"/>
          <w:szCs w:val="24"/>
        </w:rPr>
        <w:t>…</w:t>
      </w:r>
      <w:r w:rsidRPr="00D25E25">
        <w:rPr>
          <w:rFonts w:ascii="Century Gothic" w:hAnsi="Century Gothic"/>
          <w:sz w:val="24"/>
          <w:szCs w:val="24"/>
        </w:rPr>
        <w:t>and this is my opinion”</w:t>
      </w:r>
    </w:p>
    <w:p w:rsidR="00D25E25" w:rsidRDefault="00D25E25" w:rsidP="00D25E25">
      <w:pPr>
        <w:pStyle w:val="ListParagraph"/>
        <w:numPr>
          <w:ilvl w:val="2"/>
          <w:numId w:val="2"/>
        </w:numPr>
        <w:rPr>
          <w:rFonts w:ascii="Century Gothic" w:hAnsi="Century Gothic"/>
          <w:sz w:val="24"/>
          <w:szCs w:val="24"/>
        </w:rPr>
      </w:pPr>
      <w:r>
        <w:rPr>
          <w:rFonts w:ascii="Century Gothic" w:hAnsi="Century Gothic"/>
          <w:sz w:val="24"/>
          <w:szCs w:val="24"/>
        </w:rPr>
        <w:t>“ditto”</w:t>
      </w:r>
    </w:p>
    <w:p w:rsidR="00D25E25" w:rsidRDefault="00D25E25" w:rsidP="00D25E25">
      <w:pPr>
        <w:pStyle w:val="ListParagraph"/>
        <w:numPr>
          <w:ilvl w:val="2"/>
          <w:numId w:val="2"/>
        </w:numPr>
        <w:rPr>
          <w:rFonts w:ascii="Century Gothic" w:hAnsi="Century Gothic"/>
          <w:sz w:val="24"/>
          <w:szCs w:val="24"/>
        </w:rPr>
      </w:pPr>
      <w:r>
        <w:rPr>
          <w:rFonts w:ascii="Century Gothic" w:hAnsi="Century Gothic"/>
          <w:sz w:val="24"/>
          <w:szCs w:val="24"/>
        </w:rPr>
        <w:t>“+1”</w:t>
      </w:r>
    </w:p>
    <w:p w:rsidR="00D25E25" w:rsidRDefault="00D25E25" w:rsidP="00D25E25">
      <w:pPr>
        <w:pStyle w:val="ListParagraph"/>
        <w:numPr>
          <w:ilvl w:val="2"/>
          <w:numId w:val="2"/>
        </w:numPr>
        <w:rPr>
          <w:rFonts w:ascii="Century Gothic" w:hAnsi="Century Gothic"/>
          <w:sz w:val="24"/>
          <w:szCs w:val="24"/>
        </w:rPr>
      </w:pPr>
      <w:r>
        <w:rPr>
          <w:rFonts w:ascii="Century Gothic" w:hAnsi="Century Gothic"/>
          <w:sz w:val="24"/>
          <w:szCs w:val="24"/>
        </w:rPr>
        <w:t>“…any other comments?”</w:t>
      </w:r>
    </w:p>
    <w:p w:rsidR="00D25E25" w:rsidRPr="00D25E25" w:rsidRDefault="00D25E25" w:rsidP="00D25E25">
      <w:pPr>
        <w:pStyle w:val="ListParagraph"/>
        <w:numPr>
          <w:ilvl w:val="2"/>
          <w:numId w:val="2"/>
        </w:numPr>
        <w:rPr>
          <w:rFonts w:ascii="Century Gothic" w:hAnsi="Century Gothic"/>
          <w:sz w:val="24"/>
          <w:szCs w:val="24"/>
        </w:rPr>
      </w:pPr>
      <w:r>
        <w:rPr>
          <w:rFonts w:ascii="Century Gothic" w:hAnsi="Century Gothic"/>
          <w:sz w:val="24"/>
          <w:szCs w:val="24"/>
        </w:rPr>
        <w:t>[SILENCE]</w:t>
      </w:r>
    </w:p>
    <w:p w:rsidR="00D25E25" w:rsidRDefault="00D25E25" w:rsidP="00D25E25">
      <w:pPr>
        <w:ind w:left="720"/>
        <w:rPr>
          <w:rFonts w:ascii="Century Gothic" w:hAnsi="Century Gothic"/>
          <w:sz w:val="24"/>
          <w:szCs w:val="24"/>
        </w:rPr>
      </w:pPr>
      <w:r>
        <w:rPr>
          <w:rFonts w:ascii="Century Gothic" w:hAnsi="Century Gothic"/>
          <w:sz w:val="24"/>
          <w:szCs w:val="24"/>
        </w:rPr>
        <w:t>The public interest requires another arrangement, an arrangement more condu</w:t>
      </w:r>
      <w:r w:rsidR="00F61A2E">
        <w:rPr>
          <w:rFonts w:ascii="Century Gothic" w:hAnsi="Century Gothic"/>
          <w:sz w:val="24"/>
          <w:szCs w:val="24"/>
        </w:rPr>
        <w:t>c</w:t>
      </w:r>
      <w:r>
        <w:rPr>
          <w:rFonts w:ascii="Century Gothic" w:hAnsi="Century Gothic"/>
          <w:sz w:val="24"/>
          <w:szCs w:val="24"/>
        </w:rPr>
        <w:t>ive to the preparation of carefully-considered and thoughtful work product.</w:t>
      </w:r>
    </w:p>
    <w:p w:rsidR="00D65121" w:rsidRDefault="00D65121" w:rsidP="00D25E25">
      <w:pPr>
        <w:ind w:left="720"/>
        <w:rPr>
          <w:rFonts w:ascii="Century Gothic" w:hAnsi="Century Gothic"/>
          <w:sz w:val="24"/>
          <w:szCs w:val="24"/>
        </w:rPr>
      </w:pPr>
    </w:p>
    <w:p w:rsidR="00D25E25" w:rsidRDefault="00F61A2E" w:rsidP="00D65121">
      <w:pPr>
        <w:pStyle w:val="Heading1"/>
        <w:rPr>
          <w:rFonts w:ascii="Century Gothic" w:hAnsi="Century Gothic"/>
        </w:rPr>
      </w:pPr>
      <w:r w:rsidRPr="00F61A2E">
        <w:rPr>
          <w:rFonts w:ascii="Century Gothic" w:hAnsi="Century Gothic"/>
        </w:rPr>
        <w:t>MERGING THE AT-LARGE WITH THE GNSO</w:t>
      </w:r>
    </w:p>
    <w:p w:rsidR="00F61A2E" w:rsidRDefault="00F61A2E" w:rsidP="00F61A2E"/>
    <w:p w:rsidR="006D25B8" w:rsidRDefault="00F61A2E" w:rsidP="00F61A2E">
      <w:pPr>
        <w:ind w:left="720"/>
        <w:rPr>
          <w:rFonts w:ascii="Century Gothic" w:hAnsi="Century Gothic"/>
          <w:sz w:val="24"/>
          <w:szCs w:val="24"/>
        </w:rPr>
      </w:pPr>
      <w:r>
        <w:rPr>
          <w:rFonts w:ascii="Century Gothic" w:hAnsi="Century Gothic"/>
          <w:sz w:val="24"/>
          <w:szCs w:val="24"/>
        </w:rPr>
        <w:t>Understanding that the ICANN Board has already rejected the notion of a separate Supporting Organization for the At-Large, the only viable option left is to consider merging the at-large with an existing Supporting Organi</w:t>
      </w:r>
      <w:r w:rsidR="006D25B8">
        <w:rPr>
          <w:rFonts w:ascii="Century Gothic" w:hAnsi="Century Gothic"/>
          <w:sz w:val="24"/>
          <w:szCs w:val="24"/>
        </w:rPr>
        <w:t>zation.</w:t>
      </w:r>
    </w:p>
    <w:p w:rsidR="00F61A2E" w:rsidRDefault="006D25B8" w:rsidP="00F61A2E">
      <w:pPr>
        <w:ind w:left="720"/>
        <w:rPr>
          <w:rFonts w:ascii="Century Gothic" w:hAnsi="Century Gothic"/>
          <w:sz w:val="24"/>
          <w:szCs w:val="24"/>
        </w:rPr>
      </w:pPr>
      <w:r>
        <w:rPr>
          <w:rFonts w:ascii="Century Gothic" w:hAnsi="Century Gothic"/>
          <w:sz w:val="24"/>
          <w:szCs w:val="24"/>
        </w:rPr>
        <w:t>This</w:t>
      </w:r>
      <w:r w:rsidR="00F61A2E">
        <w:rPr>
          <w:rFonts w:ascii="Century Gothic" w:hAnsi="Century Gothic"/>
          <w:sz w:val="24"/>
          <w:szCs w:val="24"/>
        </w:rPr>
        <w:t xml:space="preserve"> is a fairly easy objective to meet that can successfully be managed at both a significant cost-savings for the organization and without an excessive expenditure of either time or human resources during the transition phase.</w:t>
      </w:r>
      <w:r w:rsidR="001B70FA">
        <w:rPr>
          <w:rFonts w:ascii="Century Gothic" w:hAnsi="Century Gothic"/>
          <w:sz w:val="24"/>
          <w:szCs w:val="24"/>
        </w:rPr>
        <w:t xml:space="preserve">  The GNSO is the ideal candidate body for such a structural merger.</w:t>
      </w:r>
    </w:p>
    <w:p w:rsidR="00D65121" w:rsidRDefault="00D65121" w:rsidP="00F61A2E">
      <w:pPr>
        <w:ind w:left="720"/>
        <w:rPr>
          <w:rFonts w:ascii="Century Gothic" w:hAnsi="Century Gothic"/>
          <w:sz w:val="24"/>
          <w:szCs w:val="24"/>
        </w:rPr>
      </w:pPr>
    </w:p>
    <w:p w:rsidR="00D65121" w:rsidRDefault="00D65121" w:rsidP="00F61A2E">
      <w:pPr>
        <w:ind w:left="720"/>
        <w:rPr>
          <w:rFonts w:ascii="Century Gothic" w:hAnsi="Century Gothic"/>
          <w:sz w:val="24"/>
          <w:szCs w:val="24"/>
        </w:rPr>
      </w:pPr>
    </w:p>
    <w:p w:rsidR="00D65121" w:rsidRDefault="00D65121" w:rsidP="00F61A2E">
      <w:pPr>
        <w:ind w:left="720"/>
        <w:rPr>
          <w:rFonts w:ascii="Century Gothic" w:hAnsi="Century Gothic"/>
          <w:sz w:val="24"/>
          <w:szCs w:val="24"/>
        </w:rPr>
      </w:pPr>
    </w:p>
    <w:p w:rsidR="00D65121" w:rsidRDefault="00D65121" w:rsidP="00D65121">
      <w:pPr>
        <w:pStyle w:val="Heading2"/>
        <w:numPr>
          <w:ilvl w:val="0"/>
          <w:numId w:val="2"/>
        </w:numPr>
        <w:rPr>
          <w:rFonts w:ascii="Century Gothic" w:hAnsi="Century Gothic"/>
          <w:color w:val="17365D" w:themeColor="text2" w:themeShade="BF"/>
          <w:sz w:val="24"/>
          <w:szCs w:val="24"/>
        </w:rPr>
      </w:pPr>
      <w:r w:rsidRPr="00D65121">
        <w:rPr>
          <w:rFonts w:ascii="Century Gothic" w:hAnsi="Century Gothic"/>
          <w:color w:val="17365D" w:themeColor="text2" w:themeShade="BF"/>
          <w:sz w:val="24"/>
          <w:szCs w:val="24"/>
        </w:rPr>
        <w:t>STRUCTURAL CONSIDERATIONS</w:t>
      </w:r>
    </w:p>
    <w:p w:rsidR="00D65121" w:rsidRPr="00D65121" w:rsidRDefault="00D65121" w:rsidP="00D65121"/>
    <w:p w:rsidR="00F61A2E" w:rsidRDefault="00F61A2E" w:rsidP="00D65121">
      <w:pPr>
        <w:ind w:left="1440"/>
        <w:rPr>
          <w:rFonts w:ascii="Century Gothic" w:hAnsi="Century Gothic"/>
          <w:sz w:val="24"/>
          <w:szCs w:val="24"/>
        </w:rPr>
      </w:pPr>
      <w:r>
        <w:rPr>
          <w:rFonts w:ascii="Century Gothic" w:hAnsi="Century Gothic"/>
          <w:sz w:val="24"/>
          <w:szCs w:val="24"/>
        </w:rPr>
        <w:t>From a structural perspective there is inherently no difference between the non-commercial organizations and individuals that currently constitute the at-large and the non-commercial organizations and individuals that presently comprise the Non-commercial</w:t>
      </w:r>
      <w:r w:rsidR="00D65121">
        <w:rPr>
          <w:rFonts w:ascii="Century Gothic" w:hAnsi="Century Gothic"/>
          <w:sz w:val="24"/>
          <w:szCs w:val="24"/>
        </w:rPr>
        <w:t xml:space="preserve"> Stakeholders Group – they are </w:t>
      </w:r>
      <w:r w:rsidR="008B4F03">
        <w:rPr>
          <w:rFonts w:ascii="Century Gothic" w:hAnsi="Century Gothic"/>
          <w:sz w:val="24"/>
          <w:szCs w:val="24"/>
        </w:rPr>
        <w:t>2</w:t>
      </w:r>
      <w:r w:rsidR="00D65121">
        <w:rPr>
          <w:rFonts w:ascii="Century Gothic" w:hAnsi="Century Gothic"/>
          <w:sz w:val="24"/>
          <w:szCs w:val="24"/>
        </w:rPr>
        <w:t xml:space="preserve"> sides of the same coin.</w:t>
      </w:r>
    </w:p>
    <w:p w:rsidR="001B70FA" w:rsidRDefault="001B70FA" w:rsidP="00D65121">
      <w:pPr>
        <w:ind w:left="1440"/>
        <w:rPr>
          <w:rFonts w:ascii="Century Gothic" w:hAnsi="Century Gothic"/>
          <w:sz w:val="24"/>
          <w:szCs w:val="24"/>
        </w:rPr>
      </w:pPr>
    </w:p>
    <w:p w:rsidR="001B70FA" w:rsidRDefault="001B70FA" w:rsidP="001B70FA">
      <w:pPr>
        <w:pStyle w:val="Heading2"/>
        <w:numPr>
          <w:ilvl w:val="0"/>
          <w:numId w:val="2"/>
        </w:numPr>
        <w:rPr>
          <w:rFonts w:ascii="Century Gothic" w:hAnsi="Century Gothic"/>
          <w:color w:val="17365D" w:themeColor="text2" w:themeShade="BF"/>
          <w:sz w:val="24"/>
          <w:szCs w:val="24"/>
        </w:rPr>
      </w:pPr>
      <w:r w:rsidRPr="001B70FA">
        <w:rPr>
          <w:rFonts w:ascii="Century Gothic" w:hAnsi="Century Gothic"/>
          <w:color w:val="17365D" w:themeColor="text2" w:themeShade="BF"/>
          <w:sz w:val="24"/>
          <w:szCs w:val="24"/>
        </w:rPr>
        <w:t>FINANCIAL CONSIDERATIONS</w:t>
      </w:r>
    </w:p>
    <w:p w:rsidR="001B70FA" w:rsidRDefault="001B70FA" w:rsidP="001B70FA"/>
    <w:p w:rsidR="001B70FA" w:rsidRDefault="00273E48" w:rsidP="001B70FA">
      <w:pPr>
        <w:ind w:left="1440"/>
        <w:rPr>
          <w:rFonts w:ascii="Century Gothic" w:hAnsi="Century Gothic"/>
          <w:sz w:val="24"/>
          <w:szCs w:val="24"/>
        </w:rPr>
      </w:pPr>
      <w:r>
        <w:rPr>
          <w:rFonts w:ascii="Century Gothic" w:hAnsi="Century Gothic"/>
          <w:sz w:val="24"/>
          <w:szCs w:val="24"/>
        </w:rPr>
        <w:t xml:space="preserve">The </w:t>
      </w:r>
      <w:r w:rsidRPr="00273E48">
        <w:rPr>
          <w:rFonts w:ascii="Century Gothic" w:hAnsi="Century Gothic"/>
          <w:sz w:val="24"/>
          <w:szCs w:val="24"/>
        </w:rPr>
        <w:t>Draft FY12 Operating Plan and Budget</w:t>
      </w:r>
      <w:r>
        <w:rPr>
          <w:rFonts w:ascii="Century Gothic" w:hAnsi="Century Gothic"/>
          <w:sz w:val="24"/>
          <w:szCs w:val="24"/>
        </w:rPr>
        <w:t xml:space="preserve"> contains a section that details expenses on an area basis.  The Expense Area Group documentation indicates that support for ALAC and At-Large activities constitutes 8.10% of ICANN’s $67million budget… in other words; ICANN invests $5,427,000</w:t>
      </w:r>
      <w:r>
        <w:rPr>
          <w:rStyle w:val="FootnoteReference"/>
          <w:rFonts w:ascii="Century Gothic" w:hAnsi="Century Gothic"/>
          <w:sz w:val="24"/>
          <w:szCs w:val="24"/>
        </w:rPr>
        <w:footnoteReference w:id="58"/>
      </w:r>
      <w:r>
        <w:rPr>
          <w:rFonts w:ascii="Century Gothic" w:hAnsi="Century Gothic"/>
          <w:sz w:val="24"/>
          <w:szCs w:val="24"/>
        </w:rPr>
        <w:t xml:space="preserve"> in support of:</w:t>
      </w:r>
    </w:p>
    <w:p w:rsidR="00273E48" w:rsidRDefault="00273E48" w:rsidP="00273E48">
      <w:pPr>
        <w:pStyle w:val="ListParagraph"/>
        <w:numPr>
          <w:ilvl w:val="1"/>
          <w:numId w:val="2"/>
        </w:numPr>
        <w:rPr>
          <w:rFonts w:ascii="Century Gothic" w:hAnsi="Century Gothic"/>
          <w:sz w:val="24"/>
          <w:szCs w:val="24"/>
        </w:rPr>
      </w:pPr>
      <w:r w:rsidRPr="00273E48">
        <w:rPr>
          <w:rFonts w:ascii="Century Gothic" w:hAnsi="Century Gothic"/>
          <w:sz w:val="24"/>
          <w:szCs w:val="24"/>
        </w:rPr>
        <w:t xml:space="preserve">Policy work and secretariat support for ALAC </w:t>
      </w:r>
    </w:p>
    <w:p w:rsidR="00273E48" w:rsidRDefault="00273E48" w:rsidP="00273E48">
      <w:pPr>
        <w:pStyle w:val="ListParagraph"/>
        <w:numPr>
          <w:ilvl w:val="1"/>
          <w:numId w:val="2"/>
        </w:numPr>
        <w:rPr>
          <w:rFonts w:ascii="Century Gothic" w:hAnsi="Century Gothic"/>
          <w:sz w:val="24"/>
          <w:szCs w:val="24"/>
        </w:rPr>
      </w:pPr>
      <w:r w:rsidRPr="00273E48">
        <w:rPr>
          <w:rFonts w:ascii="Century Gothic" w:hAnsi="Century Gothic"/>
          <w:sz w:val="24"/>
          <w:szCs w:val="24"/>
        </w:rPr>
        <w:t xml:space="preserve">Outreach efforts to regional organizations and global engagement </w:t>
      </w:r>
    </w:p>
    <w:p w:rsidR="00273E48" w:rsidRDefault="00273E48" w:rsidP="00273E48">
      <w:pPr>
        <w:pStyle w:val="ListParagraph"/>
        <w:numPr>
          <w:ilvl w:val="1"/>
          <w:numId w:val="2"/>
        </w:numPr>
        <w:rPr>
          <w:rFonts w:ascii="Century Gothic" w:hAnsi="Century Gothic"/>
          <w:sz w:val="24"/>
          <w:szCs w:val="24"/>
        </w:rPr>
      </w:pPr>
      <w:r w:rsidRPr="00273E48">
        <w:rPr>
          <w:rFonts w:ascii="Century Gothic" w:hAnsi="Century Gothic"/>
          <w:sz w:val="24"/>
          <w:szCs w:val="24"/>
        </w:rPr>
        <w:t xml:space="preserve">Translation of documents </w:t>
      </w:r>
    </w:p>
    <w:p w:rsidR="00273E48" w:rsidRDefault="00273E48" w:rsidP="00273E48">
      <w:pPr>
        <w:pStyle w:val="ListParagraph"/>
        <w:numPr>
          <w:ilvl w:val="1"/>
          <w:numId w:val="2"/>
        </w:numPr>
        <w:rPr>
          <w:rFonts w:ascii="Century Gothic" w:hAnsi="Century Gothic"/>
          <w:sz w:val="24"/>
          <w:szCs w:val="24"/>
        </w:rPr>
      </w:pPr>
      <w:r w:rsidRPr="00273E48">
        <w:rPr>
          <w:rFonts w:ascii="Century Gothic" w:hAnsi="Century Gothic"/>
          <w:sz w:val="24"/>
          <w:szCs w:val="24"/>
        </w:rPr>
        <w:t xml:space="preserve">Interpretation costs for meetings and conference calls </w:t>
      </w:r>
    </w:p>
    <w:p w:rsidR="00273E48" w:rsidRDefault="006D25B8" w:rsidP="00273E48">
      <w:pPr>
        <w:pStyle w:val="ListParagraph"/>
        <w:numPr>
          <w:ilvl w:val="1"/>
          <w:numId w:val="2"/>
        </w:numPr>
        <w:rPr>
          <w:rFonts w:ascii="Century Gothic" w:hAnsi="Century Gothic"/>
          <w:sz w:val="24"/>
          <w:szCs w:val="24"/>
        </w:rPr>
      </w:pPr>
      <w:r>
        <w:rPr>
          <w:rFonts w:ascii="Century Gothic" w:hAnsi="Century Gothic"/>
          <w:sz w:val="24"/>
          <w:szCs w:val="24"/>
        </w:rPr>
        <w:t>O</w:t>
      </w:r>
      <w:r w:rsidR="00273E48" w:rsidRPr="00273E48">
        <w:rPr>
          <w:rFonts w:ascii="Century Gothic" w:hAnsi="Century Gothic"/>
          <w:sz w:val="24"/>
          <w:szCs w:val="24"/>
        </w:rPr>
        <w:t>verhead costs such as rent, human resources and accounting</w:t>
      </w:r>
    </w:p>
    <w:p w:rsidR="00273E48" w:rsidRDefault="00273E48" w:rsidP="00273E48">
      <w:pPr>
        <w:ind w:left="1440"/>
        <w:rPr>
          <w:rFonts w:ascii="Century Gothic" w:hAnsi="Century Gothic"/>
          <w:sz w:val="24"/>
          <w:szCs w:val="24"/>
        </w:rPr>
      </w:pPr>
      <w:r>
        <w:rPr>
          <w:rFonts w:ascii="Century Gothic" w:hAnsi="Century Gothic"/>
          <w:sz w:val="24"/>
          <w:szCs w:val="24"/>
        </w:rPr>
        <w:t>By merging the ALAC with the GNSO, certain cost savings can assuredly be realized.</w:t>
      </w:r>
    </w:p>
    <w:p w:rsidR="008B4F03" w:rsidRDefault="008B4F03" w:rsidP="00273E48">
      <w:pPr>
        <w:ind w:left="1440"/>
        <w:rPr>
          <w:rFonts w:ascii="Century Gothic" w:hAnsi="Century Gothic"/>
          <w:sz w:val="24"/>
          <w:szCs w:val="24"/>
        </w:rPr>
      </w:pPr>
    </w:p>
    <w:p w:rsidR="008B4F03" w:rsidRDefault="008B4F03" w:rsidP="008B4F03">
      <w:pPr>
        <w:pStyle w:val="Heading2"/>
        <w:numPr>
          <w:ilvl w:val="0"/>
          <w:numId w:val="2"/>
        </w:numPr>
        <w:rPr>
          <w:rFonts w:ascii="Century Gothic" w:hAnsi="Century Gothic"/>
          <w:color w:val="17365D" w:themeColor="text2" w:themeShade="BF"/>
          <w:sz w:val="24"/>
          <w:szCs w:val="24"/>
        </w:rPr>
      </w:pPr>
      <w:r w:rsidRPr="008B4F03">
        <w:rPr>
          <w:rFonts w:ascii="Century Gothic" w:hAnsi="Century Gothic"/>
          <w:color w:val="17365D" w:themeColor="text2" w:themeShade="BF"/>
          <w:sz w:val="24"/>
          <w:szCs w:val="24"/>
        </w:rPr>
        <w:t>POLICY CONSIDERATIONS</w:t>
      </w:r>
    </w:p>
    <w:p w:rsidR="008B4F03" w:rsidRDefault="008B4F03" w:rsidP="008B4F03"/>
    <w:p w:rsidR="008B4F03" w:rsidRDefault="008B4F03" w:rsidP="008B4F03">
      <w:pPr>
        <w:ind w:left="1440"/>
        <w:rPr>
          <w:rFonts w:ascii="Century Gothic" w:hAnsi="Century Gothic"/>
          <w:sz w:val="24"/>
          <w:szCs w:val="24"/>
        </w:rPr>
      </w:pPr>
      <w:r>
        <w:rPr>
          <w:rFonts w:ascii="Century Gothic" w:hAnsi="Century Gothic"/>
          <w:sz w:val="24"/>
          <w:szCs w:val="24"/>
        </w:rPr>
        <w:t xml:space="preserve">A merger would allow those that have not benefited from </w:t>
      </w:r>
      <w:r w:rsidR="00970CDB">
        <w:rPr>
          <w:rFonts w:ascii="Century Gothic" w:hAnsi="Century Gothic"/>
          <w:sz w:val="24"/>
          <w:szCs w:val="24"/>
        </w:rPr>
        <w:t xml:space="preserve">vibrant </w:t>
      </w:r>
      <w:r>
        <w:rPr>
          <w:rFonts w:ascii="Century Gothic" w:hAnsi="Century Gothic"/>
          <w:sz w:val="24"/>
          <w:szCs w:val="24"/>
        </w:rPr>
        <w:t>policy debates to actively join in the fray – this would be healthy</w:t>
      </w:r>
      <w:r w:rsidR="00627C69">
        <w:rPr>
          <w:rFonts w:ascii="Century Gothic" w:hAnsi="Century Gothic"/>
          <w:sz w:val="24"/>
          <w:szCs w:val="24"/>
        </w:rPr>
        <w:t xml:space="preserve"> for the eco-system.</w:t>
      </w:r>
    </w:p>
    <w:p w:rsidR="008B4F03" w:rsidRDefault="008B4F03" w:rsidP="008B4F03">
      <w:pPr>
        <w:ind w:left="1440"/>
        <w:rPr>
          <w:rFonts w:ascii="Century Gothic" w:hAnsi="Century Gothic"/>
          <w:sz w:val="24"/>
          <w:szCs w:val="24"/>
        </w:rPr>
      </w:pPr>
    </w:p>
    <w:p w:rsidR="008B4F03" w:rsidRDefault="008B4F03" w:rsidP="008B4F03">
      <w:pPr>
        <w:pStyle w:val="Heading2"/>
        <w:numPr>
          <w:ilvl w:val="0"/>
          <w:numId w:val="2"/>
        </w:numPr>
        <w:rPr>
          <w:rFonts w:ascii="Century Gothic" w:hAnsi="Century Gothic"/>
          <w:color w:val="17365D" w:themeColor="text2" w:themeShade="BF"/>
          <w:sz w:val="24"/>
          <w:szCs w:val="24"/>
        </w:rPr>
      </w:pPr>
      <w:r w:rsidRPr="008B4F03">
        <w:rPr>
          <w:rFonts w:ascii="Century Gothic" w:hAnsi="Century Gothic"/>
          <w:color w:val="17365D" w:themeColor="text2" w:themeShade="BF"/>
          <w:sz w:val="24"/>
          <w:szCs w:val="24"/>
        </w:rPr>
        <w:t>FRAMEWORK CONSIDERATIONS</w:t>
      </w:r>
    </w:p>
    <w:p w:rsidR="008B4F03" w:rsidRDefault="008B4F03" w:rsidP="008B4F03"/>
    <w:p w:rsidR="008B4F03" w:rsidRDefault="008B4F03" w:rsidP="008B4F03">
      <w:pPr>
        <w:ind w:left="1440"/>
        <w:rPr>
          <w:rFonts w:ascii="Century Gothic" w:hAnsi="Century Gothic"/>
          <w:sz w:val="24"/>
          <w:szCs w:val="24"/>
        </w:rPr>
      </w:pPr>
      <w:r>
        <w:rPr>
          <w:rFonts w:ascii="Century Gothic" w:hAnsi="Century Gothic"/>
          <w:sz w:val="24"/>
          <w:szCs w:val="24"/>
        </w:rPr>
        <w:t>The ICANN Board has the ability to create a new constituency:</w:t>
      </w:r>
    </w:p>
    <w:p w:rsidR="008B4F03" w:rsidRPr="008B4F03" w:rsidRDefault="008B4F03" w:rsidP="008B4F03">
      <w:pPr>
        <w:ind w:left="2880"/>
        <w:rPr>
          <w:rFonts w:ascii="Century Gothic" w:hAnsi="Century Gothic"/>
          <w:sz w:val="24"/>
          <w:szCs w:val="24"/>
        </w:rPr>
      </w:pPr>
      <w:r>
        <w:rPr>
          <w:rFonts w:ascii="Century Gothic" w:hAnsi="Century Gothic"/>
          <w:sz w:val="24"/>
          <w:szCs w:val="24"/>
        </w:rPr>
        <w:t>“</w:t>
      </w:r>
      <w:r w:rsidRPr="008B4F03">
        <w:rPr>
          <w:rFonts w:ascii="Century Gothic" w:hAnsi="Century Gothic"/>
          <w:sz w:val="24"/>
          <w:szCs w:val="24"/>
        </w:rPr>
        <w:t>The Board may create new Constituencies as described in Section 5(3) in response to such a petition, or on its own motion, if the Board determines that such action would serve the purposes of ICANN.</w:t>
      </w:r>
      <w:r>
        <w:rPr>
          <w:rFonts w:ascii="Century Gothic" w:hAnsi="Century Gothic"/>
          <w:sz w:val="24"/>
          <w:szCs w:val="24"/>
        </w:rPr>
        <w:t>”</w:t>
      </w:r>
    </w:p>
    <w:p w:rsidR="008B4F03" w:rsidRDefault="008B4F03" w:rsidP="008B4F03">
      <w:pPr>
        <w:ind w:left="1440"/>
        <w:rPr>
          <w:rFonts w:ascii="Century Gothic" w:hAnsi="Century Gothic"/>
          <w:sz w:val="24"/>
          <w:szCs w:val="24"/>
        </w:rPr>
      </w:pPr>
      <w:r>
        <w:rPr>
          <w:rFonts w:ascii="Century Gothic" w:hAnsi="Century Gothic"/>
          <w:sz w:val="24"/>
          <w:szCs w:val="24"/>
        </w:rPr>
        <w:t xml:space="preserve">The Board can choose to create an at-large constituency within the Non-Commercial Stakeholders Group and it could readily be designated as the At-Large Constituency.  Charters could be prepared and drafted in advance to facilitate a smooth transition.  Election mechanics, as offered by the GNSO Secretariat, are already in place.  </w:t>
      </w:r>
      <w:r w:rsidR="00721CDD">
        <w:rPr>
          <w:rFonts w:ascii="Century Gothic" w:hAnsi="Century Gothic"/>
          <w:sz w:val="24"/>
          <w:szCs w:val="24"/>
        </w:rPr>
        <w:t>GNSO Toolkit provisioning for constituencies is almost ready and should be available by the time the transition occurs.</w:t>
      </w:r>
    </w:p>
    <w:p w:rsidR="008B6DDB" w:rsidRDefault="008B6DDB" w:rsidP="008B4F03">
      <w:pPr>
        <w:ind w:left="1440"/>
        <w:rPr>
          <w:rFonts w:ascii="Century Gothic" w:hAnsi="Century Gothic"/>
          <w:sz w:val="24"/>
          <w:szCs w:val="24"/>
        </w:rPr>
      </w:pPr>
    </w:p>
    <w:p w:rsidR="00D81523" w:rsidRDefault="009243FA" w:rsidP="00D81523">
      <w:pPr>
        <w:pStyle w:val="Heading1"/>
        <w:rPr>
          <w:rFonts w:ascii="Century Gothic" w:hAnsi="Century Gothic"/>
        </w:rPr>
      </w:pPr>
      <w:r w:rsidRPr="009243FA">
        <w:rPr>
          <w:rFonts w:ascii="Century Gothic" w:hAnsi="Century Gothic"/>
        </w:rPr>
        <w:t>PUTTING THIS TRANSITION INTO A STRATEGIC CONTEXT</w:t>
      </w:r>
    </w:p>
    <w:p w:rsidR="009243FA" w:rsidRDefault="009243FA" w:rsidP="009243FA"/>
    <w:p w:rsidR="00861E3D" w:rsidRDefault="008B6DDB" w:rsidP="009243FA">
      <w:pPr>
        <w:ind w:left="720"/>
        <w:rPr>
          <w:rFonts w:ascii="Century Gothic" w:hAnsi="Century Gothic"/>
          <w:sz w:val="24"/>
          <w:szCs w:val="24"/>
        </w:rPr>
      </w:pPr>
      <w:r>
        <w:rPr>
          <w:rFonts w:ascii="Century Gothic" w:hAnsi="Century Gothic"/>
          <w:sz w:val="24"/>
          <w:szCs w:val="24"/>
        </w:rPr>
        <w:t>I am reminded of the thrust of the comments put forth by former ICANN CEO Stuart Lynn in his paper “</w:t>
      </w:r>
      <w:r w:rsidRPr="008B6DDB">
        <w:rPr>
          <w:rFonts w:ascii="Century Gothic" w:hAnsi="Century Gothic"/>
          <w:sz w:val="24"/>
          <w:szCs w:val="24"/>
        </w:rPr>
        <w:t>President's Report: ICANN – The Case for Reform</w:t>
      </w:r>
      <w:r>
        <w:rPr>
          <w:rFonts w:ascii="Century Gothic" w:hAnsi="Century Gothic"/>
          <w:sz w:val="24"/>
          <w:szCs w:val="24"/>
        </w:rPr>
        <w:t>”:</w:t>
      </w:r>
    </w:p>
    <w:p w:rsidR="00861E3D" w:rsidRDefault="008B6DDB" w:rsidP="008B6DDB">
      <w:pPr>
        <w:ind w:left="1440"/>
        <w:rPr>
          <w:rFonts w:ascii="Century Gothic" w:hAnsi="Century Gothic"/>
          <w:sz w:val="24"/>
          <w:szCs w:val="24"/>
        </w:rPr>
      </w:pPr>
      <w:r>
        <w:rPr>
          <w:rFonts w:ascii="Century Gothic" w:hAnsi="Century Gothic"/>
          <w:sz w:val="24"/>
          <w:szCs w:val="24"/>
        </w:rPr>
        <w:t>“</w:t>
      </w:r>
      <w:r w:rsidR="00861E3D" w:rsidRPr="00861E3D">
        <w:rPr>
          <w:rFonts w:ascii="Century Gothic" w:hAnsi="Century Gothic"/>
          <w:sz w:val="24"/>
          <w:szCs w:val="24"/>
        </w:rPr>
        <w:t>The simple fact is that a private sector process cannot effectively function if major and important elements of the private sector do not participate productively in that process</w:t>
      </w:r>
      <w:r>
        <w:rPr>
          <w:rFonts w:ascii="Century Gothic" w:hAnsi="Century Gothic"/>
          <w:sz w:val="24"/>
          <w:szCs w:val="24"/>
        </w:rPr>
        <w:t xml:space="preserve">…  </w:t>
      </w:r>
      <w:r w:rsidR="00861E3D" w:rsidRPr="00861E3D">
        <w:rPr>
          <w:rFonts w:ascii="Century Gothic" w:hAnsi="Century Gothic"/>
          <w:sz w:val="24"/>
          <w:szCs w:val="24"/>
        </w:rPr>
        <w:t>We must find another, more effective path for appropriate input into the ICANN process by the general user community that will accomplish the key purpose underlying the At Large concept – to ensure that the broad public interest is effectively reflected and protected in the ICANN consensus development process.</w:t>
      </w:r>
      <w:r>
        <w:rPr>
          <w:rFonts w:ascii="Century Gothic" w:hAnsi="Century Gothic"/>
          <w:sz w:val="24"/>
          <w:szCs w:val="24"/>
        </w:rPr>
        <w:t>”</w:t>
      </w:r>
      <w:r>
        <w:rPr>
          <w:rStyle w:val="FootnoteReference"/>
          <w:rFonts w:ascii="Century Gothic" w:hAnsi="Century Gothic"/>
          <w:sz w:val="24"/>
          <w:szCs w:val="24"/>
        </w:rPr>
        <w:footnoteReference w:id="59"/>
      </w:r>
    </w:p>
    <w:p w:rsidR="008B6DDB" w:rsidRDefault="00F7482F" w:rsidP="008B6DDB">
      <w:pPr>
        <w:ind w:left="720"/>
        <w:rPr>
          <w:rFonts w:ascii="Century Gothic" w:hAnsi="Century Gothic"/>
          <w:sz w:val="24"/>
          <w:szCs w:val="24"/>
        </w:rPr>
      </w:pPr>
      <w:r>
        <w:rPr>
          <w:rFonts w:ascii="Century Gothic" w:hAnsi="Century Gothic"/>
          <w:sz w:val="24"/>
          <w:szCs w:val="24"/>
        </w:rPr>
        <w:t xml:space="preserve">I share Stuart’s vision.  The at-large community must </w:t>
      </w:r>
      <w:r w:rsidR="00C321EB">
        <w:rPr>
          <w:rFonts w:ascii="Century Gothic" w:hAnsi="Century Gothic"/>
          <w:sz w:val="24"/>
          <w:szCs w:val="24"/>
        </w:rPr>
        <w:t>be integrated into the consensus development process.  A structural merger achieves this goal.</w:t>
      </w:r>
    </w:p>
    <w:p w:rsidR="00353550" w:rsidRPr="00353550" w:rsidRDefault="00353550" w:rsidP="008B6DDB">
      <w:pPr>
        <w:ind w:left="720"/>
        <w:rPr>
          <w:rFonts w:ascii="Century Gothic" w:hAnsi="Century Gothic"/>
          <w:color w:val="365F91" w:themeColor="accent1" w:themeShade="BF"/>
          <w:sz w:val="24"/>
          <w:szCs w:val="24"/>
        </w:rPr>
      </w:pPr>
    </w:p>
    <w:p w:rsidR="00353550" w:rsidRPr="00353550" w:rsidRDefault="00353550" w:rsidP="00353550">
      <w:pPr>
        <w:keepNext/>
        <w:keepLines/>
        <w:numPr>
          <w:ilvl w:val="0"/>
          <w:numId w:val="2"/>
        </w:numPr>
        <w:spacing w:before="200" w:after="0"/>
        <w:outlineLvl w:val="1"/>
        <w:rPr>
          <w:rFonts w:ascii="Century Gothic" w:eastAsiaTheme="majorEastAsia" w:hAnsi="Century Gothic" w:cstheme="majorBidi"/>
          <w:b/>
          <w:bCs/>
          <w:color w:val="17365D" w:themeColor="text2" w:themeShade="BF"/>
          <w:sz w:val="24"/>
          <w:szCs w:val="24"/>
        </w:rPr>
      </w:pPr>
      <w:r>
        <w:rPr>
          <w:rFonts w:ascii="Century Gothic" w:eastAsiaTheme="majorEastAsia" w:hAnsi="Century Gothic" w:cstheme="majorBidi"/>
          <w:b/>
          <w:bCs/>
          <w:color w:val="17365D" w:themeColor="text2" w:themeShade="BF"/>
          <w:sz w:val="24"/>
          <w:szCs w:val="24"/>
        </w:rPr>
        <w:t xml:space="preserve">THE AT-LARGE </w:t>
      </w:r>
      <w:r w:rsidR="00181D7E">
        <w:rPr>
          <w:rFonts w:ascii="Century Gothic" w:eastAsiaTheme="majorEastAsia" w:hAnsi="Century Gothic" w:cstheme="majorBidi"/>
          <w:b/>
          <w:bCs/>
          <w:color w:val="17365D" w:themeColor="text2" w:themeShade="BF"/>
          <w:sz w:val="24"/>
          <w:szCs w:val="24"/>
        </w:rPr>
        <w:t>AS A</w:t>
      </w:r>
      <w:r>
        <w:rPr>
          <w:rFonts w:ascii="Century Gothic" w:eastAsiaTheme="majorEastAsia" w:hAnsi="Century Gothic" w:cstheme="majorBidi"/>
          <w:b/>
          <w:bCs/>
          <w:color w:val="17365D" w:themeColor="text2" w:themeShade="BF"/>
          <w:sz w:val="24"/>
          <w:szCs w:val="24"/>
        </w:rPr>
        <w:t xml:space="preserve"> PUBLIC INTEREST</w:t>
      </w:r>
      <w:r w:rsidR="00181D7E">
        <w:rPr>
          <w:rFonts w:ascii="Century Gothic" w:eastAsiaTheme="majorEastAsia" w:hAnsi="Century Gothic" w:cstheme="majorBidi"/>
          <w:b/>
          <w:bCs/>
          <w:color w:val="17365D" w:themeColor="text2" w:themeShade="BF"/>
          <w:sz w:val="24"/>
          <w:szCs w:val="24"/>
        </w:rPr>
        <w:t xml:space="preserve"> ELEMENT</w:t>
      </w:r>
    </w:p>
    <w:p w:rsidR="00353550" w:rsidRDefault="00353550" w:rsidP="008B6DDB">
      <w:pPr>
        <w:ind w:left="720"/>
        <w:rPr>
          <w:rFonts w:ascii="Century Gothic" w:hAnsi="Century Gothic"/>
          <w:sz w:val="24"/>
          <w:szCs w:val="24"/>
        </w:rPr>
      </w:pPr>
    </w:p>
    <w:p w:rsidR="00181D7E" w:rsidRDefault="00353550" w:rsidP="00353550">
      <w:pPr>
        <w:ind w:left="1440"/>
        <w:rPr>
          <w:rFonts w:ascii="Century Gothic" w:hAnsi="Century Gothic"/>
          <w:sz w:val="24"/>
          <w:szCs w:val="24"/>
        </w:rPr>
      </w:pPr>
      <w:r>
        <w:rPr>
          <w:rFonts w:ascii="Century Gothic" w:hAnsi="Century Gothic"/>
          <w:sz w:val="24"/>
          <w:szCs w:val="24"/>
        </w:rPr>
        <w:t>While t</w:t>
      </w:r>
      <w:r w:rsidR="00F7482F">
        <w:rPr>
          <w:rFonts w:ascii="Century Gothic" w:hAnsi="Century Gothic"/>
          <w:sz w:val="24"/>
          <w:szCs w:val="24"/>
        </w:rPr>
        <w:t>he At-Large has always been associated with the notion</w:t>
      </w:r>
      <w:r w:rsidR="00C321EB">
        <w:rPr>
          <w:rFonts w:ascii="Century Gothic" w:hAnsi="Century Gothic"/>
          <w:sz w:val="24"/>
          <w:szCs w:val="24"/>
        </w:rPr>
        <w:t xml:space="preserve"> of the broad public interest</w:t>
      </w:r>
      <w:r w:rsidR="005A1ABF">
        <w:rPr>
          <w:rFonts w:ascii="Century Gothic" w:hAnsi="Century Gothic"/>
          <w:sz w:val="24"/>
          <w:szCs w:val="24"/>
        </w:rPr>
        <w:t xml:space="preserve"> – a notion derived from the proposed composition of the original ICANN Board where half of the directors were to have come from the at-large – the At-Large as we know it today is not the equivalent of the Public Interest… it is only a single component thereof.  </w:t>
      </w:r>
    </w:p>
    <w:p w:rsidR="00181D7E" w:rsidRDefault="005A1ABF" w:rsidP="00353550">
      <w:pPr>
        <w:ind w:left="1440"/>
        <w:rPr>
          <w:rFonts w:ascii="Century Gothic" w:hAnsi="Century Gothic"/>
          <w:sz w:val="24"/>
          <w:szCs w:val="24"/>
        </w:rPr>
      </w:pPr>
      <w:r>
        <w:rPr>
          <w:rFonts w:ascii="Century Gothic" w:hAnsi="Century Gothic"/>
          <w:sz w:val="24"/>
          <w:szCs w:val="24"/>
        </w:rPr>
        <w:t>As expressed by departing Chairman of the Board Peter Dengate Thrush:</w:t>
      </w:r>
    </w:p>
    <w:p w:rsidR="00181D7E" w:rsidRDefault="001B493B" w:rsidP="00181D7E">
      <w:pPr>
        <w:ind w:left="2160"/>
        <w:rPr>
          <w:rFonts w:ascii="Century Gothic" w:hAnsi="Century Gothic"/>
          <w:sz w:val="24"/>
          <w:szCs w:val="24"/>
        </w:rPr>
      </w:pPr>
      <w:r>
        <w:rPr>
          <w:rFonts w:ascii="Century Gothic" w:hAnsi="Century Gothic"/>
          <w:sz w:val="24"/>
          <w:szCs w:val="24"/>
        </w:rPr>
        <w:t>“</w:t>
      </w:r>
      <w:r w:rsidR="00181D7E" w:rsidRPr="00181D7E">
        <w:rPr>
          <w:rFonts w:ascii="Century Gothic" w:hAnsi="Century Gothic"/>
          <w:sz w:val="24"/>
          <w:szCs w:val="24"/>
        </w:rPr>
        <w:t>Let me just give my view about that discussion that was yesterday</w:t>
      </w:r>
      <w:r w:rsidR="00181D7E">
        <w:rPr>
          <w:rFonts w:ascii="Century Gothic" w:hAnsi="Century Gothic"/>
          <w:sz w:val="24"/>
          <w:szCs w:val="24"/>
        </w:rPr>
        <w:t xml:space="preserve"> </w:t>
      </w:r>
      <w:r w:rsidR="00181D7E" w:rsidRPr="00181D7E">
        <w:rPr>
          <w:rFonts w:ascii="Century Gothic" w:hAnsi="Century Gothic"/>
          <w:sz w:val="24"/>
          <w:szCs w:val="24"/>
        </w:rPr>
        <w:t>about defining the "public interest."  I think we should resist that</w:t>
      </w:r>
      <w:r w:rsidR="00181D7E">
        <w:rPr>
          <w:rFonts w:ascii="Century Gothic" w:hAnsi="Century Gothic"/>
          <w:sz w:val="24"/>
          <w:szCs w:val="24"/>
        </w:rPr>
        <w:t xml:space="preserve"> </w:t>
      </w:r>
      <w:r w:rsidR="00181D7E" w:rsidRPr="00181D7E">
        <w:rPr>
          <w:rFonts w:ascii="Century Gothic" w:hAnsi="Century Gothic"/>
          <w:sz w:val="24"/>
          <w:szCs w:val="24"/>
        </w:rPr>
        <w:t>with all our might and main.  Whoever defines the "public interest"</w:t>
      </w:r>
      <w:r w:rsidR="00181D7E">
        <w:rPr>
          <w:rFonts w:ascii="Century Gothic" w:hAnsi="Century Gothic"/>
          <w:sz w:val="24"/>
          <w:szCs w:val="24"/>
        </w:rPr>
        <w:t xml:space="preserve"> </w:t>
      </w:r>
      <w:r w:rsidR="00181D7E" w:rsidRPr="00181D7E">
        <w:rPr>
          <w:rFonts w:ascii="Century Gothic" w:hAnsi="Century Gothic"/>
          <w:sz w:val="24"/>
          <w:szCs w:val="24"/>
        </w:rPr>
        <w:t>will have won the big chunk of the argument and will have excluded</w:t>
      </w:r>
      <w:r w:rsidR="00181D7E">
        <w:rPr>
          <w:rFonts w:ascii="Century Gothic" w:hAnsi="Century Gothic"/>
          <w:sz w:val="24"/>
          <w:szCs w:val="24"/>
        </w:rPr>
        <w:t xml:space="preserve"> </w:t>
      </w:r>
      <w:r w:rsidR="00181D7E" w:rsidRPr="00181D7E">
        <w:rPr>
          <w:rFonts w:ascii="Century Gothic" w:hAnsi="Century Gothic"/>
          <w:sz w:val="24"/>
          <w:szCs w:val="24"/>
        </w:rPr>
        <w:t xml:space="preserve">the others because there is no such thing as "the public interest." </w:t>
      </w:r>
      <w:r w:rsidR="00181D7E">
        <w:rPr>
          <w:rFonts w:ascii="Century Gothic" w:hAnsi="Century Gothic"/>
          <w:sz w:val="24"/>
          <w:szCs w:val="24"/>
        </w:rPr>
        <w:t xml:space="preserve"> </w:t>
      </w:r>
      <w:r w:rsidR="00181D7E" w:rsidRPr="00181D7E">
        <w:rPr>
          <w:rFonts w:ascii="Century Gothic" w:hAnsi="Century Gothic"/>
          <w:sz w:val="24"/>
          <w:szCs w:val="24"/>
        </w:rPr>
        <w:t>There are many public interests, and they are always competing.  Our</w:t>
      </w:r>
      <w:r w:rsidR="00181D7E">
        <w:rPr>
          <w:rFonts w:ascii="Century Gothic" w:hAnsi="Century Gothic"/>
          <w:sz w:val="24"/>
          <w:szCs w:val="24"/>
        </w:rPr>
        <w:t xml:space="preserve"> </w:t>
      </w:r>
      <w:r>
        <w:rPr>
          <w:rFonts w:ascii="Century Gothic" w:hAnsi="Century Gothic"/>
          <w:sz w:val="24"/>
          <w:szCs w:val="24"/>
        </w:rPr>
        <w:t>job is to get it right.”</w:t>
      </w:r>
      <w:r>
        <w:rPr>
          <w:rStyle w:val="FootnoteReference"/>
          <w:rFonts w:ascii="Century Gothic" w:hAnsi="Century Gothic"/>
          <w:sz w:val="24"/>
          <w:szCs w:val="24"/>
        </w:rPr>
        <w:footnoteReference w:id="60"/>
      </w:r>
    </w:p>
    <w:p w:rsidR="001B493B" w:rsidRDefault="001B493B" w:rsidP="001B493B">
      <w:pPr>
        <w:ind w:left="1440"/>
        <w:rPr>
          <w:rFonts w:ascii="Century Gothic" w:hAnsi="Century Gothic"/>
          <w:sz w:val="24"/>
          <w:szCs w:val="24"/>
        </w:rPr>
      </w:pPr>
      <w:r>
        <w:rPr>
          <w:rFonts w:ascii="Century Gothic" w:hAnsi="Century Gothic"/>
          <w:sz w:val="24"/>
          <w:szCs w:val="24"/>
        </w:rPr>
        <w:t>Chairman Thrush has recognized that our next major challenge involves attending to necessary structural considerations; he states:</w:t>
      </w:r>
    </w:p>
    <w:p w:rsidR="001B493B" w:rsidRDefault="001B493B" w:rsidP="001B493B">
      <w:pPr>
        <w:ind w:left="2160"/>
        <w:rPr>
          <w:rFonts w:ascii="Century Gothic" w:hAnsi="Century Gothic"/>
          <w:sz w:val="24"/>
          <w:szCs w:val="24"/>
        </w:rPr>
      </w:pPr>
      <w:r>
        <w:rPr>
          <w:rFonts w:ascii="Century Gothic" w:hAnsi="Century Gothic"/>
          <w:sz w:val="24"/>
          <w:szCs w:val="24"/>
        </w:rPr>
        <w:t>“</w:t>
      </w:r>
      <w:r w:rsidR="008B6DDB" w:rsidRPr="009243FA">
        <w:rPr>
          <w:rFonts w:ascii="Century Gothic" w:hAnsi="Century Gothic"/>
          <w:sz w:val="24"/>
          <w:szCs w:val="24"/>
        </w:rPr>
        <w:t>Things we could have done better, I think we need to keep a close</w:t>
      </w:r>
      <w:r>
        <w:rPr>
          <w:rFonts w:ascii="Century Gothic" w:hAnsi="Century Gothic"/>
          <w:sz w:val="24"/>
          <w:szCs w:val="24"/>
        </w:rPr>
        <w:t xml:space="preserve"> </w:t>
      </w:r>
      <w:r w:rsidR="008B6DDB" w:rsidRPr="009243FA">
        <w:rPr>
          <w:rFonts w:ascii="Century Gothic" w:hAnsi="Century Gothic"/>
          <w:sz w:val="24"/>
          <w:szCs w:val="24"/>
        </w:rPr>
        <w:t>eye on the structure of ICANN.  It should always be an elegant</w:t>
      </w:r>
      <w:r>
        <w:rPr>
          <w:rFonts w:ascii="Century Gothic" w:hAnsi="Century Gothic"/>
          <w:sz w:val="24"/>
          <w:szCs w:val="24"/>
        </w:rPr>
        <w:t xml:space="preserve"> </w:t>
      </w:r>
      <w:r w:rsidR="008B6DDB" w:rsidRPr="009243FA">
        <w:rPr>
          <w:rFonts w:ascii="Century Gothic" w:hAnsi="Century Gothic"/>
          <w:sz w:val="24"/>
          <w:szCs w:val="24"/>
        </w:rPr>
        <w:t>tension as the members of the community contest with each other for</w:t>
      </w:r>
      <w:r>
        <w:rPr>
          <w:rFonts w:ascii="Century Gothic" w:hAnsi="Century Gothic"/>
          <w:sz w:val="24"/>
          <w:szCs w:val="24"/>
        </w:rPr>
        <w:t xml:space="preserve"> </w:t>
      </w:r>
      <w:r w:rsidR="008B6DDB" w:rsidRPr="009243FA">
        <w:rPr>
          <w:rFonts w:ascii="Century Gothic" w:hAnsi="Century Gothic"/>
          <w:sz w:val="24"/>
          <w:szCs w:val="24"/>
        </w:rPr>
        <w:t>resources, contest with each other for policy positions.</w:t>
      </w:r>
      <w:r>
        <w:rPr>
          <w:rFonts w:ascii="Century Gothic" w:hAnsi="Century Gothic"/>
          <w:sz w:val="24"/>
          <w:szCs w:val="24"/>
        </w:rPr>
        <w:t>”</w:t>
      </w:r>
      <w:r>
        <w:rPr>
          <w:rStyle w:val="FootnoteReference"/>
          <w:rFonts w:ascii="Century Gothic" w:hAnsi="Century Gothic"/>
          <w:sz w:val="24"/>
          <w:szCs w:val="24"/>
        </w:rPr>
        <w:footnoteReference w:id="61"/>
      </w:r>
    </w:p>
    <w:p w:rsidR="00861E3D" w:rsidRDefault="001B493B" w:rsidP="001B493B">
      <w:pPr>
        <w:ind w:left="1440"/>
        <w:rPr>
          <w:rFonts w:ascii="Century Gothic" w:hAnsi="Century Gothic"/>
          <w:sz w:val="24"/>
          <w:szCs w:val="24"/>
        </w:rPr>
      </w:pPr>
      <w:r>
        <w:rPr>
          <w:rFonts w:ascii="Century Gothic" w:hAnsi="Century Gothic"/>
          <w:sz w:val="24"/>
          <w:szCs w:val="24"/>
        </w:rPr>
        <w:t xml:space="preserve">Thus far we have not seen the at-large enabled to contest with other communities on matters of policy.  This needs to change so that the public interest may properly be supported by their contributions.  We are entering into an era </w:t>
      </w:r>
      <w:r w:rsidR="00C25F8A">
        <w:rPr>
          <w:rFonts w:ascii="Century Gothic" w:hAnsi="Century Gothic"/>
          <w:sz w:val="24"/>
          <w:szCs w:val="24"/>
        </w:rPr>
        <w:t>that will call for a fair amount of policy development to meet the new gTLD challenges ahead, and as such, the at-large needs to be fully integrated into the policy environment.</w:t>
      </w:r>
    </w:p>
    <w:p w:rsidR="00A7759C" w:rsidRDefault="00A7759C" w:rsidP="001B493B">
      <w:pPr>
        <w:ind w:left="1440"/>
        <w:rPr>
          <w:rFonts w:ascii="Century Gothic" w:hAnsi="Century Gothic"/>
          <w:sz w:val="24"/>
          <w:szCs w:val="24"/>
        </w:rPr>
      </w:pPr>
    </w:p>
    <w:p w:rsidR="00A7759C" w:rsidRDefault="00A7759C" w:rsidP="00A7759C">
      <w:pPr>
        <w:pStyle w:val="Heading2"/>
        <w:numPr>
          <w:ilvl w:val="0"/>
          <w:numId w:val="9"/>
        </w:numPr>
        <w:rPr>
          <w:rFonts w:ascii="Century Gothic" w:hAnsi="Century Gothic"/>
          <w:color w:val="244061" w:themeColor="accent1" w:themeShade="80"/>
          <w:sz w:val="24"/>
          <w:szCs w:val="24"/>
        </w:rPr>
      </w:pPr>
      <w:r w:rsidRPr="00A7759C">
        <w:rPr>
          <w:rFonts w:ascii="Century Gothic" w:hAnsi="Century Gothic"/>
          <w:color w:val="244061" w:themeColor="accent1" w:themeShade="80"/>
          <w:sz w:val="24"/>
          <w:szCs w:val="24"/>
        </w:rPr>
        <w:t>STRATEGIC PLANNING</w:t>
      </w:r>
    </w:p>
    <w:p w:rsidR="00A7759C" w:rsidRDefault="00A7759C" w:rsidP="00A7759C"/>
    <w:p w:rsidR="00A7759C" w:rsidRDefault="002D1D49" w:rsidP="00A7759C">
      <w:pPr>
        <w:ind w:left="1800"/>
        <w:rPr>
          <w:rFonts w:ascii="Century Gothic" w:hAnsi="Century Gothic"/>
          <w:sz w:val="24"/>
          <w:szCs w:val="24"/>
        </w:rPr>
      </w:pPr>
      <w:r>
        <w:rPr>
          <w:rFonts w:ascii="Century Gothic" w:hAnsi="Century Gothic"/>
          <w:sz w:val="24"/>
          <w:szCs w:val="24"/>
        </w:rPr>
        <w:t xml:space="preserve">One of the goals of a strategic planning exercise is to determine where we want to be several years down the road.  A secondary objective is to outline those steps that will turn ICANN into a more effective organization.  </w:t>
      </w:r>
    </w:p>
    <w:p w:rsidR="009C3090" w:rsidRDefault="002D1D49" w:rsidP="00A7759C">
      <w:pPr>
        <w:ind w:left="1800"/>
        <w:rPr>
          <w:rFonts w:ascii="Century Gothic" w:hAnsi="Century Gothic"/>
          <w:sz w:val="24"/>
          <w:szCs w:val="24"/>
        </w:rPr>
      </w:pPr>
      <w:r>
        <w:rPr>
          <w:rFonts w:ascii="Century Gothic" w:hAnsi="Century Gothic"/>
          <w:sz w:val="24"/>
          <w:szCs w:val="24"/>
        </w:rPr>
        <w:t xml:space="preserve">At the moment, the at-large </w:t>
      </w:r>
      <w:r w:rsidR="00203920">
        <w:rPr>
          <w:rFonts w:ascii="Century Gothic" w:hAnsi="Century Gothic"/>
          <w:sz w:val="24"/>
          <w:szCs w:val="24"/>
        </w:rPr>
        <w:t xml:space="preserve">within ICANN does not operate as </w:t>
      </w:r>
      <w:r w:rsidR="009C3090">
        <w:rPr>
          <w:rFonts w:ascii="Century Gothic" w:hAnsi="Century Gothic"/>
          <w:sz w:val="24"/>
          <w:szCs w:val="24"/>
        </w:rPr>
        <w:t>an effective institution</w:t>
      </w:r>
      <w:bookmarkStart w:id="0" w:name="_GoBack"/>
      <w:bookmarkEnd w:id="0"/>
      <w:r w:rsidR="009C3090">
        <w:rPr>
          <w:rFonts w:ascii="Century Gothic" w:hAnsi="Century Gothic"/>
          <w:sz w:val="24"/>
          <w:szCs w:val="24"/>
        </w:rPr>
        <w:t xml:space="preserve"> and m</w:t>
      </w:r>
      <w:r>
        <w:rPr>
          <w:rFonts w:ascii="Century Gothic" w:hAnsi="Century Gothic"/>
          <w:sz w:val="24"/>
          <w:szCs w:val="24"/>
        </w:rPr>
        <w:t>ost officers within the ALAC will readily admit that the vast bulk of their Statements are “ignored”</w:t>
      </w:r>
      <w:r w:rsidR="00203920">
        <w:rPr>
          <w:rStyle w:val="FootnoteReference"/>
          <w:rFonts w:ascii="Century Gothic" w:hAnsi="Century Gothic"/>
          <w:sz w:val="24"/>
          <w:szCs w:val="24"/>
        </w:rPr>
        <w:footnoteReference w:id="62"/>
      </w:r>
      <w:r w:rsidR="00DF5BCE">
        <w:rPr>
          <w:rFonts w:ascii="Century Gothic" w:hAnsi="Century Gothic"/>
          <w:sz w:val="24"/>
          <w:szCs w:val="24"/>
        </w:rPr>
        <w:t xml:space="preserve">  …but the problem is not insurmountable and is amenable to correction -- an old adage can serve to guide us in this matter:  “a place for everything, and everything in its place”.</w:t>
      </w:r>
    </w:p>
    <w:p w:rsidR="00DF5BCE" w:rsidRDefault="00DF5BCE" w:rsidP="00A7759C">
      <w:pPr>
        <w:ind w:left="1800"/>
        <w:rPr>
          <w:rFonts w:ascii="Century Gothic" w:hAnsi="Century Gothic"/>
          <w:sz w:val="24"/>
          <w:szCs w:val="24"/>
        </w:rPr>
      </w:pPr>
      <w:r>
        <w:rPr>
          <w:rFonts w:ascii="Century Gothic" w:hAnsi="Century Gothic"/>
          <w:sz w:val="24"/>
          <w:szCs w:val="24"/>
        </w:rPr>
        <w:t xml:space="preserve">Just as you wouldn’t take half of the registrars and park them in a GNSO constituency while putting the other half into an Advisory Committee of the Board, no logical construct </w:t>
      </w:r>
      <w:r w:rsidR="003F49CD">
        <w:rPr>
          <w:rFonts w:ascii="Century Gothic" w:hAnsi="Century Gothic"/>
          <w:sz w:val="24"/>
          <w:szCs w:val="24"/>
        </w:rPr>
        <w:t>sh</w:t>
      </w:r>
      <w:r>
        <w:rPr>
          <w:rFonts w:ascii="Century Gothic" w:hAnsi="Century Gothic"/>
          <w:sz w:val="24"/>
          <w:szCs w:val="24"/>
        </w:rPr>
        <w:t xml:space="preserve">ould allow for placing half of </w:t>
      </w:r>
      <w:r w:rsidR="003F49CD">
        <w:rPr>
          <w:rFonts w:ascii="Century Gothic" w:hAnsi="Century Gothic"/>
          <w:sz w:val="24"/>
          <w:szCs w:val="24"/>
        </w:rPr>
        <w:t>ICANN’s</w:t>
      </w:r>
      <w:r>
        <w:rPr>
          <w:rFonts w:ascii="Century Gothic" w:hAnsi="Century Gothic"/>
          <w:sz w:val="24"/>
          <w:szCs w:val="24"/>
        </w:rPr>
        <w:t xml:space="preserve"> non-commercial organizations within the GNSO while the other half of the non-commercial organizations (the ALSs) </w:t>
      </w:r>
      <w:r w:rsidR="003F49CD">
        <w:rPr>
          <w:rFonts w:ascii="Century Gothic" w:hAnsi="Century Gothic"/>
          <w:sz w:val="24"/>
          <w:szCs w:val="24"/>
        </w:rPr>
        <w:t xml:space="preserve">structurally </w:t>
      </w:r>
      <w:r>
        <w:rPr>
          <w:rFonts w:ascii="Century Gothic" w:hAnsi="Century Gothic"/>
          <w:sz w:val="24"/>
          <w:szCs w:val="24"/>
        </w:rPr>
        <w:t>reside within an Advisory Committee</w:t>
      </w:r>
      <w:r w:rsidR="003F49CD">
        <w:rPr>
          <w:rFonts w:ascii="Century Gothic" w:hAnsi="Century Gothic"/>
          <w:sz w:val="24"/>
          <w:szCs w:val="24"/>
        </w:rPr>
        <w:t xml:space="preserve"> construct</w:t>
      </w:r>
      <w:r>
        <w:rPr>
          <w:rFonts w:ascii="Century Gothic" w:hAnsi="Century Gothic"/>
          <w:sz w:val="24"/>
          <w:szCs w:val="24"/>
        </w:rPr>
        <w:t xml:space="preserve">.  </w:t>
      </w:r>
    </w:p>
    <w:p w:rsidR="003F49CD" w:rsidRDefault="003F49CD" w:rsidP="00A7759C">
      <w:pPr>
        <w:ind w:left="1800"/>
        <w:rPr>
          <w:rFonts w:ascii="Century Gothic" w:hAnsi="Century Gothic"/>
          <w:sz w:val="24"/>
          <w:szCs w:val="24"/>
        </w:rPr>
      </w:pPr>
      <w:r>
        <w:rPr>
          <w:rFonts w:ascii="Century Gothic" w:hAnsi="Century Gothic"/>
          <w:sz w:val="24"/>
          <w:szCs w:val="24"/>
        </w:rPr>
        <w:t>We are coping with the after-effects of a flawed structural design that has kept part of the community out of the policy-formulating process.  By bringing the at-large community into the GNSO fold, a greater degree of thoughtful policy development can be expected to emerge (as we will be adding a large number of new participants into the mix that can become attuned to constructively contributing within the GNSO’s working group environment).</w:t>
      </w:r>
    </w:p>
    <w:p w:rsidR="00681CD0" w:rsidRDefault="00681CD0" w:rsidP="00A7759C">
      <w:pPr>
        <w:ind w:left="1800"/>
        <w:rPr>
          <w:rFonts w:ascii="Century Gothic" w:hAnsi="Century Gothic"/>
          <w:sz w:val="24"/>
          <w:szCs w:val="24"/>
        </w:rPr>
      </w:pPr>
    </w:p>
    <w:p w:rsidR="00681CD0" w:rsidRDefault="00681CD0" w:rsidP="00A7759C">
      <w:pPr>
        <w:ind w:left="1800"/>
        <w:rPr>
          <w:rFonts w:ascii="Century Gothic" w:hAnsi="Century Gothic"/>
          <w:sz w:val="24"/>
          <w:szCs w:val="24"/>
        </w:rPr>
      </w:pPr>
    </w:p>
    <w:p w:rsidR="00681CD0" w:rsidRDefault="00681CD0" w:rsidP="00A7759C">
      <w:pPr>
        <w:ind w:left="1800"/>
        <w:rPr>
          <w:rFonts w:ascii="Century Gothic" w:hAnsi="Century Gothic"/>
          <w:sz w:val="24"/>
          <w:szCs w:val="24"/>
        </w:rPr>
      </w:pPr>
    </w:p>
    <w:p w:rsidR="00681CD0" w:rsidRDefault="00681CD0" w:rsidP="00681CD0">
      <w:pPr>
        <w:pStyle w:val="Heading1"/>
        <w:rPr>
          <w:rFonts w:ascii="Century Gothic" w:hAnsi="Century Gothic"/>
        </w:rPr>
      </w:pPr>
      <w:r w:rsidRPr="00681CD0">
        <w:rPr>
          <w:rFonts w:ascii="Century Gothic" w:hAnsi="Century Gothic"/>
        </w:rPr>
        <w:t>FINAL THOUGHTS</w:t>
      </w:r>
    </w:p>
    <w:p w:rsidR="00681CD0" w:rsidRDefault="00681CD0" w:rsidP="00681CD0"/>
    <w:p w:rsidR="00F44C3A" w:rsidRDefault="00AC0D66" w:rsidP="00681CD0">
      <w:pPr>
        <w:ind w:left="720"/>
        <w:rPr>
          <w:rFonts w:ascii="Century Gothic" w:hAnsi="Century Gothic"/>
          <w:sz w:val="24"/>
          <w:szCs w:val="24"/>
        </w:rPr>
      </w:pPr>
      <w:r w:rsidRPr="00AC0D66">
        <w:rPr>
          <w:rFonts w:ascii="Century Gothic" w:hAnsi="Century Gothic"/>
          <w:sz w:val="24"/>
          <w:szCs w:val="24"/>
        </w:rPr>
        <w:t xml:space="preserve">Meeting the challenge </w:t>
      </w:r>
      <w:r>
        <w:rPr>
          <w:rFonts w:ascii="Century Gothic" w:hAnsi="Century Gothic"/>
          <w:sz w:val="24"/>
          <w:szCs w:val="24"/>
        </w:rPr>
        <w:t xml:space="preserve">posed by the introduction of hundreds </w:t>
      </w:r>
      <w:r w:rsidRPr="00AC0D66">
        <w:rPr>
          <w:rFonts w:ascii="Century Gothic" w:hAnsi="Century Gothic"/>
          <w:sz w:val="24"/>
          <w:szCs w:val="24"/>
        </w:rPr>
        <w:t xml:space="preserve">of </w:t>
      </w:r>
      <w:r>
        <w:rPr>
          <w:rFonts w:ascii="Century Gothic" w:hAnsi="Century Gothic"/>
          <w:sz w:val="24"/>
          <w:szCs w:val="24"/>
        </w:rPr>
        <w:t xml:space="preserve">new gTLDs will require the combined effort of all within ICANN, and the at-large community needs to </w:t>
      </w:r>
      <w:r w:rsidR="00B077C9">
        <w:rPr>
          <w:rFonts w:ascii="Century Gothic" w:hAnsi="Century Gothic"/>
          <w:sz w:val="24"/>
          <w:szCs w:val="24"/>
        </w:rPr>
        <w:t xml:space="preserve">quickly </w:t>
      </w:r>
      <w:r>
        <w:rPr>
          <w:rFonts w:ascii="Century Gothic" w:hAnsi="Century Gothic"/>
          <w:sz w:val="24"/>
          <w:szCs w:val="24"/>
        </w:rPr>
        <w:t xml:space="preserve">become part of the solution.  </w:t>
      </w:r>
      <w:r w:rsidR="00F44C3A">
        <w:rPr>
          <w:rFonts w:ascii="Century Gothic" w:hAnsi="Century Gothic"/>
          <w:sz w:val="24"/>
          <w:szCs w:val="24"/>
        </w:rPr>
        <w:t>Some within the at-large have already started moving in this direction – we have already noted the effort of at-large members to create a Consumer Protection Constituency within the GNSO.</w:t>
      </w:r>
    </w:p>
    <w:p w:rsidR="00F44C3A" w:rsidRDefault="00F44C3A" w:rsidP="00681CD0">
      <w:pPr>
        <w:ind w:left="720"/>
        <w:rPr>
          <w:rFonts w:ascii="Century Gothic" w:hAnsi="Century Gothic"/>
          <w:sz w:val="24"/>
          <w:szCs w:val="24"/>
        </w:rPr>
      </w:pPr>
      <w:r>
        <w:rPr>
          <w:rFonts w:ascii="Century Gothic" w:hAnsi="Century Gothic"/>
          <w:sz w:val="24"/>
          <w:szCs w:val="24"/>
        </w:rPr>
        <w:t>Strategically we should be thinking about accelerating the pace of this transition... we need not wait for ICANN’s formal structural review p</w:t>
      </w:r>
      <w:r w:rsidR="00B077C9">
        <w:rPr>
          <w:rFonts w:ascii="Century Gothic" w:hAnsi="Century Gothic"/>
          <w:sz w:val="24"/>
          <w:szCs w:val="24"/>
        </w:rPr>
        <w:t xml:space="preserve">rocess </w:t>
      </w:r>
      <w:r>
        <w:rPr>
          <w:rFonts w:ascii="Century Gothic" w:hAnsi="Century Gothic"/>
          <w:sz w:val="24"/>
          <w:szCs w:val="24"/>
        </w:rPr>
        <w:t xml:space="preserve">that can easily consume years of energy, as there is nothing that precludes the possibility of establishing an at-large constituency within the GNSO at this </w:t>
      </w:r>
      <w:r w:rsidR="00B077C9">
        <w:rPr>
          <w:rFonts w:ascii="Century Gothic" w:hAnsi="Century Gothic"/>
          <w:sz w:val="24"/>
          <w:szCs w:val="24"/>
        </w:rPr>
        <w:t xml:space="preserve">moment in </w:t>
      </w:r>
      <w:r>
        <w:rPr>
          <w:rFonts w:ascii="Century Gothic" w:hAnsi="Century Gothic"/>
          <w:sz w:val="24"/>
          <w:szCs w:val="24"/>
        </w:rPr>
        <w:t>time.</w:t>
      </w:r>
    </w:p>
    <w:p w:rsidR="00B077C9" w:rsidRDefault="00B077C9" w:rsidP="00681CD0">
      <w:pPr>
        <w:ind w:left="720"/>
        <w:rPr>
          <w:rFonts w:ascii="Century Gothic" w:hAnsi="Century Gothic"/>
          <w:sz w:val="24"/>
          <w:szCs w:val="24"/>
        </w:rPr>
      </w:pPr>
      <w:r>
        <w:rPr>
          <w:rFonts w:ascii="Century Gothic" w:hAnsi="Century Gothic"/>
          <w:sz w:val="24"/>
          <w:szCs w:val="24"/>
        </w:rPr>
        <w:t>All regional at-large organizations could be migrated to the GNSO without undue difficulty.  Should the Board elect to retain the services of the ALAC during the transition period, the ALAC could continue to independently function as a think-tank until such time as the transition of ALSs to the NCSG is finalized.</w:t>
      </w:r>
    </w:p>
    <w:p w:rsidR="00B077C9" w:rsidRDefault="00B077C9" w:rsidP="00681CD0">
      <w:pPr>
        <w:ind w:left="720"/>
        <w:rPr>
          <w:rFonts w:ascii="Century Gothic" w:hAnsi="Century Gothic"/>
          <w:sz w:val="24"/>
          <w:szCs w:val="24"/>
        </w:rPr>
      </w:pPr>
    </w:p>
    <w:p w:rsidR="00B077C9" w:rsidRDefault="00B077C9" w:rsidP="00681CD0">
      <w:pPr>
        <w:ind w:left="720"/>
        <w:rPr>
          <w:rFonts w:ascii="Century Gothic" w:hAnsi="Century Gothic"/>
          <w:sz w:val="24"/>
          <w:szCs w:val="24"/>
        </w:rPr>
      </w:pPr>
      <w:r>
        <w:rPr>
          <w:rFonts w:ascii="Century Gothic" w:hAnsi="Century Gothic"/>
          <w:sz w:val="24"/>
          <w:szCs w:val="24"/>
        </w:rPr>
        <w:t>Thank you for your consideration of these remarks.</w:t>
      </w:r>
    </w:p>
    <w:sectPr w:rsidR="00B077C9" w:rsidSect="00BF3BFE">
      <w:headerReference w:type="default" r:id="rId10"/>
      <w:pgSz w:w="12240" w:h="15840"/>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E95" w:rsidRDefault="00C21E95" w:rsidP="00F36937">
      <w:pPr>
        <w:spacing w:after="0" w:line="240" w:lineRule="auto"/>
      </w:pPr>
      <w:r>
        <w:separator/>
      </w:r>
    </w:p>
  </w:endnote>
  <w:endnote w:type="continuationSeparator" w:id="0">
    <w:p w:rsidR="00C21E95" w:rsidRDefault="00C21E95" w:rsidP="00F3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E95" w:rsidRDefault="00C21E95" w:rsidP="00F36937">
      <w:pPr>
        <w:spacing w:after="0" w:line="240" w:lineRule="auto"/>
      </w:pPr>
      <w:r>
        <w:separator/>
      </w:r>
    </w:p>
  </w:footnote>
  <w:footnote w:type="continuationSeparator" w:id="0">
    <w:p w:rsidR="00C21E95" w:rsidRDefault="00C21E95" w:rsidP="00F36937">
      <w:pPr>
        <w:spacing w:after="0" w:line="240" w:lineRule="auto"/>
      </w:pPr>
      <w:r>
        <w:continuationSeparator/>
      </w:r>
    </w:p>
  </w:footnote>
  <w:footnote w:id="1">
    <w:p w:rsidR="00AC0D66" w:rsidRDefault="00AC0D66" w:rsidP="00C86A32">
      <w:pPr>
        <w:pStyle w:val="FootnoteText"/>
      </w:pPr>
      <w:r>
        <w:rPr>
          <w:rStyle w:val="FootnoteReference"/>
        </w:rPr>
        <w:footnoteRef/>
      </w:r>
      <w:r>
        <w:t xml:space="preserve"> The author wishes to acknowledges the tremendous benefit derived from  Miriam </w:t>
      </w:r>
      <w:proofErr w:type="spellStart"/>
      <w:r>
        <w:t>Sapiro’s</w:t>
      </w:r>
      <w:proofErr w:type="spellEnd"/>
      <w:r>
        <w:t xml:space="preserve"> July 2004 paper entitled “Evaluation of the New gTLDs:  Policy and Legal Issues” from which a large amount of Threat Matrix data was sourced  -- </w:t>
      </w:r>
      <w:hyperlink r:id="rId1" w:history="1">
        <w:r w:rsidRPr="00B53F91">
          <w:rPr>
            <w:rStyle w:val="Hyperlink"/>
            <w:color w:val="17365D" w:themeColor="text2" w:themeShade="BF"/>
          </w:rPr>
          <w:t>http://www.icann.org/en/tlds/new-gtld-eval-31aug04.pdf</w:t>
        </w:r>
      </w:hyperlink>
      <w:r>
        <w:t xml:space="preserve"> </w:t>
      </w:r>
    </w:p>
  </w:footnote>
  <w:footnote w:id="2">
    <w:p w:rsidR="00AC0D66" w:rsidRDefault="00AC0D66" w:rsidP="00164831">
      <w:pPr>
        <w:pStyle w:val="FootnoteText"/>
      </w:pPr>
      <w:r>
        <w:rPr>
          <w:rStyle w:val="FootnoteReference"/>
        </w:rPr>
        <w:footnoteRef/>
      </w:r>
      <w:r>
        <w:t xml:space="preserve"> The White Paper recognized that the "challenge of deciding policy for the addition of new domains will be formidable" and noted that "[a]t least in the short run, a prudent concern for the stability of the system suggests that expansion of gTLDs proceed at a deliberate and controlled pace to allow for evaluation of the impact of the new gTLDs and well-reasoned evolution of the domain space."</w:t>
      </w:r>
    </w:p>
  </w:footnote>
  <w:footnote w:id="3">
    <w:p w:rsidR="00AC0D66" w:rsidRDefault="00AC0D66">
      <w:pPr>
        <w:pStyle w:val="FootnoteText"/>
      </w:pPr>
      <w:r>
        <w:rPr>
          <w:rStyle w:val="FootnoteReference"/>
        </w:rPr>
        <w:footnoteRef/>
      </w:r>
      <w:r>
        <w:t xml:space="preserve"> </w:t>
      </w:r>
      <w:hyperlink r:id="rId2" w:history="1">
        <w:r w:rsidRPr="00791B61">
          <w:rPr>
            <w:rStyle w:val="Hyperlink"/>
            <w:color w:val="17365D" w:themeColor="text2" w:themeShade="BF"/>
          </w:rPr>
          <w:t>http://www.icann.org/en/factsheets/analysis-turnover-22jun11-en.pdf</w:t>
        </w:r>
      </w:hyperlink>
      <w:r>
        <w:t xml:space="preserve"> </w:t>
      </w:r>
    </w:p>
  </w:footnote>
  <w:footnote w:id="4">
    <w:p w:rsidR="00AC0D66" w:rsidRDefault="00AC0D66">
      <w:pPr>
        <w:pStyle w:val="FootnoteText"/>
      </w:pPr>
      <w:r>
        <w:rPr>
          <w:rStyle w:val="FootnoteReference"/>
        </w:rPr>
        <w:footnoteRef/>
      </w:r>
      <w:r>
        <w:t xml:space="preserve"> </w:t>
      </w:r>
      <w:hyperlink r:id="rId3" w:history="1">
        <w:r w:rsidRPr="00281965">
          <w:rPr>
            <w:rStyle w:val="Hyperlink"/>
            <w:color w:val="17365D" w:themeColor="text2" w:themeShade="BF"/>
          </w:rPr>
          <w:t>http://www.ftc.gov/bcp/edu/pubs/consumer/alerts/alt084.shtm</w:t>
        </w:r>
      </w:hyperlink>
      <w:r>
        <w:t xml:space="preserve"> </w:t>
      </w:r>
    </w:p>
  </w:footnote>
  <w:footnote w:id="5">
    <w:p w:rsidR="00AC0D66" w:rsidRDefault="00AC0D66">
      <w:pPr>
        <w:pStyle w:val="FootnoteText"/>
      </w:pPr>
      <w:r>
        <w:rPr>
          <w:rStyle w:val="FootnoteReference"/>
        </w:rPr>
        <w:footnoteRef/>
      </w:r>
      <w:r w:rsidRPr="00876EF7">
        <w:rPr>
          <w:color w:val="17365D" w:themeColor="text2" w:themeShade="BF"/>
        </w:rPr>
        <w:t xml:space="preserve"> </w:t>
      </w:r>
      <w:hyperlink r:id="rId4" w:history="1">
        <w:r w:rsidRPr="00876EF7">
          <w:rPr>
            <w:rStyle w:val="Hyperlink"/>
            <w:color w:val="17365D" w:themeColor="text2" w:themeShade="BF"/>
          </w:rPr>
          <w:t>http://www.icann.org/en/announcements/advisory-03nov00.htm</w:t>
        </w:r>
      </w:hyperlink>
      <w:r>
        <w:t xml:space="preserve"> </w:t>
      </w:r>
    </w:p>
  </w:footnote>
  <w:footnote w:id="6">
    <w:p w:rsidR="00AC0D66" w:rsidRDefault="00AC0D66">
      <w:pPr>
        <w:pStyle w:val="FootnoteText"/>
      </w:pPr>
      <w:r w:rsidRPr="008418EF">
        <w:rPr>
          <w:rStyle w:val="FootnoteReference"/>
          <w:color w:val="17365D" w:themeColor="text2" w:themeShade="BF"/>
        </w:rPr>
        <w:footnoteRef/>
      </w:r>
      <w:r w:rsidRPr="008418EF">
        <w:rPr>
          <w:color w:val="17365D" w:themeColor="text2" w:themeShade="BF"/>
        </w:rPr>
        <w:t xml:space="preserve"> </w:t>
      </w:r>
      <w:hyperlink r:id="rId5" w:history="1">
        <w:r w:rsidRPr="008418EF">
          <w:rPr>
            <w:rStyle w:val="Hyperlink"/>
            <w:color w:val="17365D" w:themeColor="text2" w:themeShade="BF"/>
          </w:rPr>
          <w:t>http://www.icann.org/en/announcements/icann-pr29sep00.htm</w:t>
        </w:r>
      </w:hyperlink>
      <w:r>
        <w:t xml:space="preserve"> </w:t>
      </w:r>
    </w:p>
  </w:footnote>
  <w:footnote w:id="7">
    <w:p w:rsidR="00AC0D66" w:rsidRPr="00876EF7" w:rsidRDefault="00AC0D66">
      <w:pPr>
        <w:pStyle w:val="FootnoteText"/>
        <w:rPr>
          <w:color w:val="17365D" w:themeColor="text2" w:themeShade="BF"/>
        </w:rPr>
      </w:pPr>
      <w:r w:rsidRPr="00876EF7">
        <w:rPr>
          <w:rStyle w:val="FootnoteReference"/>
          <w:color w:val="17365D" w:themeColor="text2" w:themeShade="BF"/>
        </w:rPr>
        <w:footnoteRef/>
      </w:r>
      <w:r w:rsidRPr="00876EF7">
        <w:rPr>
          <w:color w:val="17365D" w:themeColor="text2" w:themeShade="BF"/>
        </w:rPr>
        <w:t xml:space="preserve"> </w:t>
      </w:r>
      <w:hyperlink r:id="rId6" w:history="1">
        <w:r w:rsidRPr="00876EF7">
          <w:rPr>
            <w:rStyle w:val="Hyperlink"/>
            <w:color w:val="17365D" w:themeColor="text2" w:themeShade="BF"/>
          </w:rPr>
          <w:t>https://www.uniteddomains.com/ntld/pre-register-new-domains</w:t>
        </w:r>
      </w:hyperlink>
      <w:r w:rsidRPr="00876EF7">
        <w:rPr>
          <w:color w:val="17365D" w:themeColor="text2" w:themeShade="BF"/>
        </w:rPr>
        <w:t xml:space="preserve"> ; </w:t>
      </w:r>
      <w:hyperlink r:id="rId7" w:history="1">
        <w:r w:rsidRPr="00876EF7">
          <w:rPr>
            <w:rStyle w:val="Hyperlink"/>
            <w:color w:val="17365D" w:themeColor="text2" w:themeShade="BF"/>
          </w:rPr>
          <w:t>http://www.quintaris.com/blog/news-release-stake-your-claim/</w:t>
        </w:r>
      </w:hyperlink>
      <w:r w:rsidRPr="00876EF7">
        <w:rPr>
          <w:color w:val="17365D" w:themeColor="text2" w:themeShade="BF"/>
        </w:rPr>
        <w:t xml:space="preserve"> </w:t>
      </w:r>
    </w:p>
  </w:footnote>
  <w:footnote w:id="8">
    <w:p w:rsidR="00AC0D66" w:rsidRDefault="00AC0D66">
      <w:pPr>
        <w:pStyle w:val="FootnoteText"/>
      </w:pPr>
      <w:r>
        <w:rPr>
          <w:rStyle w:val="FootnoteReference"/>
        </w:rPr>
        <w:footnoteRef/>
      </w:r>
      <w:r>
        <w:t xml:space="preserve"> </w:t>
      </w:r>
      <w:hyperlink r:id="rId8" w:history="1">
        <w:r w:rsidRPr="000C28A2">
          <w:rPr>
            <w:rStyle w:val="Hyperlink"/>
            <w:color w:val="17365D" w:themeColor="text2" w:themeShade="BF"/>
          </w:rPr>
          <w:t>http://www.cadna.org/en/newsroom/press-releases/icanns-gtld-launch-costs-businesses</w:t>
        </w:r>
      </w:hyperlink>
      <w:r>
        <w:t xml:space="preserve"> </w:t>
      </w:r>
    </w:p>
  </w:footnote>
  <w:footnote w:id="9">
    <w:p w:rsidR="00AC0D66" w:rsidRDefault="00AC0D66">
      <w:pPr>
        <w:pStyle w:val="FootnoteText"/>
      </w:pPr>
      <w:r>
        <w:rPr>
          <w:rStyle w:val="FootnoteReference"/>
        </w:rPr>
        <w:footnoteRef/>
      </w:r>
      <w:r>
        <w:t xml:space="preserve"> </w:t>
      </w:r>
      <w:hyperlink r:id="rId9" w:history="1">
        <w:r w:rsidRPr="000117CA">
          <w:rPr>
            <w:rStyle w:val="Hyperlink"/>
            <w:color w:val="17365D" w:themeColor="text2" w:themeShade="BF"/>
          </w:rPr>
          <w:t>http://domainincite.com/new-gtlds-will-cost-155-billion-honest/</w:t>
        </w:r>
      </w:hyperlink>
      <w:r>
        <w:t xml:space="preserve"> </w:t>
      </w:r>
    </w:p>
  </w:footnote>
  <w:footnote w:id="10">
    <w:p w:rsidR="00AC0D66" w:rsidRDefault="00AC0D66">
      <w:pPr>
        <w:pStyle w:val="FootnoteText"/>
      </w:pPr>
      <w:r w:rsidRPr="003E2913">
        <w:rPr>
          <w:rStyle w:val="FootnoteReference"/>
          <w:color w:val="17365D" w:themeColor="text2" w:themeShade="BF"/>
        </w:rPr>
        <w:footnoteRef/>
      </w:r>
      <w:r w:rsidRPr="003E2913">
        <w:rPr>
          <w:color w:val="17365D" w:themeColor="text2" w:themeShade="BF"/>
        </w:rPr>
        <w:t xml:space="preserve"> </w:t>
      </w:r>
      <w:hyperlink r:id="rId10" w:history="1">
        <w:r w:rsidRPr="003E2913">
          <w:rPr>
            <w:rStyle w:val="Hyperlink"/>
            <w:color w:val="17365D" w:themeColor="text2" w:themeShade="BF"/>
          </w:rPr>
          <w:t>http://blog.ericgoldman.org/archives/2009/01/onlinenic_loses.htm</w:t>
        </w:r>
      </w:hyperlink>
      <w:r>
        <w:rPr>
          <w:color w:val="17365D" w:themeColor="text2" w:themeShade="BF"/>
        </w:rPr>
        <w:t xml:space="preserve"> </w:t>
      </w:r>
      <w:r>
        <w:t xml:space="preserve"> </w:t>
      </w:r>
    </w:p>
  </w:footnote>
  <w:footnote w:id="11">
    <w:p w:rsidR="00AC0D66" w:rsidRDefault="00AC0D66">
      <w:pPr>
        <w:pStyle w:val="FootnoteText"/>
      </w:pPr>
      <w:r>
        <w:rPr>
          <w:rStyle w:val="FootnoteReference"/>
        </w:rPr>
        <w:footnoteRef/>
      </w:r>
      <w:r>
        <w:t xml:space="preserve"> </w:t>
      </w:r>
      <w:hyperlink r:id="rId11" w:anchor="cite_note-ClassAction-12" w:history="1">
        <w:r w:rsidRPr="00F828D7">
          <w:rPr>
            <w:rStyle w:val="Hyperlink"/>
            <w:color w:val="17365D" w:themeColor="text2" w:themeShade="BF"/>
          </w:rPr>
          <w:t>http://en.wikipedia.org/wiki/RegisterFly#cite_note-ClassAction-12</w:t>
        </w:r>
      </w:hyperlink>
      <w:r>
        <w:t xml:space="preserve"> </w:t>
      </w:r>
    </w:p>
  </w:footnote>
  <w:footnote w:id="12">
    <w:p w:rsidR="00AC0D66" w:rsidRDefault="00AC0D66">
      <w:pPr>
        <w:pStyle w:val="FootnoteText"/>
      </w:pPr>
      <w:r w:rsidRPr="007F7F27">
        <w:rPr>
          <w:rStyle w:val="FootnoteReference"/>
          <w:color w:val="17365D" w:themeColor="text2" w:themeShade="BF"/>
        </w:rPr>
        <w:footnoteRef/>
      </w:r>
      <w:r w:rsidRPr="007F7F27">
        <w:rPr>
          <w:color w:val="17365D" w:themeColor="text2" w:themeShade="BF"/>
        </w:rPr>
        <w:t xml:space="preserve"> </w:t>
      </w:r>
      <w:hyperlink r:id="rId12" w:history="1">
        <w:r w:rsidRPr="007F7F27">
          <w:rPr>
            <w:rStyle w:val="Hyperlink"/>
            <w:color w:val="17365D" w:themeColor="text2" w:themeShade="BF"/>
          </w:rPr>
          <w:t>http://www.icann.org/en/minutes/board-briefing-materials-2-05aug10-en.pdf</w:t>
        </w:r>
      </w:hyperlink>
      <w:r>
        <w:t xml:space="preserve"> </w:t>
      </w:r>
    </w:p>
  </w:footnote>
  <w:footnote w:id="13">
    <w:p w:rsidR="00AC0D66" w:rsidRDefault="00AC0D66">
      <w:pPr>
        <w:pStyle w:val="FootnoteText"/>
      </w:pPr>
      <w:r>
        <w:rPr>
          <w:rStyle w:val="FootnoteReference"/>
        </w:rPr>
        <w:footnoteRef/>
      </w:r>
      <w:r>
        <w:t xml:space="preserve"> </w:t>
      </w:r>
      <w:hyperlink r:id="rId13" w:history="1">
        <w:r w:rsidRPr="00B4627E">
          <w:rPr>
            <w:rStyle w:val="Hyperlink"/>
            <w:color w:val="17365D" w:themeColor="text2" w:themeShade="BF"/>
          </w:rPr>
          <w:t>http://www.icann.org/en/policy/briefs/domain-name-monetization-jun08-en.pdf</w:t>
        </w:r>
      </w:hyperlink>
      <w:r w:rsidRPr="00B4627E">
        <w:rPr>
          <w:color w:val="17365D" w:themeColor="text2" w:themeShade="BF"/>
        </w:rPr>
        <w:t xml:space="preserve"> </w:t>
      </w:r>
    </w:p>
  </w:footnote>
  <w:footnote w:id="14">
    <w:p w:rsidR="00AC0D66" w:rsidRDefault="00AC0D66">
      <w:pPr>
        <w:pStyle w:val="FootnoteText"/>
      </w:pPr>
      <w:r>
        <w:rPr>
          <w:rStyle w:val="FootnoteReference"/>
        </w:rPr>
        <w:footnoteRef/>
      </w:r>
      <w:r>
        <w:t xml:space="preserve"> See, for example, </w:t>
      </w:r>
      <w:hyperlink r:id="rId14" w:history="1">
        <w:r w:rsidRPr="00B4627E">
          <w:rPr>
            <w:rStyle w:val="Hyperlink"/>
            <w:color w:val="17365D" w:themeColor="text2" w:themeShade="BF"/>
          </w:rPr>
          <w:t>http://www.middlesmithfieldpennsylvania.travel</w:t>
        </w:r>
      </w:hyperlink>
      <w:r>
        <w:t xml:space="preserve"> </w:t>
      </w:r>
    </w:p>
  </w:footnote>
  <w:footnote w:id="15">
    <w:p w:rsidR="00AC0D66" w:rsidRDefault="00AC0D66">
      <w:pPr>
        <w:pStyle w:val="FootnoteText"/>
      </w:pPr>
      <w:r>
        <w:rPr>
          <w:rStyle w:val="FootnoteReference"/>
        </w:rPr>
        <w:footnoteRef/>
      </w:r>
      <w:r>
        <w:t xml:space="preserve"> </w:t>
      </w:r>
      <w:hyperlink r:id="rId15" w:history="1">
        <w:r w:rsidRPr="00F9714D">
          <w:rPr>
            <w:rStyle w:val="Hyperlink"/>
            <w:color w:val="17365D" w:themeColor="text2" w:themeShade="BF"/>
          </w:rPr>
          <w:t>http://www.icann.org/en/committees/security/sac040.pdf</w:t>
        </w:r>
      </w:hyperlink>
      <w:r>
        <w:t xml:space="preserve"> </w:t>
      </w:r>
    </w:p>
  </w:footnote>
  <w:footnote w:id="16">
    <w:p w:rsidR="00AC0D66" w:rsidRDefault="00AC0D66">
      <w:pPr>
        <w:pStyle w:val="FootnoteText"/>
      </w:pPr>
      <w:r>
        <w:rPr>
          <w:rStyle w:val="FootnoteReference"/>
        </w:rPr>
        <w:footnoteRef/>
      </w:r>
      <w:r>
        <w:t xml:space="preserve"> </w:t>
      </w:r>
      <w:hyperlink r:id="rId16" w:history="1">
        <w:r w:rsidRPr="00031299">
          <w:rPr>
            <w:rStyle w:val="Hyperlink"/>
            <w:color w:val="17365D" w:themeColor="text2" w:themeShade="BF"/>
          </w:rPr>
          <w:t>http://www.bakerlaw.com/files/Uploads/Documents/News/Articles/INTELLECTUAL%20PROPERTY/2011/IPO_Comments_Einhorn-3-2011.pdf</w:t>
        </w:r>
      </w:hyperlink>
      <w:r w:rsidRPr="00031299">
        <w:rPr>
          <w:color w:val="17365D" w:themeColor="text2" w:themeShade="BF"/>
        </w:rPr>
        <w:t xml:space="preserve"> </w:t>
      </w:r>
    </w:p>
  </w:footnote>
  <w:footnote w:id="17">
    <w:p w:rsidR="00AC0D66" w:rsidRDefault="00AC0D66">
      <w:pPr>
        <w:pStyle w:val="FootnoteText"/>
      </w:pPr>
      <w:r w:rsidRPr="003C00EA">
        <w:rPr>
          <w:rStyle w:val="FootnoteReference"/>
          <w:color w:val="17365D" w:themeColor="text2" w:themeShade="BF"/>
        </w:rPr>
        <w:footnoteRef/>
      </w:r>
      <w:r w:rsidRPr="003C00EA">
        <w:rPr>
          <w:color w:val="17365D" w:themeColor="text2" w:themeShade="BF"/>
        </w:rPr>
        <w:t xml:space="preserve"> </w:t>
      </w:r>
      <w:hyperlink r:id="rId17" w:history="1">
        <w:r w:rsidRPr="003C00EA">
          <w:rPr>
            <w:rStyle w:val="Hyperlink"/>
            <w:color w:val="17365D" w:themeColor="text2" w:themeShade="BF"/>
          </w:rPr>
          <w:t>http://www.icann.org/en/announcements/announcement-12aug09-en.htm</w:t>
        </w:r>
      </w:hyperlink>
      <w:r>
        <w:t xml:space="preserve"> </w:t>
      </w:r>
    </w:p>
  </w:footnote>
  <w:footnote w:id="18">
    <w:p w:rsidR="00AC0D66" w:rsidRDefault="00AC0D66" w:rsidP="005579C7">
      <w:pPr>
        <w:pStyle w:val="FootnoteText"/>
      </w:pPr>
      <w:r>
        <w:rPr>
          <w:rStyle w:val="FootnoteReference"/>
        </w:rPr>
        <w:footnoteRef/>
      </w:r>
      <w:r>
        <w:t xml:space="preserve"> </w:t>
      </w:r>
      <w:r w:rsidRPr="003C00EA">
        <w:rPr>
          <w:color w:val="17365D" w:themeColor="text2" w:themeShade="BF"/>
        </w:rPr>
        <w:t>http://www.thedomains.com/2011/06/05/was-snapnames-verisign-high-traffic-score-domain-name-auction-just-a-big-domain-tasting-experiment/</w:t>
      </w:r>
    </w:p>
  </w:footnote>
  <w:footnote w:id="19">
    <w:p w:rsidR="00AC0D66" w:rsidRDefault="00AC0D66">
      <w:pPr>
        <w:pStyle w:val="FootnoteText"/>
      </w:pPr>
      <w:r w:rsidRPr="00185949">
        <w:rPr>
          <w:rStyle w:val="FootnoteReference"/>
          <w:color w:val="17365D" w:themeColor="text2" w:themeShade="BF"/>
        </w:rPr>
        <w:footnoteRef/>
      </w:r>
      <w:r w:rsidRPr="00185949">
        <w:rPr>
          <w:color w:val="17365D" w:themeColor="text2" w:themeShade="BF"/>
        </w:rPr>
        <w:t xml:space="preserve"> </w:t>
      </w:r>
      <w:hyperlink r:id="rId18" w:history="1">
        <w:r w:rsidRPr="00185949">
          <w:rPr>
            <w:rStyle w:val="Hyperlink"/>
            <w:color w:val="17365D" w:themeColor="text2" w:themeShade="BF"/>
          </w:rPr>
          <w:t>http://en.wikipedia.org/wiki/Domain_tasting</w:t>
        </w:r>
      </w:hyperlink>
      <w:r>
        <w:t xml:space="preserve"> </w:t>
      </w:r>
    </w:p>
  </w:footnote>
  <w:footnote w:id="20">
    <w:p w:rsidR="00AC0D66" w:rsidRDefault="00AC0D66">
      <w:pPr>
        <w:pStyle w:val="FootnoteText"/>
      </w:pPr>
      <w:r>
        <w:rPr>
          <w:rStyle w:val="FootnoteReference"/>
        </w:rPr>
        <w:footnoteRef/>
      </w:r>
      <w:r>
        <w:t xml:space="preserve"> </w:t>
      </w:r>
      <w:hyperlink r:id="rId19" w:history="1">
        <w:r w:rsidRPr="00185949">
          <w:rPr>
            <w:rStyle w:val="Hyperlink"/>
            <w:color w:val="17365D" w:themeColor="text2" w:themeShade="BF"/>
          </w:rPr>
          <w:t>http://www.icann.org/en/registrars/ra-agreement-21may09-en.htm</w:t>
        </w:r>
      </w:hyperlink>
      <w:r w:rsidRPr="00185949">
        <w:rPr>
          <w:color w:val="17365D" w:themeColor="text2" w:themeShade="BF"/>
        </w:rPr>
        <w:t xml:space="preserve"> at 3.7.9</w:t>
      </w:r>
    </w:p>
  </w:footnote>
  <w:footnote w:id="21">
    <w:p w:rsidR="00AC0D66" w:rsidRDefault="00AC0D66">
      <w:pPr>
        <w:pStyle w:val="FootnoteText"/>
      </w:pPr>
      <w:r w:rsidRPr="00D40EE8">
        <w:rPr>
          <w:rStyle w:val="FootnoteReference"/>
          <w:color w:val="17365D" w:themeColor="text2" w:themeShade="BF"/>
        </w:rPr>
        <w:footnoteRef/>
      </w:r>
      <w:r w:rsidRPr="00D40EE8">
        <w:rPr>
          <w:color w:val="17365D" w:themeColor="text2" w:themeShade="BF"/>
        </w:rPr>
        <w:t xml:space="preserve"> </w:t>
      </w:r>
      <w:hyperlink r:id="rId20" w:history="1">
        <w:r w:rsidRPr="00D40EE8">
          <w:rPr>
            <w:rStyle w:val="Hyperlink"/>
            <w:color w:val="17365D" w:themeColor="text2" w:themeShade="BF"/>
          </w:rPr>
          <w:t>http://www.domainnamenews.com/featured/domain-registrar-network-solutions-front-running-on-whois-searches/1359</w:t>
        </w:r>
      </w:hyperlink>
      <w:r w:rsidRPr="00D40EE8">
        <w:rPr>
          <w:color w:val="17365D" w:themeColor="text2" w:themeShade="BF"/>
        </w:rPr>
        <w:t xml:space="preserve"> </w:t>
      </w:r>
    </w:p>
  </w:footnote>
  <w:footnote w:id="22">
    <w:p w:rsidR="00AC0D66" w:rsidRDefault="00AC0D66">
      <w:pPr>
        <w:pStyle w:val="FootnoteText"/>
      </w:pPr>
      <w:r>
        <w:rPr>
          <w:rStyle w:val="FootnoteReference"/>
        </w:rPr>
        <w:footnoteRef/>
      </w:r>
      <w:r>
        <w:t xml:space="preserve"> </w:t>
      </w:r>
      <w:hyperlink r:id="rId21" w:history="1">
        <w:r w:rsidRPr="00327311">
          <w:rPr>
            <w:rStyle w:val="Hyperlink"/>
            <w:color w:val="17365D" w:themeColor="text2" w:themeShade="BF"/>
          </w:rPr>
          <w:t>http://www.icann.org/en/tlds/new-gtld-eval-31aug04.pdf</w:t>
        </w:r>
      </w:hyperlink>
      <w:r w:rsidRPr="00327311">
        <w:rPr>
          <w:color w:val="17365D" w:themeColor="text2" w:themeShade="BF"/>
        </w:rPr>
        <w:t xml:space="preserve"> </w:t>
      </w:r>
    </w:p>
  </w:footnote>
  <w:footnote w:id="23">
    <w:p w:rsidR="00AC0D66" w:rsidRDefault="00AC0D66">
      <w:pPr>
        <w:pStyle w:val="FootnoteText"/>
      </w:pPr>
      <w:r w:rsidRPr="006F0B51">
        <w:rPr>
          <w:rStyle w:val="FootnoteReference"/>
          <w:color w:val="17365D" w:themeColor="text2" w:themeShade="BF"/>
        </w:rPr>
        <w:footnoteRef/>
      </w:r>
      <w:r w:rsidRPr="006F0B51">
        <w:rPr>
          <w:color w:val="17365D" w:themeColor="text2" w:themeShade="BF"/>
        </w:rPr>
        <w:t xml:space="preserve"> </w:t>
      </w:r>
      <w:hyperlink r:id="rId22" w:history="1">
        <w:r w:rsidRPr="006F0B51">
          <w:rPr>
            <w:rStyle w:val="Hyperlink"/>
            <w:color w:val="17365D" w:themeColor="text2" w:themeShade="BF"/>
          </w:rPr>
          <w:t>http://www.icann.org/en/topics/new-gtlds/perfect-sunrise-jun08-en.pdf</w:t>
        </w:r>
      </w:hyperlink>
      <w:r>
        <w:t xml:space="preserve"> </w:t>
      </w:r>
    </w:p>
  </w:footnote>
  <w:footnote w:id="24">
    <w:p w:rsidR="00AC0D66" w:rsidRDefault="00AC0D66">
      <w:pPr>
        <w:pStyle w:val="FootnoteText"/>
      </w:pPr>
      <w:r w:rsidRPr="00DC3D65">
        <w:rPr>
          <w:rStyle w:val="FootnoteReference"/>
          <w:color w:val="17365D" w:themeColor="text2" w:themeShade="BF"/>
        </w:rPr>
        <w:footnoteRef/>
      </w:r>
      <w:r w:rsidRPr="00DC3D65">
        <w:rPr>
          <w:color w:val="17365D" w:themeColor="text2" w:themeShade="BF"/>
        </w:rPr>
        <w:t xml:space="preserve"> </w:t>
      </w:r>
      <w:hyperlink r:id="rId23" w:history="1">
        <w:r w:rsidRPr="00DC3D65">
          <w:rPr>
            <w:rStyle w:val="Hyperlink"/>
            <w:color w:val="17365D" w:themeColor="text2" w:themeShade="BF"/>
          </w:rPr>
          <w:t>http://www.icann.org/en/tlds/new-gtld-eval-31aug04.pdf</w:t>
        </w:r>
      </w:hyperlink>
      <w:r w:rsidRPr="00DC3D65">
        <w:rPr>
          <w:color w:val="17365D" w:themeColor="text2" w:themeShade="BF"/>
        </w:rPr>
        <w:t xml:space="preserve"> </w:t>
      </w:r>
    </w:p>
  </w:footnote>
  <w:footnote w:id="25">
    <w:p w:rsidR="00AC0D66" w:rsidRDefault="00AC0D66">
      <w:pPr>
        <w:pStyle w:val="FootnoteText"/>
      </w:pPr>
      <w:r w:rsidRPr="00D8755E">
        <w:rPr>
          <w:rStyle w:val="FootnoteReference"/>
          <w:color w:val="17365D" w:themeColor="text2" w:themeShade="BF"/>
        </w:rPr>
        <w:footnoteRef/>
      </w:r>
      <w:r w:rsidRPr="00D8755E">
        <w:rPr>
          <w:color w:val="17365D" w:themeColor="text2" w:themeShade="BF"/>
        </w:rPr>
        <w:t xml:space="preserve"> Ibid.</w:t>
      </w:r>
    </w:p>
  </w:footnote>
  <w:footnote w:id="26">
    <w:p w:rsidR="00AC0D66" w:rsidRPr="00CF7B69" w:rsidRDefault="00AC0D66">
      <w:pPr>
        <w:pStyle w:val="FootnoteText"/>
        <w:rPr>
          <w:color w:val="17365D" w:themeColor="text2" w:themeShade="BF"/>
        </w:rPr>
      </w:pPr>
      <w:r>
        <w:rPr>
          <w:rStyle w:val="FootnoteReference"/>
        </w:rPr>
        <w:footnoteRef/>
      </w:r>
      <w:r>
        <w:t xml:space="preserve"> </w:t>
      </w:r>
      <w:hyperlink r:id="rId24" w:history="1">
        <w:r w:rsidRPr="00CF7B69">
          <w:rPr>
            <w:rStyle w:val="Hyperlink"/>
            <w:color w:val="17365D" w:themeColor="text2" w:themeShade="BF"/>
          </w:rPr>
          <w:t>http://www.icann.org/en/registrars/accredited-list.html</w:t>
        </w:r>
      </w:hyperlink>
      <w:r w:rsidRPr="00CF7B69">
        <w:rPr>
          <w:color w:val="17365D" w:themeColor="text2" w:themeShade="BF"/>
        </w:rPr>
        <w:t xml:space="preserve"> </w:t>
      </w:r>
    </w:p>
  </w:footnote>
  <w:footnote w:id="27">
    <w:p w:rsidR="00AC0D66" w:rsidRDefault="00AC0D66">
      <w:pPr>
        <w:pStyle w:val="FootnoteText"/>
      </w:pPr>
      <w:r w:rsidRPr="00CF7B69">
        <w:rPr>
          <w:rStyle w:val="FootnoteReference"/>
          <w:color w:val="17365D" w:themeColor="text2" w:themeShade="BF"/>
        </w:rPr>
        <w:footnoteRef/>
      </w:r>
      <w:r w:rsidRPr="00CF7B69">
        <w:rPr>
          <w:color w:val="17365D" w:themeColor="text2" w:themeShade="BF"/>
        </w:rPr>
        <w:t xml:space="preserve"> </w:t>
      </w:r>
      <w:hyperlink r:id="rId25" w:history="1">
        <w:r w:rsidRPr="00CF7B69">
          <w:rPr>
            <w:rStyle w:val="Hyperlink"/>
            <w:color w:val="17365D" w:themeColor="text2" w:themeShade="BF"/>
          </w:rPr>
          <w:t>http://www.icann.org/en/topics/new-gtlds/trademark-protections-evidence-use-07jun11-en.pdf</w:t>
        </w:r>
      </w:hyperlink>
      <w:r w:rsidRPr="00CF7B69">
        <w:rPr>
          <w:color w:val="17365D" w:themeColor="text2" w:themeShade="BF"/>
        </w:rPr>
        <w:t xml:space="preserve"> </w:t>
      </w:r>
    </w:p>
  </w:footnote>
  <w:footnote w:id="28">
    <w:p w:rsidR="00AC0D66" w:rsidRDefault="00AC0D66">
      <w:pPr>
        <w:pStyle w:val="FootnoteText"/>
      </w:pPr>
      <w:r w:rsidRPr="00ED39AD">
        <w:rPr>
          <w:rStyle w:val="FootnoteReference"/>
          <w:color w:val="17365D" w:themeColor="text2" w:themeShade="BF"/>
        </w:rPr>
        <w:footnoteRef/>
      </w:r>
      <w:r w:rsidRPr="00ED39AD">
        <w:rPr>
          <w:color w:val="17365D" w:themeColor="text2" w:themeShade="BF"/>
        </w:rPr>
        <w:t xml:space="preserve"> </w:t>
      </w:r>
      <w:hyperlink r:id="rId26" w:history="1">
        <w:r w:rsidRPr="00ED39AD">
          <w:rPr>
            <w:rStyle w:val="Hyperlink"/>
            <w:color w:val="17365D" w:themeColor="text2" w:themeShade="BF"/>
          </w:rPr>
          <w:t>http://www.icann.org/en/tlds/new-gtld-eval-31aug04.pdf</w:t>
        </w:r>
      </w:hyperlink>
      <w:r w:rsidRPr="00ED39AD">
        <w:rPr>
          <w:color w:val="17365D" w:themeColor="text2" w:themeShade="BF"/>
        </w:rPr>
        <w:t xml:space="preserve"> </w:t>
      </w:r>
    </w:p>
  </w:footnote>
  <w:footnote w:id="29">
    <w:p w:rsidR="00AC0D66" w:rsidRDefault="00AC0D66">
      <w:pPr>
        <w:pStyle w:val="FootnoteText"/>
      </w:pPr>
      <w:r w:rsidRPr="00F6566A">
        <w:rPr>
          <w:rStyle w:val="FootnoteReference"/>
          <w:color w:val="17365D" w:themeColor="text2" w:themeShade="BF"/>
        </w:rPr>
        <w:footnoteRef/>
      </w:r>
      <w:r w:rsidRPr="00F6566A">
        <w:rPr>
          <w:color w:val="17365D" w:themeColor="text2" w:themeShade="BF"/>
        </w:rPr>
        <w:t xml:space="preserve"> </w:t>
      </w:r>
      <w:hyperlink r:id="rId27" w:history="1">
        <w:r w:rsidRPr="00F6566A">
          <w:rPr>
            <w:rStyle w:val="Hyperlink"/>
            <w:color w:val="17365D" w:themeColor="text2" w:themeShade="BF"/>
          </w:rPr>
          <w:t>http://blog.icann.org/2007/04/faqs-for-registerfly-customers/</w:t>
        </w:r>
      </w:hyperlink>
      <w:r w:rsidRPr="00F6566A">
        <w:rPr>
          <w:color w:val="17365D" w:themeColor="text2" w:themeShade="BF"/>
        </w:rPr>
        <w:t xml:space="preserve"> </w:t>
      </w:r>
    </w:p>
  </w:footnote>
  <w:footnote w:id="30">
    <w:p w:rsidR="00AC0D66" w:rsidRPr="001C0F7B" w:rsidRDefault="00AC0D66">
      <w:pPr>
        <w:pStyle w:val="FootnoteText"/>
        <w:rPr>
          <w:color w:val="17365D" w:themeColor="text2" w:themeShade="BF"/>
        </w:rPr>
      </w:pPr>
      <w:r>
        <w:rPr>
          <w:rStyle w:val="FootnoteReference"/>
        </w:rPr>
        <w:footnoteRef/>
      </w:r>
      <w:r>
        <w:t xml:space="preserve"> </w:t>
      </w:r>
      <w:hyperlink r:id="rId28" w:history="1">
        <w:r w:rsidRPr="001C0F7B">
          <w:rPr>
            <w:rStyle w:val="Hyperlink"/>
            <w:color w:val="17365D" w:themeColor="text2" w:themeShade="BF"/>
          </w:rPr>
          <w:t>http://www.icann.org/en/correspondence/raad-to-dengate-thrush-09sep09-en.pdf</w:t>
        </w:r>
      </w:hyperlink>
      <w:r w:rsidRPr="001C0F7B">
        <w:rPr>
          <w:color w:val="17365D" w:themeColor="text2" w:themeShade="BF"/>
        </w:rPr>
        <w:t xml:space="preserve"> </w:t>
      </w:r>
    </w:p>
  </w:footnote>
  <w:footnote w:id="31">
    <w:p w:rsidR="00AC0D66" w:rsidRDefault="00AC0D66">
      <w:pPr>
        <w:pStyle w:val="FootnoteText"/>
      </w:pPr>
      <w:r>
        <w:rPr>
          <w:rStyle w:val="FootnoteReference"/>
        </w:rPr>
        <w:footnoteRef/>
      </w:r>
      <w:r>
        <w:t xml:space="preserve"> Ibid.</w:t>
      </w:r>
    </w:p>
  </w:footnote>
  <w:footnote w:id="32">
    <w:p w:rsidR="00AC0D66" w:rsidRDefault="00AC0D66">
      <w:pPr>
        <w:pStyle w:val="FootnoteText"/>
      </w:pPr>
      <w:r w:rsidRPr="00945D4E">
        <w:rPr>
          <w:rStyle w:val="FootnoteReference"/>
          <w:color w:val="17365D" w:themeColor="text2" w:themeShade="BF"/>
        </w:rPr>
        <w:footnoteRef/>
      </w:r>
      <w:r w:rsidRPr="00945D4E">
        <w:rPr>
          <w:color w:val="17365D" w:themeColor="text2" w:themeShade="BF"/>
        </w:rPr>
        <w:t xml:space="preserve"> </w:t>
      </w:r>
      <w:hyperlink r:id="rId29" w:history="1">
        <w:r w:rsidRPr="00945D4E">
          <w:rPr>
            <w:rStyle w:val="Hyperlink"/>
            <w:color w:val="17365D" w:themeColor="text2" w:themeShade="BF"/>
          </w:rPr>
          <w:t>http://thenextweb.com/asia/2011/03/24/india-to-block-xxx-top-level-domain/</w:t>
        </w:r>
      </w:hyperlink>
      <w:r w:rsidRPr="00945D4E">
        <w:rPr>
          <w:color w:val="17365D" w:themeColor="text2" w:themeShade="BF"/>
        </w:rPr>
        <w:t xml:space="preserve"> </w:t>
      </w:r>
    </w:p>
  </w:footnote>
  <w:footnote w:id="33">
    <w:p w:rsidR="00AC0D66" w:rsidRDefault="00AC0D66">
      <w:pPr>
        <w:pStyle w:val="FootnoteText"/>
      </w:pPr>
      <w:r>
        <w:rPr>
          <w:rStyle w:val="FootnoteReference"/>
        </w:rPr>
        <w:footnoteRef/>
      </w:r>
      <w:r>
        <w:t xml:space="preserve"> </w:t>
      </w:r>
      <w:hyperlink r:id="rId30" w:history="1">
        <w:r w:rsidRPr="00487B21">
          <w:rPr>
            <w:rStyle w:val="Hyperlink"/>
            <w:color w:val="17365D" w:themeColor="text2" w:themeShade="BF"/>
          </w:rPr>
          <w:t>http://www.icann.org/en/correspondence/burnette-to-johnson-fassett-27feb11-en.pdf</w:t>
        </w:r>
      </w:hyperlink>
      <w:r w:rsidRPr="00487B21">
        <w:rPr>
          <w:color w:val="17365D" w:themeColor="text2" w:themeShade="BF"/>
        </w:rPr>
        <w:t xml:space="preserve"> </w:t>
      </w:r>
    </w:p>
  </w:footnote>
  <w:footnote w:id="34">
    <w:p w:rsidR="00AC0D66" w:rsidRDefault="00AC0D66">
      <w:pPr>
        <w:pStyle w:val="FootnoteText"/>
      </w:pPr>
      <w:r>
        <w:rPr>
          <w:rStyle w:val="FootnoteReference"/>
        </w:rPr>
        <w:footnoteRef/>
      </w:r>
      <w:r>
        <w:t xml:space="preserve"> “</w:t>
      </w:r>
      <w:r w:rsidRPr="00487B21">
        <w:t>It appears that Employ Media and SHRM, through the Direct Employers Association, intend to use the .JOBS TLD primarily to compete with other internet job boards.</w:t>
      </w:r>
      <w:r>
        <w:t>”</w:t>
      </w:r>
    </w:p>
  </w:footnote>
  <w:footnote w:id="35">
    <w:p w:rsidR="00AC0D66" w:rsidRDefault="00AC0D66">
      <w:pPr>
        <w:pStyle w:val="FootnoteText"/>
      </w:pPr>
      <w:r>
        <w:rPr>
          <w:rStyle w:val="FootnoteReference"/>
        </w:rPr>
        <w:footnoteRef/>
      </w:r>
      <w:r>
        <w:t xml:space="preserve"> Competition and Vertical Integration issues remain a concern for Governments – see the correspondence from the European Commission and the USG:  </w:t>
      </w:r>
      <w:hyperlink r:id="rId31" w:history="1">
        <w:r w:rsidRPr="007950E3">
          <w:rPr>
            <w:rStyle w:val="Hyperlink"/>
            <w:color w:val="17365D" w:themeColor="text2" w:themeShade="BF"/>
          </w:rPr>
          <w:t>http://www.icann.org/en/correspondence/eu-to-icann-17jun11-en.pdf</w:t>
        </w:r>
      </w:hyperlink>
      <w:r w:rsidRPr="007950E3">
        <w:rPr>
          <w:color w:val="17365D" w:themeColor="text2" w:themeShade="BF"/>
        </w:rPr>
        <w:t xml:space="preserve">  </w:t>
      </w:r>
      <w:hyperlink r:id="rId32" w:history="1">
        <w:r w:rsidRPr="007950E3">
          <w:rPr>
            <w:rStyle w:val="Hyperlink"/>
            <w:color w:val="17365D" w:themeColor="text2" w:themeShade="BF"/>
          </w:rPr>
          <w:t>http://www.icann.org/en/correspondence/strickling-to-dengate-thrush-16jun11-en.pdf</w:t>
        </w:r>
      </w:hyperlink>
      <w:r w:rsidRPr="007950E3">
        <w:rPr>
          <w:color w:val="17365D" w:themeColor="text2" w:themeShade="BF"/>
        </w:rPr>
        <w:t xml:space="preserve">  </w:t>
      </w:r>
    </w:p>
  </w:footnote>
  <w:footnote w:id="36">
    <w:p w:rsidR="00AC0D66" w:rsidRDefault="00AC0D66">
      <w:pPr>
        <w:pStyle w:val="FootnoteText"/>
      </w:pPr>
      <w:r>
        <w:rPr>
          <w:rStyle w:val="FootnoteReference"/>
        </w:rPr>
        <w:footnoteRef/>
      </w:r>
      <w:r w:rsidRPr="00487B21">
        <w:rPr>
          <w:color w:val="17365D" w:themeColor="text2" w:themeShade="BF"/>
        </w:rPr>
        <w:t xml:space="preserve"> </w:t>
      </w:r>
      <w:hyperlink r:id="rId33" w:history="1">
        <w:r w:rsidRPr="00487B21">
          <w:rPr>
            <w:rStyle w:val="Hyperlink"/>
            <w:color w:val="17365D" w:themeColor="text2" w:themeShade="BF"/>
          </w:rPr>
          <w:t>http://www.icann.org/en/topics/new-gtlds/registry-transition-processes-clean-30may11-en.pdf</w:t>
        </w:r>
      </w:hyperlink>
      <w:r>
        <w:t xml:space="preserve"> </w:t>
      </w:r>
    </w:p>
  </w:footnote>
  <w:footnote w:id="37">
    <w:p w:rsidR="00AC0D66" w:rsidRDefault="00AC0D66">
      <w:pPr>
        <w:pStyle w:val="FootnoteText"/>
      </w:pPr>
      <w:r>
        <w:rPr>
          <w:rStyle w:val="FootnoteReference"/>
        </w:rPr>
        <w:footnoteRef/>
      </w:r>
      <w:r>
        <w:t xml:space="preserve"> </w:t>
      </w:r>
      <w:hyperlink r:id="rId34" w:history="1">
        <w:r w:rsidRPr="00161835">
          <w:rPr>
            <w:rStyle w:val="Hyperlink"/>
            <w:color w:val="17365D" w:themeColor="text2" w:themeShade="BF"/>
          </w:rPr>
          <w:t>http://www.internetnews.me/2011/06/12/some-considerations-for-new-tld-operators-from-a-registrar-perspective/</w:t>
        </w:r>
      </w:hyperlink>
      <w:r w:rsidRPr="00161835">
        <w:rPr>
          <w:color w:val="17365D" w:themeColor="text2" w:themeShade="BF"/>
        </w:rPr>
        <w:t xml:space="preserve"> </w:t>
      </w:r>
    </w:p>
  </w:footnote>
  <w:footnote w:id="38">
    <w:p w:rsidR="00AC0D66" w:rsidRDefault="00AC0D66">
      <w:pPr>
        <w:pStyle w:val="FootnoteText"/>
      </w:pPr>
      <w:r>
        <w:rPr>
          <w:rStyle w:val="FootnoteReference"/>
        </w:rPr>
        <w:footnoteRef/>
      </w:r>
      <w:r>
        <w:t xml:space="preserve"> See, for example, </w:t>
      </w:r>
      <w:hyperlink r:id="rId35" w:history="1">
        <w:r w:rsidRPr="00AD5AB6">
          <w:rPr>
            <w:rStyle w:val="Hyperlink"/>
            <w:color w:val="17365D" w:themeColor="text2" w:themeShade="BF"/>
          </w:rPr>
          <w:t>http://pittsburghpennsylvania.travel</w:t>
        </w:r>
      </w:hyperlink>
      <w:r w:rsidRPr="00AD5AB6">
        <w:rPr>
          <w:color w:val="17365D" w:themeColor="text2" w:themeShade="BF"/>
        </w:rPr>
        <w:t xml:space="preserve">  </w:t>
      </w:r>
    </w:p>
  </w:footnote>
  <w:footnote w:id="39">
    <w:p w:rsidR="00AC0D66" w:rsidRDefault="00AC0D66" w:rsidP="0069082C">
      <w:pPr>
        <w:pStyle w:val="FootnoteText"/>
      </w:pPr>
      <w:r>
        <w:rPr>
          <w:rStyle w:val="FootnoteReference"/>
        </w:rPr>
        <w:footnoteRef/>
      </w:r>
      <w:r>
        <w:t xml:space="preserve"> “What causes us more problems is the proxy registration </w:t>
      </w:r>
      <w:proofErr w:type="gramStart"/>
      <w:r>
        <w:t>where we cannot -- no longer see the identification of the registrant</w:t>
      </w:r>
      <w:proofErr w:type="gramEnd"/>
      <w:r>
        <w:t xml:space="preserve">.  And very often, if people are paying for their registration, they are using stolen credit card data.  Now, what do we need is to identify who is behind these domain name registrations or get a trail.  If you don't have the real name, perhaps you have other information that can lead us to these criminals.”  </w:t>
      </w:r>
      <w:hyperlink r:id="rId36" w:history="1">
        <w:r w:rsidRPr="0069082C">
          <w:rPr>
            <w:rStyle w:val="Hyperlink"/>
            <w:color w:val="17365D" w:themeColor="text2" w:themeShade="BF"/>
          </w:rPr>
          <w:t>http://brussels38.icann.org/meetings/brussels2010/transcript-proposed-raa-amendments-21jun10-en.txt</w:t>
        </w:r>
      </w:hyperlink>
      <w:r w:rsidRPr="0069082C">
        <w:rPr>
          <w:color w:val="17365D" w:themeColor="text2" w:themeShade="BF"/>
        </w:rPr>
        <w:t xml:space="preserve"> </w:t>
      </w:r>
    </w:p>
  </w:footnote>
  <w:footnote w:id="40">
    <w:p w:rsidR="00AC0D66" w:rsidRDefault="00AC0D66">
      <w:pPr>
        <w:pStyle w:val="FootnoteText"/>
      </w:pPr>
      <w:r>
        <w:rPr>
          <w:rStyle w:val="FootnoteReference"/>
        </w:rPr>
        <w:footnoteRef/>
      </w:r>
      <w:r>
        <w:t xml:space="preserve"> </w:t>
      </w:r>
      <w:hyperlink r:id="rId37" w:history="1">
        <w:r w:rsidRPr="00F4394B">
          <w:rPr>
            <w:rStyle w:val="Hyperlink"/>
            <w:color w:val="17365D" w:themeColor="text2" w:themeShade="BF"/>
          </w:rPr>
          <w:t>http://www.wipo.int/amc/en/docs/icann021210.pdf</w:t>
        </w:r>
      </w:hyperlink>
      <w:r>
        <w:t xml:space="preserve"> </w:t>
      </w:r>
    </w:p>
  </w:footnote>
  <w:footnote w:id="41">
    <w:p w:rsidR="00AC0D66" w:rsidRDefault="00AC0D66">
      <w:pPr>
        <w:pStyle w:val="FootnoteText"/>
      </w:pPr>
      <w:r w:rsidRPr="00181F7C">
        <w:rPr>
          <w:rStyle w:val="FootnoteReference"/>
          <w:color w:val="17365D" w:themeColor="text2" w:themeShade="BF"/>
        </w:rPr>
        <w:footnoteRef/>
      </w:r>
      <w:r w:rsidRPr="00181F7C">
        <w:rPr>
          <w:color w:val="17365D" w:themeColor="text2" w:themeShade="BF"/>
        </w:rPr>
        <w:t xml:space="preserve"> </w:t>
      </w:r>
      <w:hyperlink r:id="rId38" w:history="1">
        <w:r w:rsidRPr="00181F7C">
          <w:rPr>
            <w:rStyle w:val="Hyperlink"/>
            <w:color w:val="17365D" w:themeColor="text2" w:themeShade="BF"/>
          </w:rPr>
          <w:t>http://www.icann.org/en/tlds/new-gtld-eval-31aug04.pdf</w:t>
        </w:r>
      </w:hyperlink>
      <w:r w:rsidRPr="00181F7C">
        <w:rPr>
          <w:color w:val="17365D" w:themeColor="text2" w:themeShade="BF"/>
        </w:rPr>
        <w:t xml:space="preserve"> </w:t>
      </w:r>
    </w:p>
  </w:footnote>
  <w:footnote w:id="42">
    <w:p w:rsidR="00AC0D66" w:rsidRDefault="00AC0D66">
      <w:pPr>
        <w:pStyle w:val="FootnoteText"/>
      </w:pPr>
      <w:r w:rsidRPr="004943CB">
        <w:rPr>
          <w:rStyle w:val="FootnoteReference"/>
          <w:color w:val="17365D" w:themeColor="text2" w:themeShade="BF"/>
        </w:rPr>
        <w:footnoteRef/>
      </w:r>
      <w:r w:rsidRPr="004943CB">
        <w:rPr>
          <w:color w:val="17365D" w:themeColor="text2" w:themeShade="BF"/>
        </w:rPr>
        <w:t xml:space="preserve"> http://www.icann.org/en/tlds/new-gtld-eval-31aug04.pdf</w:t>
      </w:r>
    </w:p>
  </w:footnote>
  <w:footnote w:id="43">
    <w:p w:rsidR="00AC0D66" w:rsidRDefault="00AC0D66" w:rsidP="00561744">
      <w:pPr>
        <w:pStyle w:val="FootnoteText"/>
      </w:pPr>
      <w:r w:rsidRPr="00561744">
        <w:rPr>
          <w:rStyle w:val="FootnoteReference"/>
          <w:color w:val="17365D" w:themeColor="text2" w:themeShade="BF"/>
        </w:rPr>
        <w:footnoteRef/>
      </w:r>
      <w:r w:rsidRPr="00561744">
        <w:rPr>
          <w:color w:val="17365D" w:themeColor="text2" w:themeShade="BF"/>
        </w:rPr>
        <w:t xml:space="preserve"> Ibid.</w:t>
      </w:r>
    </w:p>
  </w:footnote>
  <w:footnote w:id="44">
    <w:p w:rsidR="00AC0D66" w:rsidRDefault="00AC0D66">
      <w:pPr>
        <w:pStyle w:val="FootnoteText"/>
      </w:pPr>
      <w:r>
        <w:rPr>
          <w:rStyle w:val="FootnoteReference"/>
        </w:rPr>
        <w:footnoteRef/>
      </w:r>
      <w:r>
        <w:t xml:space="preserve"> Ibid.</w:t>
      </w:r>
    </w:p>
  </w:footnote>
  <w:footnote w:id="45">
    <w:p w:rsidR="00AC0D66" w:rsidRDefault="00AC0D66" w:rsidP="002238F6">
      <w:pPr>
        <w:pStyle w:val="FootnoteText"/>
      </w:pPr>
      <w:r>
        <w:rPr>
          <w:rStyle w:val="FootnoteReference"/>
        </w:rPr>
        <w:footnoteRef/>
      </w:r>
      <w:r>
        <w:t xml:space="preserve"> Ibid.</w:t>
      </w:r>
    </w:p>
  </w:footnote>
  <w:footnote w:id="46">
    <w:p w:rsidR="00AC0D66" w:rsidRDefault="00AC0D66">
      <w:pPr>
        <w:pStyle w:val="FootnoteText"/>
      </w:pPr>
      <w:r>
        <w:rPr>
          <w:rStyle w:val="FootnoteReference"/>
        </w:rPr>
        <w:footnoteRef/>
      </w:r>
      <w:r>
        <w:t xml:space="preserve"> </w:t>
      </w:r>
      <w:hyperlink r:id="rId39" w:history="1">
        <w:r w:rsidRPr="00E81A3F">
          <w:rPr>
            <w:rStyle w:val="Hyperlink"/>
            <w:color w:val="17365D" w:themeColor="text2" w:themeShade="BF"/>
          </w:rPr>
          <w:t>http://www.icann.org/en/tlds/new-gtld-eval-31aug04.pdf</w:t>
        </w:r>
      </w:hyperlink>
      <w:r w:rsidRPr="00E81A3F">
        <w:rPr>
          <w:color w:val="17365D" w:themeColor="text2" w:themeShade="BF"/>
        </w:rPr>
        <w:t xml:space="preserve"> </w:t>
      </w:r>
    </w:p>
  </w:footnote>
  <w:footnote w:id="47">
    <w:p w:rsidR="00AC0D66" w:rsidRDefault="00AC0D66">
      <w:pPr>
        <w:pStyle w:val="FootnoteText"/>
      </w:pPr>
      <w:r>
        <w:rPr>
          <w:rStyle w:val="FootnoteReference"/>
        </w:rPr>
        <w:footnoteRef/>
      </w:r>
      <w:r>
        <w:t xml:space="preserve"> Ibid.</w:t>
      </w:r>
    </w:p>
  </w:footnote>
  <w:footnote w:id="48">
    <w:p w:rsidR="00AC0D66" w:rsidRDefault="00AC0D66">
      <w:pPr>
        <w:pStyle w:val="FootnoteText"/>
      </w:pPr>
      <w:r w:rsidRPr="00B21B65">
        <w:rPr>
          <w:rStyle w:val="FootnoteReference"/>
          <w:color w:val="17365D" w:themeColor="text2" w:themeShade="BF"/>
        </w:rPr>
        <w:footnoteRef/>
      </w:r>
      <w:r w:rsidRPr="00B21B65">
        <w:rPr>
          <w:color w:val="17365D" w:themeColor="text2" w:themeShade="BF"/>
        </w:rPr>
        <w:t xml:space="preserve"> http://www.icann.org/en/general/lynn-reform-proposal-24feb02.htm</w:t>
      </w:r>
    </w:p>
  </w:footnote>
  <w:footnote w:id="49">
    <w:p w:rsidR="00AC0D66" w:rsidRDefault="00AC0D66">
      <w:pPr>
        <w:pStyle w:val="FootnoteText"/>
      </w:pPr>
      <w:r w:rsidRPr="006136CA">
        <w:rPr>
          <w:rStyle w:val="FootnoteReference"/>
          <w:color w:val="17365D" w:themeColor="text2" w:themeShade="BF"/>
        </w:rPr>
        <w:footnoteRef/>
      </w:r>
      <w:r w:rsidRPr="006136CA">
        <w:rPr>
          <w:color w:val="17365D" w:themeColor="text2" w:themeShade="BF"/>
        </w:rPr>
        <w:t xml:space="preserve"> </w:t>
      </w:r>
      <w:hyperlink r:id="rId40" w:history="1">
        <w:r w:rsidRPr="006136CA">
          <w:rPr>
            <w:rStyle w:val="Hyperlink"/>
            <w:color w:val="17365D" w:themeColor="text2" w:themeShade="BF"/>
          </w:rPr>
          <w:t>http://www.icann.org/en/correspondence/pritz-to-goodlatte-07jun11-en.pdf</w:t>
        </w:r>
      </w:hyperlink>
      <w:r w:rsidRPr="006136CA">
        <w:rPr>
          <w:color w:val="17365D" w:themeColor="text2" w:themeShade="BF"/>
        </w:rPr>
        <w:t xml:space="preserve"> </w:t>
      </w:r>
    </w:p>
  </w:footnote>
  <w:footnote w:id="50">
    <w:p w:rsidR="00AC0D66" w:rsidRDefault="00AC0D66">
      <w:pPr>
        <w:pStyle w:val="FootnoteText"/>
      </w:pPr>
      <w:r w:rsidRPr="00AE284D">
        <w:rPr>
          <w:rStyle w:val="FootnoteReference"/>
          <w:color w:val="17365D" w:themeColor="text2" w:themeShade="BF"/>
        </w:rPr>
        <w:footnoteRef/>
      </w:r>
      <w:r w:rsidRPr="00AE284D">
        <w:rPr>
          <w:color w:val="17365D" w:themeColor="text2" w:themeShade="BF"/>
        </w:rPr>
        <w:t xml:space="preserve"> </w:t>
      </w:r>
      <w:hyperlink r:id="rId41" w:history="1">
        <w:r w:rsidRPr="00AE284D">
          <w:rPr>
            <w:rStyle w:val="Hyperlink"/>
            <w:color w:val="17365D" w:themeColor="text2" w:themeShade="BF"/>
          </w:rPr>
          <w:t>http://www.icann.org/en/reviews/alac/final-tor-20jun07.pdf</w:t>
        </w:r>
      </w:hyperlink>
      <w:r w:rsidRPr="00AE284D">
        <w:rPr>
          <w:color w:val="17365D" w:themeColor="text2" w:themeShade="BF"/>
        </w:rPr>
        <w:t xml:space="preserve"> </w:t>
      </w:r>
    </w:p>
  </w:footnote>
  <w:footnote w:id="51">
    <w:p w:rsidR="00AC0D66" w:rsidRDefault="00AC0D66">
      <w:pPr>
        <w:pStyle w:val="FootnoteText"/>
      </w:pPr>
      <w:r>
        <w:rPr>
          <w:rStyle w:val="FootnoteReference"/>
        </w:rPr>
        <w:footnoteRef/>
      </w:r>
      <w:r>
        <w:t xml:space="preserve"> </w:t>
      </w:r>
      <w:hyperlink r:id="rId42" w:history="1">
        <w:r w:rsidRPr="00AE284D">
          <w:rPr>
            <w:rStyle w:val="Hyperlink"/>
            <w:color w:val="17365D" w:themeColor="text2" w:themeShade="BF"/>
          </w:rPr>
          <w:t>http://www.icann.org/en/general/bylaws.htm</w:t>
        </w:r>
      </w:hyperlink>
      <w:r w:rsidRPr="00AE284D">
        <w:rPr>
          <w:color w:val="17365D" w:themeColor="text2" w:themeShade="BF"/>
        </w:rPr>
        <w:t xml:space="preserve"> </w:t>
      </w:r>
    </w:p>
  </w:footnote>
  <w:footnote w:id="52">
    <w:p w:rsidR="00AC0D66" w:rsidRDefault="00AC0D66">
      <w:pPr>
        <w:pStyle w:val="FootnoteText"/>
      </w:pPr>
      <w:r>
        <w:rPr>
          <w:rStyle w:val="FootnoteReference"/>
        </w:rPr>
        <w:footnoteRef/>
      </w:r>
      <w:r>
        <w:t xml:space="preserve"> </w:t>
      </w:r>
      <w:hyperlink r:id="rId43" w:history="1">
        <w:r w:rsidRPr="006D7F95">
          <w:rPr>
            <w:rStyle w:val="Hyperlink"/>
            <w:color w:val="17365D" w:themeColor="text2" w:themeShade="BF"/>
          </w:rPr>
          <w:t>http://forum.icann.org/lists/alac-mid-consult/msg00003.html</w:t>
        </w:r>
      </w:hyperlink>
      <w:r w:rsidRPr="006D7F95">
        <w:rPr>
          <w:color w:val="17365D" w:themeColor="text2" w:themeShade="BF"/>
        </w:rPr>
        <w:t xml:space="preserve"> </w:t>
      </w:r>
    </w:p>
  </w:footnote>
  <w:footnote w:id="53">
    <w:p w:rsidR="00AC0D66" w:rsidRDefault="00AC0D66">
      <w:pPr>
        <w:pStyle w:val="FootnoteText"/>
      </w:pPr>
      <w:r w:rsidRPr="005A7977">
        <w:rPr>
          <w:rStyle w:val="FootnoteReference"/>
          <w:color w:val="17365D" w:themeColor="text2" w:themeShade="BF"/>
        </w:rPr>
        <w:footnoteRef/>
      </w:r>
      <w:r w:rsidRPr="005A7977">
        <w:rPr>
          <w:color w:val="17365D" w:themeColor="text2" w:themeShade="BF"/>
        </w:rPr>
        <w:t xml:space="preserve"> </w:t>
      </w:r>
      <w:hyperlink r:id="rId44" w:history="1">
        <w:r w:rsidRPr="005A7977">
          <w:rPr>
            <w:rStyle w:val="Hyperlink"/>
            <w:color w:val="17365D" w:themeColor="text2" w:themeShade="BF"/>
          </w:rPr>
          <w:t>http://www.icann.org/en/correspondence/lynn-testimony-12jun02.htm</w:t>
        </w:r>
      </w:hyperlink>
      <w:r w:rsidRPr="005A7977">
        <w:rPr>
          <w:color w:val="17365D" w:themeColor="text2" w:themeShade="BF"/>
        </w:rPr>
        <w:t xml:space="preserve"> </w:t>
      </w:r>
    </w:p>
  </w:footnote>
  <w:footnote w:id="54">
    <w:p w:rsidR="00AC0D66" w:rsidRDefault="00AC0D66">
      <w:pPr>
        <w:pStyle w:val="FootnoteText"/>
      </w:pPr>
      <w:r>
        <w:rPr>
          <w:rStyle w:val="FootnoteReference"/>
        </w:rPr>
        <w:footnoteRef/>
      </w:r>
      <w:r>
        <w:t xml:space="preserve"> </w:t>
      </w:r>
      <w:hyperlink r:id="rId45" w:history="1">
        <w:r w:rsidRPr="007006E3">
          <w:rPr>
            <w:rStyle w:val="Hyperlink"/>
            <w:color w:val="17365D" w:themeColor="text2" w:themeShade="BF"/>
          </w:rPr>
          <w:t>https://community.icann.org/display/Improve/At-Large+Improvements+Work+Team+B</w:t>
        </w:r>
      </w:hyperlink>
      <w:r w:rsidRPr="007006E3">
        <w:rPr>
          <w:color w:val="17365D" w:themeColor="text2" w:themeShade="BF"/>
        </w:rPr>
        <w:t xml:space="preserve"> </w:t>
      </w:r>
    </w:p>
  </w:footnote>
  <w:footnote w:id="55">
    <w:p w:rsidR="00AC0D66" w:rsidRDefault="00AC0D66">
      <w:pPr>
        <w:pStyle w:val="FootnoteText"/>
      </w:pPr>
      <w:r w:rsidRPr="007006E3">
        <w:rPr>
          <w:rStyle w:val="FootnoteReference"/>
          <w:color w:val="17365D" w:themeColor="text2" w:themeShade="BF"/>
        </w:rPr>
        <w:footnoteRef/>
      </w:r>
      <w:r w:rsidRPr="007006E3">
        <w:rPr>
          <w:color w:val="17365D" w:themeColor="text2" w:themeShade="BF"/>
        </w:rPr>
        <w:t xml:space="preserve"> </w:t>
      </w:r>
      <w:hyperlink r:id="rId46" w:history="1">
        <w:r w:rsidRPr="007006E3">
          <w:rPr>
            <w:rStyle w:val="Hyperlink"/>
            <w:color w:val="17365D" w:themeColor="text2" w:themeShade="BF"/>
          </w:rPr>
          <w:t>http://www.icann.org/en/financials/so-ac-sg-requests-summary-fy12-en.pdf</w:t>
        </w:r>
      </w:hyperlink>
      <w:r w:rsidRPr="007006E3">
        <w:rPr>
          <w:color w:val="17365D" w:themeColor="text2" w:themeShade="BF"/>
        </w:rPr>
        <w:t xml:space="preserve"> </w:t>
      </w:r>
    </w:p>
  </w:footnote>
  <w:footnote w:id="56">
    <w:p w:rsidR="00AC0D66" w:rsidRDefault="00AC0D66">
      <w:pPr>
        <w:pStyle w:val="FootnoteText"/>
      </w:pPr>
      <w:r w:rsidRPr="008F5923">
        <w:rPr>
          <w:rStyle w:val="FootnoteReference"/>
          <w:color w:val="17365D" w:themeColor="text2" w:themeShade="BF"/>
        </w:rPr>
        <w:footnoteRef/>
      </w:r>
      <w:r w:rsidRPr="008F5923">
        <w:rPr>
          <w:color w:val="17365D" w:themeColor="text2" w:themeShade="BF"/>
        </w:rPr>
        <w:t xml:space="preserve"> </w:t>
      </w:r>
      <w:hyperlink r:id="rId47" w:history="1">
        <w:r w:rsidRPr="008F5923">
          <w:rPr>
            <w:rStyle w:val="Hyperlink"/>
            <w:color w:val="17365D" w:themeColor="text2" w:themeShade="BF"/>
          </w:rPr>
          <w:t>http://www.icann.org/en/committees/at-large/final-report-05nov01.htm</w:t>
        </w:r>
      </w:hyperlink>
      <w:r w:rsidRPr="008F5923">
        <w:rPr>
          <w:color w:val="17365D" w:themeColor="text2" w:themeShade="BF"/>
        </w:rPr>
        <w:t xml:space="preserve"> </w:t>
      </w:r>
    </w:p>
  </w:footnote>
  <w:footnote w:id="57">
    <w:p w:rsidR="00AC0D66" w:rsidRDefault="00AC0D66">
      <w:pPr>
        <w:pStyle w:val="FootnoteText"/>
      </w:pPr>
      <w:r w:rsidRPr="004801A8">
        <w:rPr>
          <w:rStyle w:val="FootnoteReference"/>
          <w:color w:val="17365D" w:themeColor="text2" w:themeShade="BF"/>
        </w:rPr>
        <w:footnoteRef/>
      </w:r>
      <w:r w:rsidRPr="004801A8">
        <w:rPr>
          <w:color w:val="17365D" w:themeColor="text2" w:themeShade="BF"/>
        </w:rPr>
        <w:t xml:space="preserve"> </w:t>
      </w:r>
      <w:hyperlink r:id="rId48" w:history="1">
        <w:r w:rsidRPr="004801A8">
          <w:rPr>
            <w:rStyle w:val="Hyperlink"/>
            <w:color w:val="17365D" w:themeColor="text2" w:themeShade="BF"/>
          </w:rPr>
          <w:t>https://community.icann.org/display/Improve/At-Large+Improvements+Recommendations</w:t>
        </w:r>
      </w:hyperlink>
      <w:r w:rsidRPr="004801A8">
        <w:rPr>
          <w:color w:val="17365D" w:themeColor="text2" w:themeShade="BF"/>
        </w:rPr>
        <w:t xml:space="preserve"> </w:t>
      </w:r>
    </w:p>
  </w:footnote>
  <w:footnote w:id="58">
    <w:p w:rsidR="00AC0D66" w:rsidRDefault="00AC0D66">
      <w:pPr>
        <w:pStyle w:val="FootnoteText"/>
      </w:pPr>
      <w:r w:rsidRPr="00273E48">
        <w:rPr>
          <w:rStyle w:val="FootnoteReference"/>
          <w:color w:val="17365D" w:themeColor="text2" w:themeShade="BF"/>
        </w:rPr>
        <w:footnoteRef/>
      </w:r>
      <w:r w:rsidRPr="00273E48">
        <w:rPr>
          <w:color w:val="17365D" w:themeColor="text2" w:themeShade="BF"/>
        </w:rPr>
        <w:t xml:space="preserve"> </w:t>
      </w:r>
      <w:hyperlink r:id="rId49" w:history="1">
        <w:r w:rsidRPr="00273E48">
          <w:rPr>
            <w:rStyle w:val="Hyperlink"/>
            <w:color w:val="17365D" w:themeColor="text2" w:themeShade="BF"/>
          </w:rPr>
          <w:t>http://www.icann.org/en/financials/proposed-opplan-budget-v1-fy12-17may11-en.pdf</w:t>
        </w:r>
      </w:hyperlink>
      <w:r w:rsidRPr="00273E48">
        <w:rPr>
          <w:color w:val="17365D" w:themeColor="text2" w:themeShade="BF"/>
        </w:rPr>
        <w:t xml:space="preserve"> </w:t>
      </w:r>
    </w:p>
  </w:footnote>
  <w:footnote w:id="59">
    <w:p w:rsidR="00AC0D66" w:rsidRDefault="00AC0D66">
      <w:pPr>
        <w:pStyle w:val="FootnoteText"/>
      </w:pPr>
      <w:r w:rsidRPr="008B6DDB">
        <w:rPr>
          <w:rStyle w:val="FootnoteReference"/>
          <w:color w:val="365F91" w:themeColor="accent1" w:themeShade="BF"/>
        </w:rPr>
        <w:footnoteRef/>
      </w:r>
      <w:r w:rsidRPr="008B6DDB">
        <w:rPr>
          <w:color w:val="365F91" w:themeColor="accent1" w:themeShade="BF"/>
        </w:rPr>
        <w:t xml:space="preserve"> </w:t>
      </w:r>
      <w:hyperlink r:id="rId50" w:history="1">
        <w:r w:rsidRPr="008B6DDB">
          <w:rPr>
            <w:rStyle w:val="Hyperlink"/>
            <w:color w:val="365F91" w:themeColor="accent1" w:themeShade="BF"/>
          </w:rPr>
          <w:t>http://www.icann.org/en/general/lynn-reform-proposal-24feb02.htm</w:t>
        </w:r>
      </w:hyperlink>
      <w:r w:rsidRPr="008B6DDB">
        <w:rPr>
          <w:color w:val="365F91" w:themeColor="accent1" w:themeShade="BF"/>
        </w:rPr>
        <w:t xml:space="preserve"> </w:t>
      </w:r>
    </w:p>
  </w:footnote>
  <w:footnote w:id="60">
    <w:p w:rsidR="00AC0D66" w:rsidRDefault="00AC0D66">
      <w:pPr>
        <w:pStyle w:val="FootnoteText"/>
      </w:pPr>
      <w:r w:rsidRPr="001B493B">
        <w:rPr>
          <w:rStyle w:val="FootnoteReference"/>
          <w:color w:val="365F91" w:themeColor="accent1" w:themeShade="BF"/>
        </w:rPr>
        <w:footnoteRef/>
      </w:r>
      <w:r w:rsidRPr="001B493B">
        <w:rPr>
          <w:color w:val="365F91" w:themeColor="accent1" w:themeShade="BF"/>
        </w:rPr>
        <w:t xml:space="preserve"> </w:t>
      </w:r>
      <w:hyperlink r:id="rId51" w:history="1">
        <w:r w:rsidRPr="001B493B">
          <w:rPr>
            <w:rStyle w:val="Hyperlink"/>
            <w:color w:val="365F91" w:themeColor="accent1" w:themeShade="BF"/>
          </w:rPr>
          <w:t>http://singapore41.icann.org/meetings/singapore2011/transcripts-board-meeting-1-24jun11-en.txt</w:t>
        </w:r>
      </w:hyperlink>
      <w:r w:rsidRPr="001B493B">
        <w:rPr>
          <w:color w:val="365F91" w:themeColor="accent1" w:themeShade="BF"/>
        </w:rPr>
        <w:t xml:space="preserve"> </w:t>
      </w:r>
    </w:p>
  </w:footnote>
  <w:footnote w:id="61">
    <w:p w:rsidR="00AC0D66" w:rsidRDefault="00AC0D66">
      <w:pPr>
        <w:pStyle w:val="FootnoteText"/>
      </w:pPr>
      <w:r>
        <w:rPr>
          <w:rStyle w:val="FootnoteReference"/>
        </w:rPr>
        <w:footnoteRef/>
      </w:r>
      <w:r>
        <w:t xml:space="preserve"> Ibid.</w:t>
      </w:r>
    </w:p>
  </w:footnote>
  <w:footnote w:id="62">
    <w:p w:rsidR="00AC0D66" w:rsidRDefault="00AC0D66">
      <w:pPr>
        <w:pStyle w:val="FootnoteText"/>
      </w:pPr>
      <w:r>
        <w:rPr>
          <w:rStyle w:val="FootnoteReference"/>
        </w:rPr>
        <w:footnoteRef/>
      </w:r>
      <w:r>
        <w:t xml:space="preserve"> “</w:t>
      </w:r>
      <w:r w:rsidRPr="00203920">
        <w:t>We've been used to g</w:t>
      </w:r>
      <w:r>
        <w:t xml:space="preserve">iving comments that get ignored” -- </w:t>
      </w:r>
      <w:hyperlink r:id="rId52" w:history="1">
        <w:r w:rsidRPr="00203920">
          <w:rPr>
            <w:rStyle w:val="Hyperlink"/>
            <w:color w:val="244061" w:themeColor="accent1" w:themeShade="80"/>
          </w:rPr>
          <w:t>https://community.icann.org/download/attachments/2262849/ALAC-21-06-2009-Transcription-EN-3.pdf?version=1&amp;modificationDate=1283970693000</w:t>
        </w:r>
      </w:hyperlink>
      <w:r w:rsidRPr="00203920">
        <w:rPr>
          <w:color w:val="244061" w:themeColor="accent1" w:themeShade="8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D66" w:rsidRDefault="00AC0D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66FDE"/>
    <w:multiLevelType w:val="hybridMultilevel"/>
    <w:tmpl w:val="87E4D8E2"/>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2F191831"/>
    <w:multiLevelType w:val="hybridMultilevel"/>
    <w:tmpl w:val="FD7E646C"/>
    <w:lvl w:ilvl="0" w:tplc="5342895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0B5651"/>
    <w:multiLevelType w:val="hybridMultilevel"/>
    <w:tmpl w:val="360CDB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9B6BE2"/>
    <w:multiLevelType w:val="hybridMultilevel"/>
    <w:tmpl w:val="28E684A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E5F5EDE"/>
    <w:multiLevelType w:val="hybridMultilevel"/>
    <w:tmpl w:val="46D02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6234F49"/>
    <w:multiLevelType w:val="hybridMultilevel"/>
    <w:tmpl w:val="54F829B2"/>
    <w:lvl w:ilvl="0" w:tplc="5342895C">
      <w:numFmt w:val="bullet"/>
      <w:lvlText w:val=""/>
      <w:lvlJc w:val="left"/>
      <w:pPr>
        <w:ind w:left="1800" w:hanging="360"/>
      </w:pPr>
      <w:rPr>
        <w:rFonts w:ascii="Wingdings" w:eastAsiaTheme="minorHAnsi" w:hAnsi="Wingding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A094F4C"/>
    <w:multiLevelType w:val="hybridMultilevel"/>
    <w:tmpl w:val="DAB63368"/>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5D136103"/>
    <w:multiLevelType w:val="hybridMultilevel"/>
    <w:tmpl w:val="BCA47C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73CF27CA"/>
    <w:multiLevelType w:val="hybridMultilevel"/>
    <w:tmpl w:val="71E60CFA"/>
    <w:lvl w:ilvl="0" w:tplc="5342895C">
      <w:numFmt w:val="bullet"/>
      <w:lvlText w:val=""/>
      <w:lvlJc w:val="left"/>
      <w:pPr>
        <w:ind w:left="1440" w:hanging="360"/>
      </w:pPr>
      <w:rPr>
        <w:rFonts w:ascii="Wingdings" w:eastAsiaTheme="minorHAnsi" w:hAnsi="Wingdings"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8"/>
  </w:num>
  <w:num w:numId="3">
    <w:abstractNumId w:val="0"/>
  </w:num>
  <w:num w:numId="4">
    <w:abstractNumId w:val="7"/>
  </w:num>
  <w:num w:numId="5">
    <w:abstractNumId w:val="6"/>
  </w:num>
  <w:num w:numId="6">
    <w:abstractNumId w:val="4"/>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351"/>
    <w:rsid w:val="000061C3"/>
    <w:rsid w:val="000117CA"/>
    <w:rsid w:val="0002188E"/>
    <w:rsid w:val="000305F1"/>
    <w:rsid w:val="00031299"/>
    <w:rsid w:val="00083A8E"/>
    <w:rsid w:val="000B388E"/>
    <w:rsid w:val="000C28A2"/>
    <w:rsid w:val="000D5D8D"/>
    <w:rsid w:val="000E0B3E"/>
    <w:rsid w:val="001010AB"/>
    <w:rsid w:val="0012172D"/>
    <w:rsid w:val="00161835"/>
    <w:rsid w:val="0016351C"/>
    <w:rsid w:val="00164831"/>
    <w:rsid w:val="00181D7E"/>
    <w:rsid w:val="00181F7C"/>
    <w:rsid w:val="00185949"/>
    <w:rsid w:val="00191FFB"/>
    <w:rsid w:val="00196D2F"/>
    <w:rsid w:val="001B493B"/>
    <w:rsid w:val="001B70FA"/>
    <w:rsid w:val="001C0F7B"/>
    <w:rsid w:val="001E7A8A"/>
    <w:rsid w:val="00203920"/>
    <w:rsid w:val="00211696"/>
    <w:rsid w:val="002238F6"/>
    <w:rsid w:val="00256D02"/>
    <w:rsid w:val="00273E48"/>
    <w:rsid w:val="0027759D"/>
    <w:rsid w:val="00280F3A"/>
    <w:rsid w:val="00281965"/>
    <w:rsid w:val="002A0A70"/>
    <w:rsid w:val="002A1F18"/>
    <w:rsid w:val="002D1D49"/>
    <w:rsid w:val="002D2DFD"/>
    <w:rsid w:val="002D4A1C"/>
    <w:rsid w:val="002D6614"/>
    <w:rsid w:val="002E3692"/>
    <w:rsid w:val="002F3EEB"/>
    <w:rsid w:val="00316982"/>
    <w:rsid w:val="00322632"/>
    <w:rsid w:val="00327311"/>
    <w:rsid w:val="00337EB7"/>
    <w:rsid w:val="003460B1"/>
    <w:rsid w:val="003520F5"/>
    <w:rsid w:val="00353550"/>
    <w:rsid w:val="00354172"/>
    <w:rsid w:val="00363979"/>
    <w:rsid w:val="00387312"/>
    <w:rsid w:val="003C00EA"/>
    <w:rsid w:val="003C63B7"/>
    <w:rsid w:val="003E2913"/>
    <w:rsid w:val="003E6ED4"/>
    <w:rsid w:val="003F49CD"/>
    <w:rsid w:val="0045145A"/>
    <w:rsid w:val="00455BA0"/>
    <w:rsid w:val="004801A8"/>
    <w:rsid w:val="00487B21"/>
    <w:rsid w:val="004943CB"/>
    <w:rsid w:val="004963AD"/>
    <w:rsid w:val="004A2E56"/>
    <w:rsid w:val="004A4E51"/>
    <w:rsid w:val="004B31BB"/>
    <w:rsid w:val="004C08AE"/>
    <w:rsid w:val="004C5C5F"/>
    <w:rsid w:val="004E255C"/>
    <w:rsid w:val="004F0D5E"/>
    <w:rsid w:val="00514F3C"/>
    <w:rsid w:val="005268E0"/>
    <w:rsid w:val="005472CC"/>
    <w:rsid w:val="00551D41"/>
    <w:rsid w:val="005579C7"/>
    <w:rsid w:val="00561744"/>
    <w:rsid w:val="00562E52"/>
    <w:rsid w:val="00592CCE"/>
    <w:rsid w:val="005A1ABF"/>
    <w:rsid w:val="005A7977"/>
    <w:rsid w:val="005B4D94"/>
    <w:rsid w:val="006136CA"/>
    <w:rsid w:val="0061422E"/>
    <w:rsid w:val="00627C69"/>
    <w:rsid w:val="00681062"/>
    <w:rsid w:val="00681CD0"/>
    <w:rsid w:val="0069082C"/>
    <w:rsid w:val="00690C4E"/>
    <w:rsid w:val="006A5170"/>
    <w:rsid w:val="006B2050"/>
    <w:rsid w:val="006B2DAA"/>
    <w:rsid w:val="006D25B8"/>
    <w:rsid w:val="006D4255"/>
    <w:rsid w:val="006D7F95"/>
    <w:rsid w:val="006F0B51"/>
    <w:rsid w:val="007006E3"/>
    <w:rsid w:val="00716145"/>
    <w:rsid w:val="0072170E"/>
    <w:rsid w:val="00721CDD"/>
    <w:rsid w:val="00725483"/>
    <w:rsid w:val="00730AC6"/>
    <w:rsid w:val="00733327"/>
    <w:rsid w:val="007816FB"/>
    <w:rsid w:val="007830E2"/>
    <w:rsid w:val="00791B61"/>
    <w:rsid w:val="007950E3"/>
    <w:rsid w:val="007B38ED"/>
    <w:rsid w:val="007B573E"/>
    <w:rsid w:val="007C25D5"/>
    <w:rsid w:val="007F27F0"/>
    <w:rsid w:val="007F5D81"/>
    <w:rsid w:val="007F7F27"/>
    <w:rsid w:val="008418EF"/>
    <w:rsid w:val="008465D6"/>
    <w:rsid w:val="00856351"/>
    <w:rsid w:val="00860004"/>
    <w:rsid w:val="00861E3D"/>
    <w:rsid w:val="00876EF7"/>
    <w:rsid w:val="00886BB0"/>
    <w:rsid w:val="00890FB5"/>
    <w:rsid w:val="008B4F03"/>
    <w:rsid w:val="008B6DDB"/>
    <w:rsid w:val="008D5302"/>
    <w:rsid w:val="008F5923"/>
    <w:rsid w:val="008F5A49"/>
    <w:rsid w:val="00902823"/>
    <w:rsid w:val="009051B2"/>
    <w:rsid w:val="009243FA"/>
    <w:rsid w:val="009433F6"/>
    <w:rsid w:val="00945247"/>
    <w:rsid w:val="00945D4E"/>
    <w:rsid w:val="00963E6B"/>
    <w:rsid w:val="00970CDB"/>
    <w:rsid w:val="009803B1"/>
    <w:rsid w:val="00985834"/>
    <w:rsid w:val="009C3090"/>
    <w:rsid w:val="009E25A6"/>
    <w:rsid w:val="009E6DDE"/>
    <w:rsid w:val="00A072BB"/>
    <w:rsid w:val="00A1544E"/>
    <w:rsid w:val="00A313CA"/>
    <w:rsid w:val="00A35E12"/>
    <w:rsid w:val="00A7759C"/>
    <w:rsid w:val="00A805DE"/>
    <w:rsid w:val="00A8384E"/>
    <w:rsid w:val="00AA2F84"/>
    <w:rsid w:val="00AB405C"/>
    <w:rsid w:val="00AB4298"/>
    <w:rsid w:val="00AB7E47"/>
    <w:rsid w:val="00AC0D66"/>
    <w:rsid w:val="00AD5AB6"/>
    <w:rsid w:val="00AE284D"/>
    <w:rsid w:val="00AE756D"/>
    <w:rsid w:val="00B011EE"/>
    <w:rsid w:val="00B077C9"/>
    <w:rsid w:val="00B12277"/>
    <w:rsid w:val="00B15C75"/>
    <w:rsid w:val="00B1736E"/>
    <w:rsid w:val="00B21B65"/>
    <w:rsid w:val="00B30468"/>
    <w:rsid w:val="00B4627E"/>
    <w:rsid w:val="00B53F91"/>
    <w:rsid w:val="00B73CAB"/>
    <w:rsid w:val="00B741F5"/>
    <w:rsid w:val="00B74217"/>
    <w:rsid w:val="00BC0CE0"/>
    <w:rsid w:val="00BD065C"/>
    <w:rsid w:val="00BE567B"/>
    <w:rsid w:val="00BF3BFE"/>
    <w:rsid w:val="00C21E95"/>
    <w:rsid w:val="00C25F8A"/>
    <w:rsid w:val="00C321EB"/>
    <w:rsid w:val="00C54EE1"/>
    <w:rsid w:val="00C64E36"/>
    <w:rsid w:val="00C86A32"/>
    <w:rsid w:val="00C9514D"/>
    <w:rsid w:val="00CB78C6"/>
    <w:rsid w:val="00CC1BD8"/>
    <w:rsid w:val="00CD3FF1"/>
    <w:rsid w:val="00CD7A6A"/>
    <w:rsid w:val="00CE1767"/>
    <w:rsid w:val="00CF7B69"/>
    <w:rsid w:val="00D03BD5"/>
    <w:rsid w:val="00D131E9"/>
    <w:rsid w:val="00D25E25"/>
    <w:rsid w:val="00D32494"/>
    <w:rsid w:val="00D365AE"/>
    <w:rsid w:val="00D40EE8"/>
    <w:rsid w:val="00D518A8"/>
    <w:rsid w:val="00D65121"/>
    <w:rsid w:val="00D731B7"/>
    <w:rsid w:val="00D746AE"/>
    <w:rsid w:val="00D76D37"/>
    <w:rsid w:val="00D81523"/>
    <w:rsid w:val="00D823B2"/>
    <w:rsid w:val="00D8755E"/>
    <w:rsid w:val="00DC3D65"/>
    <w:rsid w:val="00DD5BC5"/>
    <w:rsid w:val="00DF42D1"/>
    <w:rsid w:val="00DF5BCE"/>
    <w:rsid w:val="00E02902"/>
    <w:rsid w:val="00E528E4"/>
    <w:rsid w:val="00E67599"/>
    <w:rsid w:val="00E74B8E"/>
    <w:rsid w:val="00E81A3F"/>
    <w:rsid w:val="00E84DE2"/>
    <w:rsid w:val="00E86608"/>
    <w:rsid w:val="00EB55C0"/>
    <w:rsid w:val="00ED04BF"/>
    <w:rsid w:val="00ED39AD"/>
    <w:rsid w:val="00ED48CC"/>
    <w:rsid w:val="00EE291A"/>
    <w:rsid w:val="00EE5707"/>
    <w:rsid w:val="00EF2769"/>
    <w:rsid w:val="00F36937"/>
    <w:rsid w:val="00F4394B"/>
    <w:rsid w:val="00F44C3A"/>
    <w:rsid w:val="00F458D5"/>
    <w:rsid w:val="00F55804"/>
    <w:rsid w:val="00F61A2E"/>
    <w:rsid w:val="00F642B2"/>
    <w:rsid w:val="00F6566A"/>
    <w:rsid w:val="00F71C0E"/>
    <w:rsid w:val="00F7482F"/>
    <w:rsid w:val="00F828D7"/>
    <w:rsid w:val="00F85D45"/>
    <w:rsid w:val="00F9714D"/>
    <w:rsid w:val="00FA501E"/>
    <w:rsid w:val="00FA5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550"/>
  </w:style>
  <w:style w:type="paragraph" w:styleId="Heading1">
    <w:name w:val="heading 1"/>
    <w:basedOn w:val="Normal"/>
    <w:next w:val="Normal"/>
    <w:link w:val="Heading1Char"/>
    <w:uiPriority w:val="9"/>
    <w:qFormat/>
    <w:rsid w:val="00B122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91B6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63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351"/>
    <w:rPr>
      <w:rFonts w:ascii="Tahoma" w:hAnsi="Tahoma" w:cs="Tahoma"/>
      <w:sz w:val="16"/>
      <w:szCs w:val="16"/>
    </w:rPr>
  </w:style>
  <w:style w:type="paragraph" w:styleId="Header">
    <w:name w:val="header"/>
    <w:basedOn w:val="Normal"/>
    <w:link w:val="HeaderChar"/>
    <w:uiPriority w:val="99"/>
    <w:unhideWhenUsed/>
    <w:rsid w:val="00F369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937"/>
  </w:style>
  <w:style w:type="paragraph" w:styleId="Footer">
    <w:name w:val="footer"/>
    <w:basedOn w:val="Normal"/>
    <w:link w:val="FooterChar"/>
    <w:uiPriority w:val="99"/>
    <w:unhideWhenUsed/>
    <w:rsid w:val="00F369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937"/>
  </w:style>
  <w:style w:type="paragraph" w:styleId="ListParagraph">
    <w:name w:val="List Paragraph"/>
    <w:basedOn w:val="Normal"/>
    <w:uiPriority w:val="34"/>
    <w:qFormat/>
    <w:rsid w:val="00D32494"/>
    <w:pPr>
      <w:ind w:left="720"/>
      <w:contextualSpacing/>
    </w:pPr>
  </w:style>
  <w:style w:type="character" w:customStyle="1" w:styleId="Heading1Char">
    <w:name w:val="Heading 1 Char"/>
    <w:basedOn w:val="DefaultParagraphFont"/>
    <w:link w:val="Heading1"/>
    <w:uiPriority w:val="9"/>
    <w:rsid w:val="00B12277"/>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7F5D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5D81"/>
    <w:rPr>
      <w:sz w:val="20"/>
      <w:szCs w:val="20"/>
    </w:rPr>
  </w:style>
  <w:style w:type="character" w:styleId="FootnoteReference">
    <w:name w:val="footnote reference"/>
    <w:basedOn w:val="DefaultParagraphFont"/>
    <w:uiPriority w:val="99"/>
    <w:semiHidden/>
    <w:unhideWhenUsed/>
    <w:rsid w:val="007F5D81"/>
    <w:rPr>
      <w:vertAlign w:val="superscript"/>
    </w:rPr>
  </w:style>
  <w:style w:type="character" w:styleId="Hyperlink">
    <w:name w:val="Hyperlink"/>
    <w:basedOn w:val="DefaultParagraphFont"/>
    <w:uiPriority w:val="99"/>
    <w:unhideWhenUsed/>
    <w:rsid w:val="00791B61"/>
    <w:rPr>
      <w:color w:val="0000FF" w:themeColor="hyperlink"/>
      <w:u w:val="single"/>
    </w:rPr>
  </w:style>
  <w:style w:type="character" w:customStyle="1" w:styleId="Heading2Char">
    <w:name w:val="Heading 2 Char"/>
    <w:basedOn w:val="DefaultParagraphFont"/>
    <w:link w:val="Heading2"/>
    <w:uiPriority w:val="9"/>
    <w:rsid w:val="00791B61"/>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AE75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550"/>
  </w:style>
  <w:style w:type="paragraph" w:styleId="Heading1">
    <w:name w:val="heading 1"/>
    <w:basedOn w:val="Normal"/>
    <w:next w:val="Normal"/>
    <w:link w:val="Heading1Char"/>
    <w:uiPriority w:val="9"/>
    <w:qFormat/>
    <w:rsid w:val="00B122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91B6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63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351"/>
    <w:rPr>
      <w:rFonts w:ascii="Tahoma" w:hAnsi="Tahoma" w:cs="Tahoma"/>
      <w:sz w:val="16"/>
      <w:szCs w:val="16"/>
    </w:rPr>
  </w:style>
  <w:style w:type="paragraph" w:styleId="Header">
    <w:name w:val="header"/>
    <w:basedOn w:val="Normal"/>
    <w:link w:val="HeaderChar"/>
    <w:uiPriority w:val="99"/>
    <w:unhideWhenUsed/>
    <w:rsid w:val="00F369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937"/>
  </w:style>
  <w:style w:type="paragraph" w:styleId="Footer">
    <w:name w:val="footer"/>
    <w:basedOn w:val="Normal"/>
    <w:link w:val="FooterChar"/>
    <w:uiPriority w:val="99"/>
    <w:unhideWhenUsed/>
    <w:rsid w:val="00F369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937"/>
  </w:style>
  <w:style w:type="paragraph" w:styleId="ListParagraph">
    <w:name w:val="List Paragraph"/>
    <w:basedOn w:val="Normal"/>
    <w:uiPriority w:val="34"/>
    <w:qFormat/>
    <w:rsid w:val="00D32494"/>
    <w:pPr>
      <w:ind w:left="720"/>
      <w:contextualSpacing/>
    </w:pPr>
  </w:style>
  <w:style w:type="character" w:customStyle="1" w:styleId="Heading1Char">
    <w:name w:val="Heading 1 Char"/>
    <w:basedOn w:val="DefaultParagraphFont"/>
    <w:link w:val="Heading1"/>
    <w:uiPriority w:val="9"/>
    <w:rsid w:val="00B12277"/>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7F5D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5D81"/>
    <w:rPr>
      <w:sz w:val="20"/>
      <w:szCs w:val="20"/>
    </w:rPr>
  </w:style>
  <w:style w:type="character" w:styleId="FootnoteReference">
    <w:name w:val="footnote reference"/>
    <w:basedOn w:val="DefaultParagraphFont"/>
    <w:uiPriority w:val="99"/>
    <w:semiHidden/>
    <w:unhideWhenUsed/>
    <w:rsid w:val="007F5D81"/>
    <w:rPr>
      <w:vertAlign w:val="superscript"/>
    </w:rPr>
  </w:style>
  <w:style w:type="character" w:styleId="Hyperlink">
    <w:name w:val="Hyperlink"/>
    <w:basedOn w:val="DefaultParagraphFont"/>
    <w:uiPriority w:val="99"/>
    <w:unhideWhenUsed/>
    <w:rsid w:val="00791B61"/>
    <w:rPr>
      <w:color w:val="0000FF" w:themeColor="hyperlink"/>
      <w:u w:val="single"/>
    </w:rPr>
  </w:style>
  <w:style w:type="character" w:customStyle="1" w:styleId="Heading2Char">
    <w:name w:val="Heading 2 Char"/>
    <w:basedOn w:val="DefaultParagraphFont"/>
    <w:link w:val="Heading2"/>
    <w:uiPriority w:val="9"/>
    <w:rsid w:val="00791B61"/>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AE75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styles" Target="styles.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3" Type="http://schemas.openxmlformats.org/officeDocument/2006/relationships/hyperlink" Target="http://www.icann.org/en/policy/briefs/domain-name-monetization-jun08-en.pdf" TargetMode="External"/><Relationship Id="rId18" Type="http://schemas.openxmlformats.org/officeDocument/2006/relationships/hyperlink" Target="http://en.wikipedia.org/wiki/Domain_tasting" TargetMode="External"/><Relationship Id="rId26" Type="http://schemas.openxmlformats.org/officeDocument/2006/relationships/hyperlink" Target="http://www.icann.org/en/tlds/new-gtld-eval-31aug04.pdf" TargetMode="External"/><Relationship Id="rId39" Type="http://schemas.openxmlformats.org/officeDocument/2006/relationships/hyperlink" Target="http://www.icann.org/en/tlds/new-gtld-eval-31aug04.pdf" TargetMode="External"/><Relationship Id="rId3" Type="http://schemas.openxmlformats.org/officeDocument/2006/relationships/hyperlink" Target="http://www.ftc.gov/bcp/edu/pubs/consumer/alerts/alt084.shtm" TargetMode="External"/><Relationship Id="rId21" Type="http://schemas.openxmlformats.org/officeDocument/2006/relationships/hyperlink" Target="http://www.icann.org/en/tlds/new-gtld-eval-31aug04.pdf" TargetMode="External"/><Relationship Id="rId34" Type="http://schemas.openxmlformats.org/officeDocument/2006/relationships/hyperlink" Target="http://www.internetnews.me/2011/06/12/some-considerations-for-new-tld-operators-from-a-registrar-perspective/" TargetMode="External"/><Relationship Id="rId42" Type="http://schemas.openxmlformats.org/officeDocument/2006/relationships/hyperlink" Target="http://www.icann.org/en/general/bylaws.htm" TargetMode="External"/><Relationship Id="rId47" Type="http://schemas.openxmlformats.org/officeDocument/2006/relationships/hyperlink" Target="http://www.icann.org/en/committees/at-large/final-report-05nov01.htm" TargetMode="External"/><Relationship Id="rId50" Type="http://schemas.openxmlformats.org/officeDocument/2006/relationships/hyperlink" Target="http://www.icann.org/en/general/lynn-reform-proposal-24feb02.htm" TargetMode="External"/><Relationship Id="rId7" Type="http://schemas.openxmlformats.org/officeDocument/2006/relationships/hyperlink" Target="http://www.quintaris.com/blog/news-release-stake-your-claim/" TargetMode="External"/><Relationship Id="rId12" Type="http://schemas.openxmlformats.org/officeDocument/2006/relationships/hyperlink" Target="http://www.icann.org/en/minutes/board-briefing-materials-2-05aug10-en.pdf" TargetMode="External"/><Relationship Id="rId17" Type="http://schemas.openxmlformats.org/officeDocument/2006/relationships/hyperlink" Target="http://www.icann.org/en/announcements/announcement-12aug09-en.htm" TargetMode="External"/><Relationship Id="rId25" Type="http://schemas.openxmlformats.org/officeDocument/2006/relationships/hyperlink" Target="http://www.icann.org/en/topics/new-gtlds/trademark-protections-evidence-use-07jun11-en.pdf" TargetMode="External"/><Relationship Id="rId33" Type="http://schemas.openxmlformats.org/officeDocument/2006/relationships/hyperlink" Target="http://www.icann.org/en/topics/new-gtlds/registry-transition-processes-clean-30may11-en.pdf" TargetMode="External"/><Relationship Id="rId38" Type="http://schemas.openxmlformats.org/officeDocument/2006/relationships/hyperlink" Target="http://www.icann.org/en/tlds/new-gtld-eval-31aug04.pdf" TargetMode="External"/><Relationship Id="rId46" Type="http://schemas.openxmlformats.org/officeDocument/2006/relationships/hyperlink" Target="http://www.icann.org/en/financials/so-ac-sg-requests-summary-fy12-en.pdf" TargetMode="External"/><Relationship Id="rId2" Type="http://schemas.openxmlformats.org/officeDocument/2006/relationships/hyperlink" Target="http://www.icann.org/en/factsheets/analysis-turnover-22jun11-en.pdf" TargetMode="External"/><Relationship Id="rId16" Type="http://schemas.openxmlformats.org/officeDocument/2006/relationships/hyperlink" Target="http://www.bakerlaw.com/files/Uploads/Documents/News/Articles/INTELLECTUAL%20PROPERTY/2011/IPO_Comments_Einhorn-3-2011.pdf" TargetMode="External"/><Relationship Id="rId20" Type="http://schemas.openxmlformats.org/officeDocument/2006/relationships/hyperlink" Target="http://www.domainnamenews.com/featured/domain-registrar-network-solutions-front-running-on-whois-searches/1359" TargetMode="External"/><Relationship Id="rId29" Type="http://schemas.openxmlformats.org/officeDocument/2006/relationships/hyperlink" Target="http://thenextweb.com/asia/2011/03/24/india-to-block-xxx-top-level-domain/" TargetMode="External"/><Relationship Id="rId41" Type="http://schemas.openxmlformats.org/officeDocument/2006/relationships/hyperlink" Target="http://www.icann.org/en/reviews/alac/final-tor-20jun07.pdf" TargetMode="External"/><Relationship Id="rId1" Type="http://schemas.openxmlformats.org/officeDocument/2006/relationships/hyperlink" Target="http://www.icann.org/en/tlds/new-gtld-eval-31aug04.pdf" TargetMode="External"/><Relationship Id="rId6" Type="http://schemas.openxmlformats.org/officeDocument/2006/relationships/hyperlink" Target="https://www.uniteddomains.com/ntld/pre-register-new-domains" TargetMode="External"/><Relationship Id="rId11" Type="http://schemas.openxmlformats.org/officeDocument/2006/relationships/hyperlink" Target="http://en.wikipedia.org/wiki/RegisterFly" TargetMode="External"/><Relationship Id="rId24" Type="http://schemas.openxmlformats.org/officeDocument/2006/relationships/hyperlink" Target="http://www.icann.org/en/registrars/accredited-list.html" TargetMode="External"/><Relationship Id="rId32" Type="http://schemas.openxmlformats.org/officeDocument/2006/relationships/hyperlink" Target="http://www.icann.org/en/correspondence/strickling-to-dengate-thrush-16jun11-en.pdf" TargetMode="External"/><Relationship Id="rId37" Type="http://schemas.openxmlformats.org/officeDocument/2006/relationships/hyperlink" Target="http://www.wipo.int/amc/en/docs/icann021210.pdf" TargetMode="External"/><Relationship Id="rId40" Type="http://schemas.openxmlformats.org/officeDocument/2006/relationships/hyperlink" Target="http://www.icann.org/en/correspondence/pritz-to-goodlatte-07jun11-en.pdf" TargetMode="External"/><Relationship Id="rId45" Type="http://schemas.openxmlformats.org/officeDocument/2006/relationships/hyperlink" Target="https://community.icann.org/display/Improve/At-Large+Improvements+Work+Team+B" TargetMode="External"/><Relationship Id="rId5" Type="http://schemas.openxmlformats.org/officeDocument/2006/relationships/hyperlink" Target="http://www.icann.org/en/announcements/icann-pr29sep00.htm" TargetMode="External"/><Relationship Id="rId15" Type="http://schemas.openxmlformats.org/officeDocument/2006/relationships/hyperlink" Target="http://www.icann.org/en/committees/security/sac040.pdf" TargetMode="External"/><Relationship Id="rId23" Type="http://schemas.openxmlformats.org/officeDocument/2006/relationships/hyperlink" Target="http://www.icann.org/en/tlds/new-gtld-eval-31aug04.pdf" TargetMode="External"/><Relationship Id="rId28" Type="http://schemas.openxmlformats.org/officeDocument/2006/relationships/hyperlink" Target="http://www.icann.org/en/correspondence/raad-to-dengate-thrush-09sep09-en.pdf" TargetMode="External"/><Relationship Id="rId36" Type="http://schemas.openxmlformats.org/officeDocument/2006/relationships/hyperlink" Target="http://brussels38.icann.org/meetings/brussels2010/transcript-proposed-raa-amendments-21jun10-en.txt" TargetMode="External"/><Relationship Id="rId49" Type="http://schemas.openxmlformats.org/officeDocument/2006/relationships/hyperlink" Target="http://www.icann.org/en/financials/proposed-opplan-budget-v1-fy12-17may11-en.pdf" TargetMode="External"/><Relationship Id="rId10" Type="http://schemas.openxmlformats.org/officeDocument/2006/relationships/hyperlink" Target="http://blog.ericgoldman.org/archives/2009/01/onlinenic_loses.htm" TargetMode="External"/><Relationship Id="rId19" Type="http://schemas.openxmlformats.org/officeDocument/2006/relationships/hyperlink" Target="http://www.icann.org/en/registrars/ra-agreement-21may09-en.htm" TargetMode="External"/><Relationship Id="rId31" Type="http://schemas.openxmlformats.org/officeDocument/2006/relationships/hyperlink" Target="http://www.icann.org/en/correspondence/eu-to-icann-17jun11-en.pdf" TargetMode="External"/><Relationship Id="rId44" Type="http://schemas.openxmlformats.org/officeDocument/2006/relationships/hyperlink" Target="http://www.icann.org/en/correspondence/lynn-testimony-12jun02.htm" TargetMode="External"/><Relationship Id="rId52" Type="http://schemas.openxmlformats.org/officeDocument/2006/relationships/hyperlink" Target="https://community.icann.org/download/attachments/2262849/ALAC-21-06-2009-Transcription-EN-3.pdf?version=1&amp;modificationDate=1283970693000" TargetMode="External"/><Relationship Id="rId4" Type="http://schemas.openxmlformats.org/officeDocument/2006/relationships/hyperlink" Target="http://www.icann.org/en/announcements/advisory-03nov00.htm" TargetMode="External"/><Relationship Id="rId9" Type="http://schemas.openxmlformats.org/officeDocument/2006/relationships/hyperlink" Target="http://domainincite.com/new-gtlds-will-cost-155-billion-honest/" TargetMode="External"/><Relationship Id="rId14" Type="http://schemas.openxmlformats.org/officeDocument/2006/relationships/hyperlink" Target="http://www.middlesmithfieldpennsylvania.travel" TargetMode="External"/><Relationship Id="rId22" Type="http://schemas.openxmlformats.org/officeDocument/2006/relationships/hyperlink" Target="http://www.icann.org/en/topics/new-gtlds/perfect-sunrise-jun08-en.pdf" TargetMode="External"/><Relationship Id="rId27" Type="http://schemas.openxmlformats.org/officeDocument/2006/relationships/hyperlink" Target="http://blog.icann.org/2007/04/faqs-for-registerfly-customers/" TargetMode="External"/><Relationship Id="rId30" Type="http://schemas.openxmlformats.org/officeDocument/2006/relationships/hyperlink" Target="http://www.icann.org/en/correspondence/burnette-to-johnson-fassett-27feb11-en.pdf" TargetMode="External"/><Relationship Id="rId35" Type="http://schemas.openxmlformats.org/officeDocument/2006/relationships/hyperlink" Target="http://pittsburghpennsylvania.travel" TargetMode="External"/><Relationship Id="rId43" Type="http://schemas.openxmlformats.org/officeDocument/2006/relationships/hyperlink" Target="http://forum.icann.org/lists/alac-mid-consult/msg00003.html" TargetMode="External"/><Relationship Id="rId48" Type="http://schemas.openxmlformats.org/officeDocument/2006/relationships/hyperlink" Target="https://community.icann.org/display/Improve/At-Large+Improvements+Recommendations" TargetMode="External"/><Relationship Id="rId8" Type="http://schemas.openxmlformats.org/officeDocument/2006/relationships/hyperlink" Target="http://www.cadna.org/en/newsroom/press-releases/icanns-gtld-launch-costs-businesses" TargetMode="External"/><Relationship Id="rId51" Type="http://schemas.openxmlformats.org/officeDocument/2006/relationships/hyperlink" Target="http://singapore41.icann.org/meetings/singapore2011/transcripts-board-meeting-1-24jun11-en.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5CFA9-2529-4FEC-B89B-A62920AF2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29</Pages>
  <Words>6880</Words>
  <Characters>39219</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Younger</dc:creator>
  <cp:keywords/>
  <dc:description/>
  <cp:lastModifiedBy>Danny Younger</cp:lastModifiedBy>
  <cp:revision>90</cp:revision>
  <dcterms:created xsi:type="dcterms:W3CDTF">2011-06-25T16:36:00Z</dcterms:created>
  <dcterms:modified xsi:type="dcterms:W3CDTF">2011-06-27T18:10:00Z</dcterms:modified>
</cp:coreProperties>
</file>