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08F8"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3522DD3F" w14:textId="17C61174"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7F6C04" w:rsidRPr="007F6C04">
        <w:rPr>
          <w:rFonts w:asciiTheme="minorHAnsi" w:hAnsiTheme="minorHAnsi"/>
          <w:sz w:val="22"/>
        </w:rPr>
        <w:t>3</w:t>
      </w:r>
      <w:r w:rsidR="00A43FE8">
        <w:rPr>
          <w:rFonts w:asciiTheme="minorHAnsi" w:hAnsiTheme="minorHAnsi"/>
          <w:sz w:val="22"/>
        </w:rPr>
        <w:t>1</w:t>
      </w:r>
      <w:r w:rsidR="001A0130" w:rsidRPr="007F6C04">
        <w:rPr>
          <w:rFonts w:asciiTheme="minorHAnsi" w:hAnsiTheme="minorHAnsi"/>
          <w:sz w:val="22"/>
        </w:rPr>
        <w:t xml:space="preserve"> </w:t>
      </w:r>
      <w:r w:rsidR="00B65811" w:rsidRPr="007F6C04">
        <w:rPr>
          <w:rFonts w:asciiTheme="minorHAnsi" w:hAnsiTheme="minorHAnsi"/>
          <w:sz w:val="22"/>
        </w:rPr>
        <w:t>December</w:t>
      </w:r>
      <w:r w:rsidR="00E3563F" w:rsidRPr="007F6C04">
        <w:rPr>
          <w:rFonts w:asciiTheme="minorHAnsi" w:hAnsiTheme="minorHAnsi"/>
          <w:sz w:val="22"/>
        </w:rPr>
        <w:t xml:space="preserve"> 201</w:t>
      </w:r>
      <w:r w:rsidR="00B65811" w:rsidRPr="007F6C04">
        <w:rPr>
          <w:rFonts w:asciiTheme="minorHAnsi" w:hAnsiTheme="minorHAnsi"/>
          <w:sz w:val="22"/>
        </w:rPr>
        <w:t>8</w:t>
      </w:r>
    </w:p>
    <w:p w14:paraId="158E9AD9" w14:textId="614FBEFE"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A43FE8">
        <w:rPr>
          <w:rFonts w:asciiTheme="minorHAnsi" w:hAnsiTheme="minorHAnsi"/>
          <w:color w:val="FFFFFF" w:themeColor="background1"/>
        </w:rPr>
        <w:t>7</w:t>
      </w:r>
      <w:r w:rsidR="00365CFC">
        <w:rPr>
          <w:rFonts w:asciiTheme="minorHAnsi" w:hAnsiTheme="minorHAnsi"/>
          <w:color w:val="FFFFFF" w:themeColor="background1"/>
        </w:rPr>
        <w:t xml:space="preserve"> – </w:t>
      </w:r>
      <w:r w:rsidR="00A43FE8" w:rsidRPr="00A43FE8">
        <w:rPr>
          <w:rFonts w:asciiTheme="minorHAnsi" w:hAnsiTheme="minorHAnsi"/>
          <w:color w:val="FFFFFF" w:themeColor="background1"/>
        </w:rPr>
        <w:t>Transmission of Data to ICANN Compliance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7020"/>
        <w:gridCol w:w="1035"/>
        <w:gridCol w:w="2700"/>
        <w:gridCol w:w="3960"/>
      </w:tblGrid>
      <w:tr w:rsidR="00175AB9" w:rsidRPr="002860E2" w14:paraId="07362451" w14:textId="77777777" w:rsidTr="002657F2">
        <w:trPr>
          <w:tblHeader/>
        </w:trPr>
        <w:tc>
          <w:tcPr>
            <w:tcW w:w="675" w:type="dxa"/>
            <w:tcBorders>
              <w:bottom w:val="single" w:sz="4" w:space="0" w:color="000000"/>
            </w:tcBorders>
            <w:shd w:val="clear" w:color="auto" w:fill="1768B1"/>
          </w:tcPr>
          <w:p w14:paraId="1AD72BF5"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gridSpan w:val="2"/>
            <w:tcBorders>
              <w:bottom w:val="single" w:sz="4" w:space="0" w:color="000000"/>
            </w:tcBorders>
            <w:shd w:val="clear" w:color="auto" w:fill="1768B1"/>
          </w:tcPr>
          <w:p w14:paraId="4BBE2787"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8FF317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11AAB9A"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42D577B6" w14:textId="77777777" w:rsidTr="0026332C">
        <w:tc>
          <w:tcPr>
            <w:tcW w:w="15390" w:type="dxa"/>
            <w:gridSpan w:val="5"/>
            <w:tcBorders>
              <w:bottom w:val="single" w:sz="4" w:space="0" w:color="000000"/>
            </w:tcBorders>
            <w:shd w:val="clear" w:color="auto" w:fill="D9D9D9" w:themeFill="background1" w:themeFillShade="D9"/>
          </w:tcPr>
          <w:p w14:paraId="114636F3" w14:textId="77777777" w:rsidR="00A43FE8" w:rsidRPr="00A43FE8" w:rsidRDefault="00A43FE8" w:rsidP="00A43FE8">
            <w:pPr>
              <w:pStyle w:val="ListParagraph"/>
              <w:numPr>
                <w:ilvl w:val="0"/>
                <w:numId w:val="46"/>
              </w:numPr>
              <w:contextualSpacing/>
              <w:rPr>
                <w:rFonts w:asciiTheme="minorHAnsi" w:hAnsiTheme="minorHAnsi"/>
                <w:noProof/>
                <w:sz w:val="20"/>
                <w:szCs w:val="20"/>
              </w:rPr>
            </w:pPr>
            <w:r w:rsidRPr="00A43FE8">
              <w:rPr>
                <w:rFonts w:asciiTheme="minorHAnsi" w:hAnsiTheme="minorHAnsi"/>
                <w:noProof/>
                <w:sz w:val="20"/>
                <w:szCs w:val="20"/>
              </w:rPr>
              <w:t>The EPDP Team recommends that updates are made to the contractual requirements for registries and registrars to transfer to ICANN Compliance the domain name registration data that they process when required/requested, consistent with the data elements workbook that analyzes the purpose to handle contractual compliance monitoring requests, audits, and complaints submitted by Registry Operators, Registrars, Registered Name Holders, and other Internet users (see Annex D, Workbook 5).</w:t>
            </w:r>
          </w:p>
          <w:p w14:paraId="31600B39" w14:textId="77777777" w:rsidR="004F47AB" w:rsidRPr="00A43FE8" w:rsidRDefault="00A43FE8" w:rsidP="00A43FE8">
            <w:pPr>
              <w:pStyle w:val="ListParagraph"/>
              <w:numPr>
                <w:ilvl w:val="0"/>
                <w:numId w:val="46"/>
              </w:numPr>
              <w:contextualSpacing/>
              <w:rPr>
                <w:rFonts w:asciiTheme="minorHAnsi" w:hAnsiTheme="minorHAnsi"/>
                <w:b/>
              </w:rPr>
            </w:pPr>
            <w:r w:rsidRPr="00A43FE8">
              <w:rPr>
                <w:rFonts w:asciiTheme="minorHAnsi" w:hAnsiTheme="minorHAnsi"/>
                <w:noProof/>
                <w:sz w:val="20"/>
                <w:szCs w:val="20"/>
              </w:rPr>
              <w:t xml:space="preserve">The data elements workbook that analyzes the purpose to handle contractual compliance monitoring requests, audits, and complaints submitted by Registry Operators, Registrars, Registered Name Holders, and other Internet users contains the specifically­identified data elements the EPDP Team recommends be transferred from registries and </w:t>
            </w:r>
            <w:r>
              <w:rPr>
                <w:rFonts w:asciiTheme="minorHAnsi" w:hAnsiTheme="minorHAnsi"/>
                <w:noProof/>
                <w:sz w:val="20"/>
                <w:szCs w:val="20"/>
              </w:rPr>
              <w:t>r</w:t>
            </w:r>
            <w:r w:rsidRPr="00A43FE8">
              <w:rPr>
                <w:rFonts w:asciiTheme="minorHAnsi" w:hAnsiTheme="minorHAnsi"/>
                <w:noProof/>
                <w:sz w:val="20"/>
                <w:szCs w:val="20"/>
              </w:rPr>
              <w:t>egistrars to ICANN Compliance (see Annex D, Workbook 5).</w:t>
            </w:r>
          </w:p>
          <w:p w14:paraId="77593EF7" w14:textId="4BAE57A1" w:rsidR="00A43FE8" w:rsidRDefault="00A43FE8" w:rsidP="00A43FE8">
            <w:pPr>
              <w:contextualSpacing/>
              <w:rPr>
                <w:rFonts w:asciiTheme="minorHAnsi" w:hAnsiTheme="minorHAnsi"/>
                <w:b/>
              </w:rPr>
            </w:pPr>
          </w:p>
          <w:p w14:paraId="3946D15E" w14:textId="2B445325" w:rsidR="006A592A" w:rsidRDefault="0077580B" w:rsidP="00A43FE8">
            <w:pPr>
              <w:contextualSpacing/>
              <w:rPr>
                <w:rFonts w:asciiTheme="minorHAnsi" w:hAnsiTheme="minorHAnsi"/>
                <w:b/>
              </w:rPr>
            </w:pPr>
            <w:r>
              <w:rPr>
                <w:rFonts w:asciiTheme="minorHAnsi" w:hAnsiTheme="minorHAnsi"/>
                <w:b/>
                <w:noProof/>
              </w:rPr>
              <mc:AlternateContent>
                <mc:Choice Requires="wps">
                  <w:drawing>
                    <wp:anchor distT="0" distB="0" distL="114300" distR="114300" simplePos="0" relativeHeight="251656704" behindDoc="0" locked="0" layoutInCell="1" allowOverlap="1" wp14:anchorId="3CC1E37E" wp14:editId="7DB15160">
                      <wp:simplePos x="0" y="0"/>
                      <wp:positionH relativeFrom="column">
                        <wp:posOffset>403860</wp:posOffset>
                      </wp:positionH>
                      <wp:positionV relativeFrom="paragraph">
                        <wp:posOffset>184785</wp:posOffset>
                      </wp:positionV>
                      <wp:extent cx="4320540" cy="41148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320540" cy="411480"/>
                              </a:xfrm>
                              <a:prstGeom prst="rect">
                                <a:avLst/>
                              </a:prstGeom>
                              <a:noFill/>
                              <a:ln w="6350">
                                <a:noFill/>
                              </a:ln>
                            </wps:spPr>
                            <wps:txbx>
                              <w:txbxContent>
                                <w:p w14:paraId="53CB3C6D" w14:textId="0C4A91F0" w:rsidR="0077580B" w:rsidRPr="0077580B" w:rsidRDefault="0077580B">
                                  <w:pPr>
                                    <w:rPr>
                                      <w:rFonts w:asciiTheme="minorHAnsi" w:hAnsiTheme="minorHAnsi" w:cstheme="minorHAnsi"/>
                                      <w:sz w:val="22"/>
                                      <w:szCs w:val="22"/>
                                    </w:rPr>
                                  </w:pPr>
                                  <w:r w:rsidRPr="0077580B">
                                    <w:rPr>
                                      <w:rFonts w:asciiTheme="minorHAnsi" w:hAnsiTheme="minorHAnsi" w:cstheme="minorHAnsi"/>
                                      <w:sz w:val="22"/>
                                      <w:szCs w:val="22"/>
                                    </w:rPr>
                                    <w:t>Choose your level of support of Recommendation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C1E37E" id="_x0000_t202" coordsize="21600,21600" o:spt="202" path="m,l,21600r21600,l21600,xe">
                      <v:stroke joinstyle="miter"/>
                      <v:path gradientshapeok="t" o:connecttype="rect"/>
                    </v:shapetype>
                    <v:shape id="Text Box 3" o:spid="_x0000_s1026" type="#_x0000_t202" style="position:absolute;margin-left:31.8pt;margin-top:14.55pt;width:340.2pt;height:32.4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" filled="f" stroked="f" strokeweight=".5pt">
                      <v:textbox>
                        <w:txbxContent>
                          <w:p w14:paraId="53CB3C6D" w14:textId="0C4A91F0" w:rsidR="0077580B" w:rsidRPr="0077580B" w:rsidRDefault="0077580B">
                            <w:pPr>
                              <w:rPr>
                                <w:rFonts w:asciiTheme="minorHAnsi" w:hAnsiTheme="minorHAnsi" w:cstheme="minorHAnsi"/>
                                <w:sz w:val="22"/>
                                <w:szCs w:val="22"/>
                              </w:rPr>
                            </w:pPr>
                            <w:r w:rsidRPr="0077580B">
                              <w:rPr>
                                <w:rFonts w:asciiTheme="minorHAnsi" w:hAnsiTheme="minorHAnsi" w:cstheme="minorHAnsi"/>
                                <w:sz w:val="22"/>
                                <w:szCs w:val="22"/>
                              </w:rPr>
                              <w:t>Choose your level of support of Recommendation #7:</w:t>
                            </w:r>
                          </w:p>
                        </w:txbxContent>
                      </v:textbox>
                    </v:shape>
                  </w:pict>
                </mc:Fallback>
              </mc:AlternateContent>
            </w:r>
          </w:p>
          <w:p w14:paraId="7CA6DB8A" w14:textId="77366AEF" w:rsidR="0077580B" w:rsidRDefault="0077580B" w:rsidP="00A43FE8">
            <w:pPr>
              <w:contextualSpacing/>
              <w:rPr>
                <w:rFonts w:asciiTheme="minorHAnsi" w:hAnsiTheme="minorHAnsi"/>
                <w:b/>
              </w:rPr>
            </w:pPr>
            <w:r>
              <w:rPr>
                <w:rFonts w:asciiTheme="minorHAnsi" w:hAnsiTheme="minorHAnsi"/>
                <w:b/>
                <w:noProof/>
              </w:rPr>
              <mc:AlternateContent>
                <mc:Choice Requires="wps">
                  <w:drawing>
                    <wp:anchor distT="0" distB="0" distL="114300" distR="114300" simplePos="0" relativeHeight="251657728" behindDoc="0" locked="0" layoutInCell="1" allowOverlap="1" wp14:anchorId="059FCFBF" wp14:editId="23BFF0D1">
                      <wp:simplePos x="0" y="0"/>
                      <wp:positionH relativeFrom="column">
                        <wp:posOffset>4957445</wp:posOffset>
                      </wp:positionH>
                      <wp:positionV relativeFrom="paragraph">
                        <wp:posOffset>26035</wp:posOffset>
                      </wp:positionV>
                      <wp:extent cx="4320540" cy="41148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4320540" cy="411480"/>
                              </a:xfrm>
                              <a:prstGeom prst="rect">
                                <a:avLst/>
                              </a:prstGeom>
                              <a:noFill/>
                              <a:ln w="6350">
                                <a:noFill/>
                              </a:ln>
                            </wps:spPr>
                            <wps:txbx>
                              <w:txbxContent>
                                <w:p w14:paraId="3B4ADE6B" w14:textId="777B6ACE" w:rsidR="0077580B" w:rsidRPr="0077580B" w:rsidRDefault="0077580B" w:rsidP="0077580B">
                                  <w:pPr>
                                    <w:rPr>
                                      <w:rFonts w:asciiTheme="minorHAnsi" w:hAnsiTheme="minorHAnsi" w:cstheme="minorHAnsi"/>
                                      <w:sz w:val="22"/>
                                      <w:szCs w:val="22"/>
                                    </w:rPr>
                                  </w:pPr>
                                  <w:r w:rsidRPr="0077580B">
                                    <w:rPr>
                                      <w:rFonts w:asciiTheme="minorHAnsi" w:hAnsiTheme="minorHAnsi" w:cstheme="minorHAnsi"/>
                                      <w:sz w:val="22"/>
                                      <w:szCs w:val="22"/>
                                    </w:rPr>
                                    <w:t>Do you agree that all of these data elements should be transferred from the registrar to ICANN?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9FCFBF" id="Text Box 4" o:spid="_x0000_s1027" type="#_x0000_t202" style="position:absolute;margin-left:390.35pt;margin-top:2.05pt;width:340.2pt;height:32.4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" filled="f" stroked="f" strokeweight=".5pt">
                      <v:textbox>
                        <w:txbxContent>
                          <w:p w14:paraId="3B4ADE6B" w14:textId="777B6ACE" w:rsidR="0077580B" w:rsidRPr="0077580B" w:rsidRDefault="0077580B" w:rsidP="0077580B">
                            <w:pPr>
                              <w:rPr>
                                <w:rFonts w:asciiTheme="minorHAnsi" w:hAnsiTheme="minorHAnsi" w:cstheme="minorHAnsi"/>
                                <w:sz w:val="22"/>
                                <w:szCs w:val="22"/>
                              </w:rPr>
                            </w:pPr>
                            <w:r w:rsidRPr="0077580B">
                              <w:rPr>
                                <w:rFonts w:asciiTheme="minorHAnsi" w:hAnsiTheme="minorHAnsi" w:cstheme="minorHAnsi"/>
                                <w:sz w:val="22"/>
                                <w:szCs w:val="22"/>
                              </w:rPr>
                              <w:t>Do you agree that all of these data elements should be transferred from the registrar to ICANN?</w:t>
                            </w:r>
                          </w:p>
                        </w:txbxContent>
                      </v:textbox>
                    </v:shape>
                  </w:pict>
                </mc:Fallback>
              </mc:AlternateContent>
            </w:r>
          </w:p>
          <w:p w14:paraId="1CF2B0A7" w14:textId="77777777" w:rsidR="0077580B" w:rsidRDefault="0077580B" w:rsidP="00A43FE8">
            <w:pPr>
              <w:contextualSpacing/>
              <w:rPr>
                <w:rFonts w:asciiTheme="minorHAnsi" w:hAnsiTheme="minorHAnsi"/>
                <w:b/>
              </w:rPr>
            </w:pPr>
          </w:p>
          <w:p w14:paraId="72515AF2" w14:textId="77777777" w:rsidR="00A43FE8" w:rsidRDefault="00A43FE8" w:rsidP="00A43FE8">
            <w:pPr>
              <w:contextualSpacing/>
              <w:rPr>
                <w:noProof/>
              </w:rPr>
            </w:pPr>
            <w:r>
              <w:rPr>
                <w:noProof/>
              </w:rPr>
              <w:drawing>
                <wp:inline distT="0" distB="0" distL="0" distR="0" wp14:anchorId="206BE348" wp14:editId="2E98FF45">
                  <wp:extent cx="4363642" cy="2824162"/>
                  <wp:effectExtent l="0" t="0" r="0" b="0"/>
                  <wp:docPr id="1" name="Chart 1">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77580B">
              <w:rPr>
                <w:noProof/>
              </w:rPr>
              <w:t xml:space="preserve"> </w:t>
            </w:r>
            <w:r w:rsidR="0077580B">
              <w:rPr>
                <w:noProof/>
              </w:rPr>
              <w:drawing>
                <wp:inline distT="0" distB="0" distL="0" distR="0" wp14:anchorId="600810DA" wp14:editId="3E85C4D8">
                  <wp:extent cx="4316015" cy="2824163"/>
                  <wp:effectExtent l="0" t="0" r="8890" b="0"/>
                  <wp:docPr id="2" name="Chart 2">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5AA92C" w14:textId="77777777" w:rsidR="0026332C" w:rsidRDefault="0026332C" w:rsidP="00951235">
            <w:pPr>
              <w:contextualSpacing/>
              <w:jc w:val="center"/>
              <w:rPr>
                <w:rFonts w:asciiTheme="minorHAnsi" w:hAnsiTheme="minorHAnsi"/>
                <w:b/>
              </w:rPr>
            </w:pPr>
            <w:r>
              <w:rPr>
                <w:noProof/>
              </w:rPr>
              <w:lastRenderedPageBreak/>
              <w:drawing>
                <wp:inline distT="0" distB="0" distL="0" distR="0" wp14:anchorId="7DCFBB16" wp14:editId="7C64E133">
                  <wp:extent cx="6781800" cy="2110740"/>
                  <wp:effectExtent l="0" t="0" r="0" b="3810"/>
                  <wp:docPr id="5" name="Chart 5">
                    <a:extLst xmlns:a="http://schemas.openxmlformats.org/drawingml/2006/main">
                      <a:ext uri="{FF2B5EF4-FFF2-40B4-BE49-F238E27FC236}">
                        <a16:creationId xmlns:a16="http://schemas.microsoft.com/office/drawing/2014/main" id="{E6225286-C1F9-4AA2-870C-60127731D1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81C7A9" w14:textId="3725487D" w:rsidR="00566F6B" w:rsidRPr="00A43FE8" w:rsidRDefault="00566F6B" w:rsidP="00951235">
            <w:pPr>
              <w:contextualSpacing/>
              <w:jc w:val="center"/>
              <w:rPr>
                <w:rFonts w:asciiTheme="minorHAnsi" w:hAnsiTheme="minorHAnsi"/>
                <w:b/>
              </w:rPr>
            </w:pPr>
          </w:p>
        </w:tc>
      </w:tr>
      <w:tr w:rsidR="009D186C" w:rsidRPr="002860E2" w14:paraId="460B5AC0" w14:textId="77777777" w:rsidTr="009D186C">
        <w:tc>
          <w:tcPr>
            <w:tcW w:w="7695" w:type="dxa"/>
            <w:gridSpan w:val="2"/>
            <w:tcBorders>
              <w:bottom w:val="single" w:sz="4" w:space="0" w:color="000000"/>
            </w:tcBorders>
            <w:shd w:val="clear" w:color="auto" w:fill="00B050"/>
          </w:tcPr>
          <w:p w14:paraId="03FFE8E0" w14:textId="011BB1F6" w:rsidR="009D186C" w:rsidRPr="002E20D5" w:rsidRDefault="009D186C" w:rsidP="00AC3871">
            <w:pPr>
              <w:contextualSpacing/>
              <w:rPr>
                <w:rFonts w:asciiTheme="minorHAnsi" w:hAnsiTheme="minorHAnsi"/>
                <w:b/>
                <w:sz w:val="22"/>
              </w:rPr>
            </w:pPr>
            <w:r w:rsidRPr="002B3C04">
              <w:rPr>
                <w:rFonts w:asciiTheme="minorHAnsi" w:hAnsiTheme="minorHAnsi"/>
                <w:b/>
                <w:color w:val="FFFFFF" w:themeColor="background1"/>
                <w:sz w:val="22"/>
              </w:rPr>
              <w:lastRenderedPageBreak/>
              <w:t>Support recommendation as written</w:t>
            </w:r>
          </w:p>
        </w:tc>
        <w:tc>
          <w:tcPr>
            <w:tcW w:w="7695" w:type="dxa"/>
            <w:gridSpan w:val="3"/>
            <w:tcBorders>
              <w:bottom w:val="single" w:sz="4" w:space="0" w:color="000000"/>
            </w:tcBorders>
            <w:shd w:val="clear" w:color="auto" w:fill="00B050"/>
          </w:tcPr>
          <w:p w14:paraId="125E4861" w14:textId="3374D898" w:rsidR="009D186C" w:rsidRPr="002E20D5" w:rsidRDefault="009D186C" w:rsidP="00AC3871">
            <w:pPr>
              <w:contextualSpacing/>
              <w:rPr>
                <w:rFonts w:asciiTheme="minorHAnsi" w:hAnsiTheme="minorHAnsi"/>
                <w:b/>
                <w:sz w:val="22"/>
              </w:rPr>
            </w:pPr>
            <w:proofErr w:type="gramStart"/>
            <w:r w:rsidRPr="009D186C">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to transfer to ICANN</w:t>
            </w:r>
          </w:p>
        </w:tc>
      </w:tr>
      <w:tr w:rsidR="00072C03" w:rsidRPr="002860E2" w14:paraId="6D28EF28" w14:textId="77777777" w:rsidTr="002657F2">
        <w:trPr>
          <w:cantSplit/>
        </w:trPr>
        <w:tc>
          <w:tcPr>
            <w:tcW w:w="675" w:type="dxa"/>
          </w:tcPr>
          <w:p w14:paraId="3CA5435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gridSpan w:val="2"/>
          </w:tcPr>
          <w:p w14:paraId="27FA6610" w14:textId="77777777" w:rsidR="008C595F" w:rsidRPr="002860E2" w:rsidRDefault="008C595F" w:rsidP="008C595F">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621FD404"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18CCB48B" w14:textId="77777777" w:rsidR="001C216C" w:rsidRPr="001C216C" w:rsidRDefault="001C216C" w:rsidP="001C216C">
            <w:pPr>
              <w:pStyle w:val="ListParagraph"/>
              <w:numPr>
                <w:ilvl w:val="0"/>
                <w:numId w:val="43"/>
              </w:numPr>
              <w:ind w:left="336"/>
              <w:contextualSpacing/>
              <w:rPr>
                <w:rFonts w:asciiTheme="minorHAnsi" w:hAnsiTheme="minorHAnsi"/>
                <w:sz w:val="20"/>
                <w:szCs w:val="20"/>
              </w:rPr>
            </w:pPr>
            <w:r w:rsidRPr="001C216C">
              <w:rPr>
                <w:rFonts w:asciiTheme="minorHAnsi" w:hAnsiTheme="minorHAnsi"/>
                <w:sz w:val="20"/>
                <w:szCs w:val="20"/>
              </w:rPr>
              <w:t xml:space="preserve">DR. JAIDEEP KUMAR </w:t>
            </w:r>
            <w:proofErr w:type="gramStart"/>
            <w:r w:rsidRPr="001C216C">
              <w:rPr>
                <w:rFonts w:asciiTheme="minorHAnsi" w:hAnsiTheme="minorHAnsi"/>
                <w:sz w:val="20"/>
                <w:szCs w:val="20"/>
              </w:rPr>
              <w:t>MISHRA ;</w:t>
            </w:r>
            <w:proofErr w:type="gramEnd"/>
            <w:r w:rsidRPr="001C216C">
              <w:rPr>
                <w:rFonts w:asciiTheme="minorHAnsi" w:hAnsiTheme="minorHAnsi"/>
                <w:sz w:val="20"/>
                <w:szCs w:val="20"/>
              </w:rPr>
              <w:t xml:space="preserve"> DIRECTOR MINISTRY OF ELECTRONICS AND INFORMATION TECHNOLOGY, GOVERNMENT OF INDIA</w:t>
            </w:r>
          </w:p>
          <w:p w14:paraId="0036E66E" w14:textId="77777777" w:rsidR="001C216C" w:rsidRPr="001C216C" w:rsidRDefault="001C216C" w:rsidP="001C216C">
            <w:pPr>
              <w:pStyle w:val="ListParagraph"/>
              <w:numPr>
                <w:ilvl w:val="0"/>
                <w:numId w:val="43"/>
              </w:numPr>
              <w:ind w:left="336"/>
              <w:contextualSpacing/>
              <w:rPr>
                <w:rFonts w:asciiTheme="minorHAnsi" w:hAnsiTheme="minorHAnsi"/>
                <w:sz w:val="20"/>
                <w:szCs w:val="20"/>
              </w:rPr>
            </w:pPr>
            <w:r w:rsidRPr="001C216C">
              <w:rPr>
                <w:rFonts w:asciiTheme="minorHAnsi" w:hAnsiTheme="minorHAnsi"/>
                <w:sz w:val="20"/>
                <w:szCs w:val="20"/>
              </w:rPr>
              <w:t>Monica Sanders; i2Coalition</w:t>
            </w:r>
          </w:p>
          <w:p w14:paraId="5532CAB3" w14:textId="77777777" w:rsidR="001C216C" w:rsidRPr="001C216C" w:rsidRDefault="001C216C" w:rsidP="001C216C">
            <w:pPr>
              <w:pStyle w:val="ListParagraph"/>
              <w:numPr>
                <w:ilvl w:val="0"/>
                <w:numId w:val="43"/>
              </w:numPr>
              <w:ind w:left="336"/>
              <w:contextualSpacing/>
              <w:rPr>
                <w:rFonts w:asciiTheme="minorHAnsi" w:hAnsiTheme="minorHAnsi"/>
                <w:sz w:val="20"/>
                <w:szCs w:val="20"/>
              </w:rPr>
            </w:pPr>
            <w:r w:rsidRPr="001C216C">
              <w:rPr>
                <w:rFonts w:asciiTheme="minorHAnsi" w:hAnsiTheme="minorHAnsi"/>
                <w:sz w:val="20"/>
                <w:szCs w:val="20"/>
              </w:rPr>
              <w:t>Etienne Laurin</w:t>
            </w:r>
          </w:p>
          <w:p w14:paraId="7A157950" w14:textId="18970C79" w:rsidR="00072C03" w:rsidRPr="0034564C" w:rsidRDefault="001C216C" w:rsidP="001C216C">
            <w:pPr>
              <w:pStyle w:val="ListParagraph"/>
              <w:numPr>
                <w:ilvl w:val="0"/>
                <w:numId w:val="43"/>
              </w:numPr>
              <w:ind w:left="336"/>
              <w:contextualSpacing/>
              <w:rPr>
                <w:rFonts w:asciiTheme="minorHAnsi" w:hAnsiTheme="minorHAnsi"/>
                <w:sz w:val="20"/>
                <w:szCs w:val="20"/>
              </w:rPr>
            </w:pPr>
            <w:r w:rsidRPr="001C216C">
              <w:rPr>
                <w:rFonts w:asciiTheme="minorHAnsi" w:hAnsiTheme="minorHAnsi"/>
                <w:sz w:val="20"/>
                <w:szCs w:val="20"/>
              </w:rPr>
              <w:t>Neil Fried; The Motion Picture Association of America</w:t>
            </w:r>
          </w:p>
        </w:tc>
        <w:tc>
          <w:tcPr>
            <w:tcW w:w="3960" w:type="dxa"/>
          </w:tcPr>
          <w:p w14:paraId="24DBE66E" w14:textId="77777777"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2323C0E3"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2DAB7D69" w14:textId="77777777"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F700C9"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6CE5D81D" w14:textId="77777777" w:rsidR="00072C03" w:rsidRPr="002860E2" w:rsidRDefault="00072C03" w:rsidP="005417AB">
            <w:pPr>
              <w:contextualSpacing/>
              <w:rPr>
                <w:rFonts w:asciiTheme="minorHAnsi" w:hAnsiTheme="minorHAnsi"/>
                <w:sz w:val="20"/>
                <w:szCs w:val="20"/>
              </w:rPr>
            </w:pPr>
          </w:p>
          <w:p w14:paraId="48A0BA1C" w14:textId="77777777"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9109B76" w14:textId="77777777" w:rsidR="00072C03" w:rsidRPr="002860E2" w:rsidRDefault="00072C03" w:rsidP="005417AB">
            <w:pPr>
              <w:contextualSpacing/>
              <w:rPr>
                <w:rFonts w:asciiTheme="minorHAnsi" w:hAnsiTheme="minorHAnsi"/>
                <w:sz w:val="20"/>
                <w:szCs w:val="20"/>
              </w:rPr>
            </w:pPr>
          </w:p>
        </w:tc>
      </w:tr>
      <w:tr w:rsidR="00072C03" w:rsidRPr="002860E2" w14:paraId="0786E578" w14:textId="77777777" w:rsidTr="002657F2">
        <w:trPr>
          <w:cantSplit/>
        </w:trPr>
        <w:tc>
          <w:tcPr>
            <w:tcW w:w="675" w:type="dxa"/>
          </w:tcPr>
          <w:p w14:paraId="566BC3F2"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gridSpan w:val="2"/>
          </w:tcPr>
          <w:p w14:paraId="04F4713C" w14:textId="133B97A6" w:rsidR="00072C03" w:rsidRPr="002860E2" w:rsidRDefault="008C595F" w:rsidP="005417AB">
            <w:pPr>
              <w:pStyle w:val="ColorfulList-Accent11"/>
              <w:ind w:left="0"/>
              <w:rPr>
                <w:rFonts w:asciiTheme="minorHAnsi" w:hAnsiTheme="minorHAnsi"/>
                <w:sz w:val="20"/>
                <w:szCs w:val="20"/>
              </w:rPr>
            </w:pPr>
            <w:r w:rsidRPr="008C595F">
              <w:rPr>
                <w:rFonts w:asciiTheme="minorHAnsi" w:hAnsiTheme="minorHAnsi"/>
                <w:sz w:val="20"/>
                <w:szCs w:val="20"/>
              </w:rPr>
              <w:t>The support is conditional to a record of processing activities that shall be provided by ICANN org and be exhaustive.</w:t>
            </w:r>
          </w:p>
        </w:tc>
        <w:tc>
          <w:tcPr>
            <w:tcW w:w="2700" w:type="dxa"/>
          </w:tcPr>
          <w:p w14:paraId="714281D2" w14:textId="77777777" w:rsidR="008C595F" w:rsidRDefault="008C595F" w:rsidP="008C595F">
            <w:pPr>
              <w:pStyle w:val="ListParagraph"/>
              <w:numPr>
                <w:ilvl w:val="0"/>
                <w:numId w:val="47"/>
              </w:numPr>
              <w:ind w:left="336"/>
              <w:contextualSpacing/>
              <w:rPr>
                <w:rFonts w:asciiTheme="minorHAnsi" w:hAnsiTheme="minorHAnsi"/>
                <w:sz w:val="20"/>
                <w:szCs w:val="20"/>
              </w:rPr>
            </w:pPr>
            <w:r w:rsidRPr="008C595F">
              <w:rPr>
                <w:rFonts w:asciiTheme="minorHAnsi" w:hAnsiTheme="minorHAnsi"/>
                <w:sz w:val="20"/>
                <w:szCs w:val="20"/>
              </w:rPr>
              <w:t xml:space="preserve">Wolf-Ulrich </w:t>
            </w:r>
            <w:proofErr w:type="spellStart"/>
            <w:r w:rsidRPr="008C595F">
              <w:rPr>
                <w:rFonts w:asciiTheme="minorHAnsi" w:hAnsiTheme="minorHAnsi"/>
                <w:sz w:val="20"/>
                <w:szCs w:val="20"/>
              </w:rPr>
              <w:t>Knoben</w:t>
            </w:r>
            <w:proofErr w:type="spellEnd"/>
            <w:r w:rsidRPr="008C595F">
              <w:rPr>
                <w:rFonts w:asciiTheme="minorHAnsi" w:hAnsiTheme="minorHAnsi"/>
                <w:sz w:val="20"/>
                <w:szCs w:val="20"/>
              </w:rPr>
              <w:t>; ISPCP Constituency</w:t>
            </w:r>
            <w:r w:rsidRPr="008C595F">
              <w:rPr>
                <w:rFonts w:asciiTheme="minorHAnsi" w:hAnsiTheme="minorHAnsi"/>
                <w:sz w:val="20"/>
                <w:szCs w:val="20"/>
              </w:rPr>
              <w:t xml:space="preserve"> </w:t>
            </w:r>
          </w:p>
          <w:p w14:paraId="30A8C491" w14:textId="1F7B453C" w:rsidR="00072C03" w:rsidRPr="008C595F" w:rsidRDefault="008C595F" w:rsidP="008C595F">
            <w:pPr>
              <w:pStyle w:val="ListParagraph"/>
              <w:numPr>
                <w:ilvl w:val="0"/>
                <w:numId w:val="47"/>
              </w:numPr>
              <w:ind w:left="336"/>
              <w:contextualSpacing/>
              <w:rPr>
                <w:rFonts w:asciiTheme="minorHAnsi" w:hAnsiTheme="minorHAnsi"/>
                <w:sz w:val="20"/>
                <w:szCs w:val="20"/>
              </w:rPr>
            </w:pPr>
            <w:r w:rsidRPr="008C595F">
              <w:rPr>
                <w:rFonts w:asciiTheme="minorHAnsi" w:hAnsiTheme="minorHAnsi"/>
                <w:sz w:val="20"/>
                <w:szCs w:val="20"/>
              </w:rPr>
              <w:t>Lars Steffen; eco – Association of the Internet Industry</w:t>
            </w:r>
          </w:p>
        </w:tc>
        <w:tc>
          <w:tcPr>
            <w:tcW w:w="3960" w:type="dxa"/>
          </w:tcPr>
          <w:p w14:paraId="5589CA3D" w14:textId="3D608E36"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22205E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EDBF40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72C7AD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07177F4" w14:textId="77777777" w:rsidR="002B3C04" w:rsidRPr="002860E2" w:rsidRDefault="002B3C04" w:rsidP="002B3C04">
            <w:pPr>
              <w:contextualSpacing/>
              <w:rPr>
                <w:rFonts w:asciiTheme="minorHAnsi" w:hAnsiTheme="minorHAnsi"/>
                <w:sz w:val="20"/>
                <w:szCs w:val="20"/>
              </w:rPr>
            </w:pPr>
          </w:p>
          <w:p w14:paraId="0C138A0F"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4A420B0" w14:textId="77777777" w:rsidR="00072C03" w:rsidRPr="002860E2" w:rsidRDefault="00072C03" w:rsidP="005417AB">
            <w:pPr>
              <w:contextualSpacing/>
              <w:rPr>
                <w:rFonts w:asciiTheme="minorHAnsi" w:hAnsiTheme="minorHAnsi"/>
                <w:sz w:val="20"/>
                <w:szCs w:val="20"/>
              </w:rPr>
            </w:pPr>
          </w:p>
        </w:tc>
      </w:tr>
      <w:tr w:rsidR="00072C03" w:rsidRPr="002860E2" w14:paraId="54413C35" w14:textId="77777777" w:rsidTr="002657F2">
        <w:trPr>
          <w:cantSplit/>
        </w:trPr>
        <w:tc>
          <w:tcPr>
            <w:tcW w:w="675" w:type="dxa"/>
          </w:tcPr>
          <w:p w14:paraId="5D1DE4C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gridSpan w:val="2"/>
          </w:tcPr>
          <w:p w14:paraId="07B47BA5" w14:textId="1A6CDDE7" w:rsidR="00072C03" w:rsidRPr="002860E2" w:rsidRDefault="008C595F" w:rsidP="005417AB">
            <w:pPr>
              <w:pStyle w:val="ColorfulList-Accent11"/>
              <w:ind w:left="0"/>
              <w:rPr>
                <w:rFonts w:asciiTheme="minorHAnsi" w:hAnsiTheme="minorHAnsi"/>
                <w:sz w:val="20"/>
                <w:szCs w:val="20"/>
              </w:rPr>
            </w:pPr>
            <w:r w:rsidRPr="008C595F">
              <w:rPr>
                <w:rFonts w:asciiTheme="minorHAnsi" w:hAnsiTheme="minorHAnsi"/>
                <w:sz w:val="20"/>
                <w:szCs w:val="20"/>
              </w:rPr>
              <w:t xml:space="preserve">INTA supports compliance having all the data it needs to efficiently carry out its vital function to ensure that contractual obligations are being met, and issues are resolved as quickly as possible.  This is particularly vital in the context of ICANN Compliance activities to support the combat of DNS abuse.  </w:t>
            </w:r>
          </w:p>
        </w:tc>
        <w:tc>
          <w:tcPr>
            <w:tcW w:w="2700" w:type="dxa"/>
          </w:tcPr>
          <w:p w14:paraId="31F814C7" w14:textId="0B330CBA" w:rsidR="00072C03" w:rsidRPr="002860E2" w:rsidRDefault="008C595F" w:rsidP="008C595F">
            <w:pPr>
              <w:contextualSpacing/>
              <w:rPr>
                <w:rFonts w:asciiTheme="minorHAnsi" w:hAnsiTheme="minorHAnsi"/>
                <w:sz w:val="20"/>
                <w:szCs w:val="20"/>
              </w:rPr>
            </w:pPr>
            <w:r w:rsidRPr="008C595F">
              <w:rPr>
                <w:rFonts w:asciiTheme="minorHAnsi" w:hAnsiTheme="minorHAnsi"/>
                <w:sz w:val="20"/>
                <w:szCs w:val="20"/>
              </w:rPr>
              <w:t>Lori Schulman Senior Director, Internet Policy; International Trademark Association (INTA)</w:t>
            </w:r>
          </w:p>
        </w:tc>
        <w:tc>
          <w:tcPr>
            <w:tcW w:w="3960" w:type="dxa"/>
          </w:tcPr>
          <w:p w14:paraId="0B0130DF"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47BC9D79"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9F20938"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587027"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D35498" w14:textId="77777777" w:rsidR="0034564C" w:rsidRPr="002860E2" w:rsidRDefault="0034564C" w:rsidP="0034564C">
            <w:pPr>
              <w:contextualSpacing/>
              <w:rPr>
                <w:rFonts w:asciiTheme="minorHAnsi" w:hAnsiTheme="minorHAnsi"/>
                <w:sz w:val="20"/>
                <w:szCs w:val="20"/>
              </w:rPr>
            </w:pPr>
          </w:p>
          <w:p w14:paraId="02612F8D"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50A119" w14:textId="77777777" w:rsidR="00072C03" w:rsidRPr="002860E2" w:rsidRDefault="00072C03" w:rsidP="005417AB">
            <w:pPr>
              <w:contextualSpacing/>
              <w:rPr>
                <w:rFonts w:asciiTheme="minorHAnsi" w:hAnsiTheme="minorHAnsi"/>
                <w:sz w:val="20"/>
                <w:szCs w:val="20"/>
              </w:rPr>
            </w:pPr>
          </w:p>
        </w:tc>
      </w:tr>
      <w:tr w:rsidR="008C595F" w:rsidRPr="002860E2" w14:paraId="06935D50" w14:textId="77777777" w:rsidTr="008C595F">
        <w:trPr>
          <w:cantSplit/>
        </w:trPr>
        <w:tc>
          <w:tcPr>
            <w:tcW w:w="7695" w:type="dxa"/>
            <w:gridSpan w:val="2"/>
            <w:shd w:val="clear" w:color="auto" w:fill="00B050"/>
          </w:tcPr>
          <w:p w14:paraId="49AB551A" w14:textId="237B978F" w:rsidR="008C595F" w:rsidRPr="008C595F" w:rsidRDefault="008C595F" w:rsidP="008C595F">
            <w:pPr>
              <w:pStyle w:val="ColorfulList-Accent11"/>
              <w:ind w:left="0"/>
              <w:rPr>
                <w:rFonts w:asciiTheme="minorHAnsi" w:eastAsia="Times New Roman" w:hAnsiTheme="minorHAnsi"/>
                <w:b/>
                <w:color w:val="000000"/>
                <w:sz w:val="20"/>
                <w:szCs w:val="20"/>
                <w:shd w:val="clear" w:color="auto" w:fill="00FF00"/>
              </w:rPr>
            </w:pPr>
            <w:r w:rsidRPr="008C595F">
              <w:rPr>
                <w:rFonts w:asciiTheme="minorHAnsi" w:hAnsiTheme="minorHAnsi"/>
                <w:b/>
                <w:color w:val="FFFFFF" w:themeColor="background1"/>
                <w:sz w:val="20"/>
                <w:szCs w:val="20"/>
              </w:rPr>
              <w:t>Support recommendation as written</w:t>
            </w:r>
          </w:p>
        </w:tc>
        <w:tc>
          <w:tcPr>
            <w:tcW w:w="7695" w:type="dxa"/>
            <w:gridSpan w:val="3"/>
            <w:shd w:val="clear" w:color="auto" w:fill="FF0000"/>
          </w:tcPr>
          <w:p w14:paraId="7D24C480" w14:textId="18083E57" w:rsidR="008C595F" w:rsidRPr="008C595F" w:rsidRDefault="008C595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FFFFFF" w:themeColor="background1"/>
                <w:sz w:val="20"/>
                <w:szCs w:val="20"/>
                <w:shd w:val="clear" w:color="auto" w:fill="00FF00"/>
              </w:rPr>
            </w:pPr>
            <w:r>
              <w:rPr>
                <w:rFonts w:asciiTheme="minorHAnsi" w:eastAsia="Cambria" w:hAnsiTheme="minorHAnsi"/>
                <w:b/>
                <w:color w:val="FFFFFF" w:themeColor="background1"/>
                <w:sz w:val="20"/>
                <w:szCs w:val="20"/>
              </w:rPr>
              <w:t>No</w:t>
            </w:r>
            <w:r w:rsidRPr="008C595F">
              <w:rPr>
                <w:rFonts w:asciiTheme="minorHAnsi" w:eastAsia="Cambria" w:hAnsiTheme="minorHAnsi"/>
                <w:b/>
                <w:color w:val="FFFFFF" w:themeColor="background1"/>
                <w:sz w:val="20"/>
                <w:szCs w:val="20"/>
              </w:rPr>
              <w:t xml:space="preserve"> to transfer to ICANN</w:t>
            </w:r>
          </w:p>
        </w:tc>
      </w:tr>
      <w:tr w:rsidR="00072C03" w:rsidRPr="002860E2" w14:paraId="60A018C5" w14:textId="77777777" w:rsidTr="002657F2">
        <w:trPr>
          <w:cantSplit/>
        </w:trPr>
        <w:tc>
          <w:tcPr>
            <w:tcW w:w="675" w:type="dxa"/>
          </w:tcPr>
          <w:p w14:paraId="65AFAE78"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gridSpan w:val="2"/>
          </w:tcPr>
          <w:p w14:paraId="544E414E" w14:textId="77777777" w:rsidR="00072C03" w:rsidRDefault="009D186C" w:rsidP="005417AB">
            <w:pPr>
              <w:pStyle w:val="ColorfulList-Accent11"/>
              <w:ind w:left="0"/>
              <w:rPr>
                <w:rFonts w:asciiTheme="minorHAnsi" w:hAnsiTheme="minorHAnsi"/>
                <w:sz w:val="20"/>
                <w:szCs w:val="20"/>
              </w:rPr>
            </w:pPr>
            <w:r>
              <w:rPr>
                <w:rFonts w:asciiTheme="minorHAnsi" w:hAnsiTheme="minorHAnsi"/>
                <w:sz w:val="20"/>
                <w:szCs w:val="20"/>
              </w:rPr>
              <w:t>See Below</w:t>
            </w:r>
          </w:p>
          <w:p w14:paraId="0E0FF936" w14:textId="77777777" w:rsidR="009D186C" w:rsidRDefault="009D186C" w:rsidP="005417AB">
            <w:pPr>
              <w:pStyle w:val="ColorfulList-Accent11"/>
              <w:ind w:left="0"/>
              <w:rPr>
                <w:rFonts w:asciiTheme="minorHAnsi" w:hAnsiTheme="minorHAnsi"/>
                <w:sz w:val="20"/>
                <w:szCs w:val="20"/>
              </w:rPr>
            </w:pPr>
          </w:p>
          <w:p w14:paraId="2A96F0E5" w14:textId="77777777" w:rsidR="009D186C" w:rsidRPr="009D186C" w:rsidRDefault="009D186C" w:rsidP="009D186C">
            <w:pPr>
              <w:pStyle w:val="ColorfulList-Accent11"/>
              <w:ind w:left="0"/>
              <w:rPr>
                <w:rFonts w:asciiTheme="minorHAnsi" w:hAnsiTheme="minorHAnsi"/>
                <w:sz w:val="20"/>
                <w:szCs w:val="20"/>
              </w:rPr>
            </w:pPr>
            <w:r w:rsidRPr="009D186C">
              <w:rPr>
                <w:rFonts w:asciiTheme="minorHAnsi" w:hAnsiTheme="minorHAnsi"/>
                <w:sz w:val="20"/>
                <w:szCs w:val="20"/>
              </w:rPr>
              <w:t>We answer ‘No’ here only because the NCSG believes that requests by ICANN Compliance should be limited to those elements required to accommodate issues they will deal with at that time. In principle, this could mean that all data elements are required, but not all elements will be needed for other purposes. We wish to underline the principle that compliance requests should not be open-ended fishing expeditions.</w:t>
            </w:r>
          </w:p>
          <w:p w14:paraId="7BA45C4D" w14:textId="77777777" w:rsidR="009D186C" w:rsidRPr="009D186C" w:rsidRDefault="009D186C" w:rsidP="009D186C">
            <w:pPr>
              <w:pStyle w:val="ColorfulList-Accent11"/>
              <w:rPr>
                <w:rFonts w:asciiTheme="minorHAnsi" w:hAnsiTheme="minorHAnsi"/>
                <w:sz w:val="20"/>
                <w:szCs w:val="20"/>
              </w:rPr>
            </w:pPr>
          </w:p>
          <w:p w14:paraId="0D7FCC6C" w14:textId="6B75F161" w:rsidR="009D186C" w:rsidRPr="002860E2" w:rsidRDefault="009D186C" w:rsidP="009D186C">
            <w:pPr>
              <w:pStyle w:val="ColorfulList-Accent11"/>
              <w:ind w:left="0"/>
              <w:rPr>
                <w:rFonts w:asciiTheme="minorHAnsi" w:hAnsiTheme="minorHAnsi"/>
                <w:sz w:val="20"/>
                <w:szCs w:val="20"/>
              </w:rPr>
            </w:pPr>
            <w:r w:rsidRPr="009D186C">
              <w:rPr>
                <w:rFonts w:asciiTheme="minorHAnsi" w:hAnsiTheme="minorHAnsi"/>
                <w:sz w:val="20"/>
                <w:szCs w:val="20"/>
              </w:rPr>
              <w:t>We note that ICANN Compliance rules should be more subject to review and understanding by the community, and that there are concerns (and reports) that complaints are being used, in part, as harassment and fishing expeditions against registrants. Accordingly, transfer of data elements even to ICANN Compliance should be subject to special evaluation and review -- not automatically done regardless of purposes, scope and scale.</w:t>
            </w:r>
          </w:p>
        </w:tc>
        <w:tc>
          <w:tcPr>
            <w:tcW w:w="2700" w:type="dxa"/>
          </w:tcPr>
          <w:p w14:paraId="5E70EA31" w14:textId="77777777" w:rsidR="00D550AE" w:rsidRDefault="009D186C" w:rsidP="009D186C">
            <w:pPr>
              <w:contextualSpacing/>
              <w:rPr>
                <w:rFonts w:asciiTheme="minorHAnsi" w:hAnsiTheme="minorHAnsi"/>
                <w:sz w:val="20"/>
                <w:szCs w:val="20"/>
              </w:rPr>
            </w:pPr>
            <w:r w:rsidRPr="009D186C">
              <w:rPr>
                <w:rFonts w:asciiTheme="minorHAnsi" w:hAnsiTheme="minorHAnsi"/>
                <w:sz w:val="20"/>
                <w:szCs w:val="20"/>
              </w:rPr>
              <w:t xml:space="preserve">Ayden </w:t>
            </w:r>
            <w:proofErr w:type="spellStart"/>
            <w:r w:rsidRPr="009D186C">
              <w:rPr>
                <w:rFonts w:asciiTheme="minorHAnsi" w:hAnsiTheme="minorHAnsi"/>
                <w:sz w:val="20"/>
                <w:szCs w:val="20"/>
              </w:rPr>
              <w:t>Férdeline</w:t>
            </w:r>
            <w:proofErr w:type="spellEnd"/>
            <w:r w:rsidRPr="009D186C">
              <w:rPr>
                <w:rFonts w:asciiTheme="minorHAnsi" w:hAnsiTheme="minorHAnsi"/>
                <w:sz w:val="20"/>
                <w:szCs w:val="20"/>
              </w:rPr>
              <w:t>; NCSG</w:t>
            </w:r>
          </w:p>
          <w:p w14:paraId="7AD20108" w14:textId="6239CCC1" w:rsidR="009D186C" w:rsidRPr="009D186C" w:rsidRDefault="009D186C" w:rsidP="009D186C">
            <w:pPr>
              <w:contextualSpacing/>
              <w:rPr>
                <w:rFonts w:asciiTheme="minorHAnsi" w:hAnsiTheme="minorHAnsi"/>
                <w:sz w:val="20"/>
                <w:szCs w:val="20"/>
              </w:rPr>
            </w:pPr>
          </w:p>
        </w:tc>
        <w:tc>
          <w:tcPr>
            <w:tcW w:w="3960" w:type="dxa"/>
          </w:tcPr>
          <w:p w14:paraId="6569F017"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C2C8138"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2660A2D"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A1291A"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4B2B298" w14:textId="77777777" w:rsidR="0034564C" w:rsidRPr="002860E2" w:rsidRDefault="0034564C" w:rsidP="0034564C">
            <w:pPr>
              <w:contextualSpacing/>
              <w:rPr>
                <w:rFonts w:asciiTheme="minorHAnsi" w:hAnsiTheme="minorHAnsi"/>
                <w:sz w:val="20"/>
                <w:szCs w:val="20"/>
              </w:rPr>
            </w:pPr>
          </w:p>
          <w:p w14:paraId="167A5D7E"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106FDC" w14:textId="77777777" w:rsidR="00072C03" w:rsidRPr="002860E2" w:rsidRDefault="00072C03" w:rsidP="005417AB">
            <w:pPr>
              <w:contextualSpacing/>
              <w:rPr>
                <w:rFonts w:asciiTheme="minorHAnsi" w:hAnsiTheme="minorHAnsi"/>
                <w:sz w:val="20"/>
                <w:szCs w:val="20"/>
              </w:rPr>
            </w:pPr>
          </w:p>
        </w:tc>
      </w:tr>
      <w:tr w:rsidR="009D186C" w:rsidRPr="002860E2" w14:paraId="312A5875" w14:textId="77777777" w:rsidTr="002657F2">
        <w:trPr>
          <w:cantSplit/>
        </w:trPr>
        <w:tc>
          <w:tcPr>
            <w:tcW w:w="675" w:type="dxa"/>
          </w:tcPr>
          <w:p w14:paraId="5F930DCB" w14:textId="77777777" w:rsidR="009D186C" w:rsidRPr="002860E2" w:rsidRDefault="009D186C" w:rsidP="009D186C">
            <w:pPr>
              <w:numPr>
                <w:ilvl w:val="0"/>
                <w:numId w:val="23"/>
              </w:numPr>
              <w:contextualSpacing/>
              <w:rPr>
                <w:rFonts w:asciiTheme="minorHAnsi" w:hAnsiTheme="minorHAnsi"/>
                <w:b/>
                <w:sz w:val="20"/>
                <w:szCs w:val="20"/>
              </w:rPr>
            </w:pPr>
          </w:p>
        </w:tc>
        <w:tc>
          <w:tcPr>
            <w:tcW w:w="8055" w:type="dxa"/>
            <w:gridSpan w:val="2"/>
          </w:tcPr>
          <w:p w14:paraId="278517B0" w14:textId="2673BA27" w:rsidR="009D186C" w:rsidRPr="002860E2" w:rsidRDefault="009D186C" w:rsidP="009D186C">
            <w:pPr>
              <w:pStyle w:val="ColorfulList-Accent11"/>
              <w:ind w:left="0"/>
              <w:rPr>
                <w:rFonts w:asciiTheme="minorHAnsi" w:hAnsiTheme="minorHAnsi"/>
                <w:sz w:val="20"/>
                <w:szCs w:val="20"/>
              </w:rPr>
            </w:pPr>
            <w:r w:rsidRPr="009D186C">
              <w:rPr>
                <w:rFonts w:asciiTheme="minorHAnsi" w:hAnsiTheme="minorHAnsi"/>
                <w:sz w:val="20"/>
                <w:szCs w:val="20"/>
              </w:rPr>
              <w:t>We answer No here only because we believe that requests by ICANN compliance should be limited to those elements required to satisfy whatever issues they are dealing with at the time. In principle, this could mean that all data elements are required, but it may not need all elements for other purposes. We wish to underline the principle that compliance requests should not be open-ended fishing expeditions.</w:t>
            </w:r>
          </w:p>
        </w:tc>
        <w:tc>
          <w:tcPr>
            <w:tcW w:w="2700" w:type="dxa"/>
          </w:tcPr>
          <w:p w14:paraId="37EA86D7" w14:textId="75CEBBAB" w:rsidR="009D186C" w:rsidRPr="009D186C" w:rsidRDefault="009D186C" w:rsidP="009D186C">
            <w:pPr>
              <w:contextualSpacing/>
              <w:rPr>
                <w:rFonts w:asciiTheme="minorHAnsi" w:hAnsiTheme="minorHAnsi"/>
                <w:sz w:val="20"/>
                <w:szCs w:val="20"/>
              </w:rPr>
            </w:pPr>
            <w:proofErr w:type="spellStart"/>
            <w:r w:rsidRPr="009D186C">
              <w:rPr>
                <w:rFonts w:asciiTheme="minorHAnsi" w:hAnsiTheme="minorHAnsi"/>
                <w:sz w:val="20"/>
                <w:szCs w:val="20"/>
              </w:rPr>
              <w:t>Farzaneh</w:t>
            </w:r>
            <w:proofErr w:type="spellEnd"/>
            <w:r w:rsidRPr="009D186C">
              <w:rPr>
                <w:rFonts w:asciiTheme="minorHAnsi" w:hAnsiTheme="minorHAnsi"/>
                <w:sz w:val="20"/>
                <w:szCs w:val="20"/>
              </w:rPr>
              <w:t xml:space="preserve"> </w:t>
            </w:r>
            <w:proofErr w:type="spellStart"/>
            <w:r w:rsidRPr="009D186C">
              <w:rPr>
                <w:rFonts w:asciiTheme="minorHAnsi" w:hAnsiTheme="minorHAnsi"/>
                <w:sz w:val="20"/>
                <w:szCs w:val="20"/>
              </w:rPr>
              <w:t>Badii</w:t>
            </w:r>
            <w:proofErr w:type="spellEnd"/>
            <w:r w:rsidRPr="009D186C">
              <w:rPr>
                <w:rFonts w:asciiTheme="minorHAnsi" w:hAnsiTheme="minorHAnsi"/>
                <w:sz w:val="20"/>
                <w:szCs w:val="20"/>
              </w:rPr>
              <w:t>; Internet Governance Project</w:t>
            </w:r>
          </w:p>
        </w:tc>
        <w:tc>
          <w:tcPr>
            <w:tcW w:w="3960" w:type="dxa"/>
          </w:tcPr>
          <w:p w14:paraId="737BD7E0" w14:textId="77777777" w:rsidR="009D186C" w:rsidRPr="002860E2"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7115A5D5" w14:textId="77777777" w:rsidR="009D186C" w:rsidRPr="002B3C04"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687C726" w14:textId="77777777" w:rsidR="009D186C" w:rsidRPr="002860E2"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1EFF6DE" w14:textId="77777777" w:rsidR="009D186C" w:rsidRPr="002B3C04"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DDE5200" w14:textId="77777777" w:rsidR="009D186C" w:rsidRPr="002860E2" w:rsidRDefault="009D186C" w:rsidP="009D186C">
            <w:pPr>
              <w:contextualSpacing/>
              <w:rPr>
                <w:rFonts w:asciiTheme="minorHAnsi" w:hAnsiTheme="minorHAnsi"/>
                <w:sz w:val="20"/>
                <w:szCs w:val="20"/>
              </w:rPr>
            </w:pPr>
          </w:p>
          <w:p w14:paraId="04FCC26B" w14:textId="77777777" w:rsidR="009D186C" w:rsidRPr="002860E2" w:rsidRDefault="009D186C" w:rsidP="009D186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B43C005" w14:textId="77777777" w:rsidR="009D186C"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9D186C" w:rsidRPr="002860E2" w14:paraId="6B453E34" w14:textId="77777777" w:rsidTr="002657F2">
        <w:trPr>
          <w:cantSplit/>
        </w:trPr>
        <w:tc>
          <w:tcPr>
            <w:tcW w:w="675" w:type="dxa"/>
          </w:tcPr>
          <w:p w14:paraId="15EC57EC" w14:textId="77777777" w:rsidR="009D186C" w:rsidRPr="002860E2" w:rsidRDefault="009D186C" w:rsidP="009D186C">
            <w:pPr>
              <w:numPr>
                <w:ilvl w:val="0"/>
                <w:numId w:val="23"/>
              </w:numPr>
              <w:contextualSpacing/>
              <w:rPr>
                <w:rFonts w:asciiTheme="minorHAnsi" w:hAnsiTheme="minorHAnsi"/>
                <w:b/>
                <w:sz w:val="20"/>
                <w:szCs w:val="20"/>
              </w:rPr>
            </w:pPr>
          </w:p>
        </w:tc>
        <w:tc>
          <w:tcPr>
            <w:tcW w:w="8055" w:type="dxa"/>
            <w:gridSpan w:val="2"/>
          </w:tcPr>
          <w:p w14:paraId="26F5C5EA" w14:textId="5BF40E43" w:rsidR="009D186C" w:rsidRPr="002860E2" w:rsidRDefault="009D186C" w:rsidP="009D186C">
            <w:pPr>
              <w:pStyle w:val="ColorfulList-Accent11"/>
              <w:ind w:left="0"/>
              <w:rPr>
                <w:rFonts w:asciiTheme="minorHAnsi" w:hAnsiTheme="minorHAnsi"/>
                <w:sz w:val="20"/>
                <w:szCs w:val="20"/>
              </w:rPr>
            </w:pPr>
            <w:r w:rsidRPr="009D186C">
              <w:rPr>
                <w:rFonts w:asciiTheme="minorHAnsi" w:hAnsiTheme="minorHAnsi"/>
                <w:sz w:val="20"/>
                <w:szCs w:val="20"/>
              </w:rPr>
              <w:t>Personal contact details should not be passed to icann</w:t>
            </w:r>
          </w:p>
        </w:tc>
        <w:tc>
          <w:tcPr>
            <w:tcW w:w="2700" w:type="dxa"/>
          </w:tcPr>
          <w:p w14:paraId="3DB658EE" w14:textId="5320C9EF" w:rsidR="009D186C" w:rsidRPr="00D550AE" w:rsidRDefault="009D186C" w:rsidP="009D186C">
            <w:pPr>
              <w:contextualSpacing/>
              <w:rPr>
                <w:rFonts w:asciiTheme="minorHAnsi" w:hAnsiTheme="minorHAnsi"/>
                <w:sz w:val="20"/>
                <w:szCs w:val="20"/>
              </w:rPr>
            </w:pPr>
            <w:r w:rsidRPr="009D186C">
              <w:rPr>
                <w:rFonts w:asciiTheme="minorHAnsi" w:hAnsiTheme="minorHAnsi"/>
                <w:sz w:val="20"/>
                <w:szCs w:val="20"/>
              </w:rPr>
              <w:t>David Martel</w:t>
            </w:r>
          </w:p>
        </w:tc>
        <w:tc>
          <w:tcPr>
            <w:tcW w:w="3960" w:type="dxa"/>
          </w:tcPr>
          <w:p w14:paraId="29E0DD7E" w14:textId="77777777" w:rsidR="009D186C" w:rsidRPr="002860E2"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329DF015" w14:textId="77777777" w:rsidR="009D186C" w:rsidRPr="002B3C04"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0103024" w14:textId="77777777" w:rsidR="009D186C" w:rsidRPr="002860E2"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813BF1A" w14:textId="77777777" w:rsidR="009D186C" w:rsidRPr="002B3C04"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897232E" w14:textId="77777777" w:rsidR="009D186C" w:rsidRPr="002860E2" w:rsidRDefault="009D186C" w:rsidP="009D186C">
            <w:pPr>
              <w:contextualSpacing/>
              <w:rPr>
                <w:rFonts w:asciiTheme="minorHAnsi" w:hAnsiTheme="minorHAnsi"/>
                <w:sz w:val="20"/>
                <w:szCs w:val="20"/>
              </w:rPr>
            </w:pPr>
          </w:p>
          <w:p w14:paraId="092D9AA5" w14:textId="77777777" w:rsidR="009D186C" w:rsidRPr="002860E2" w:rsidRDefault="009D186C" w:rsidP="009D186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77E81C6" w14:textId="77777777" w:rsidR="009D186C" w:rsidRDefault="009D186C" w:rsidP="009D1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D05E2" w:rsidRPr="002860E2" w14:paraId="7E67F1AB" w14:textId="77777777" w:rsidTr="00CD05E2">
        <w:trPr>
          <w:cantSplit/>
        </w:trPr>
        <w:tc>
          <w:tcPr>
            <w:tcW w:w="7695" w:type="dxa"/>
            <w:gridSpan w:val="2"/>
            <w:shd w:val="clear" w:color="auto" w:fill="92D050"/>
          </w:tcPr>
          <w:p w14:paraId="574E5ADB" w14:textId="77777777" w:rsidR="00CD05E2" w:rsidRPr="001556A8" w:rsidRDefault="00CD05E2" w:rsidP="009D186C">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c>
          <w:tcPr>
            <w:tcW w:w="7695" w:type="dxa"/>
            <w:gridSpan w:val="3"/>
            <w:shd w:val="clear" w:color="auto" w:fill="00B050"/>
          </w:tcPr>
          <w:p w14:paraId="12310A61" w14:textId="30B48E55" w:rsidR="00CD05E2" w:rsidRPr="001556A8" w:rsidRDefault="00CD05E2" w:rsidP="009D186C">
            <w:pPr>
              <w:contextualSpacing/>
              <w:rPr>
                <w:rFonts w:asciiTheme="minorHAnsi" w:eastAsia="Times New Roman" w:hAnsiTheme="minorHAnsi"/>
                <w:b/>
                <w:color w:val="000000"/>
                <w:sz w:val="20"/>
                <w:szCs w:val="20"/>
                <w:shd w:val="clear" w:color="auto" w:fill="FF9900"/>
              </w:rPr>
            </w:pPr>
            <w:proofErr w:type="gramStart"/>
            <w:r w:rsidRPr="009D186C">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to transfer to ICANN</w:t>
            </w:r>
          </w:p>
        </w:tc>
      </w:tr>
      <w:tr w:rsidR="00CD05E2" w:rsidRPr="002860E2" w14:paraId="25A24D6D" w14:textId="77777777" w:rsidTr="002657F2">
        <w:trPr>
          <w:cantSplit/>
        </w:trPr>
        <w:tc>
          <w:tcPr>
            <w:tcW w:w="675" w:type="dxa"/>
          </w:tcPr>
          <w:p w14:paraId="789055A3" w14:textId="77777777" w:rsidR="00CD05E2" w:rsidRPr="002860E2" w:rsidRDefault="00CD05E2" w:rsidP="00CD05E2">
            <w:pPr>
              <w:numPr>
                <w:ilvl w:val="0"/>
                <w:numId w:val="23"/>
              </w:numPr>
              <w:contextualSpacing/>
              <w:rPr>
                <w:rFonts w:asciiTheme="minorHAnsi" w:hAnsiTheme="minorHAnsi"/>
                <w:b/>
                <w:sz w:val="20"/>
                <w:szCs w:val="20"/>
              </w:rPr>
            </w:pPr>
          </w:p>
        </w:tc>
        <w:tc>
          <w:tcPr>
            <w:tcW w:w="8055" w:type="dxa"/>
            <w:gridSpan w:val="2"/>
          </w:tcPr>
          <w:p w14:paraId="5334D548" w14:textId="77777777" w:rsidR="00CD05E2" w:rsidRPr="002860E2" w:rsidRDefault="00CD05E2" w:rsidP="00CD05E2">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543247BF" w14:textId="77777777" w:rsidR="00CD05E2" w:rsidRPr="007B0793" w:rsidRDefault="00CD05E2" w:rsidP="00CD05E2">
            <w:pPr>
              <w:pStyle w:val="ColorfulList-Accent11"/>
              <w:ind w:left="0"/>
              <w:rPr>
                <w:rFonts w:asciiTheme="minorHAnsi" w:hAnsiTheme="minorHAnsi"/>
                <w:sz w:val="20"/>
                <w:szCs w:val="20"/>
              </w:rPr>
            </w:pPr>
          </w:p>
        </w:tc>
        <w:tc>
          <w:tcPr>
            <w:tcW w:w="2700" w:type="dxa"/>
          </w:tcPr>
          <w:p w14:paraId="36ADE5ED" w14:textId="77777777" w:rsidR="00185735" w:rsidRPr="00185735" w:rsidRDefault="00185735" w:rsidP="00185735">
            <w:pPr>
              <w:pStyle w:val="ListParagraph"/>
              <w:numPr>
                <w:ilvl w:val="0"/>
                <w:numId w:val="43"/>
              </w:numPr>
              <w:ind w:left="336"/>
              <w:contextualSpacing/>
              <w:rPr>
                <w:rFonts w:asciiTheme="minorHAnsi" w:hAnsiTheme="minorHAnsi"/>
                <w:sz w:val="20"/>
                <w:szCs w:val="20"/>
              </w:rPr>
            </w:pPr>
            <w:r w:rsidRPr="00185735">
              <w:rPr>
                <w:rFonts w:asciiTheme="minorHAnsi" w:hAnsiTheme="minorHAnsi"/>
                <w:sz w:val="20"/>
                <w:szCs w:val="20"/>
              </w:rPr>
              <w:t>Dean S. Marks; Coalition for Online Accountability</w:t>
            </w:r>
          </w:p>
          <w:p w14:paraId="485A948F" w14:textId="77777777" w:rsidR="00185735" w:rsidRPr="00185735" w:rsidRDefault="00185735" w:rsidP="00185735">
            <w:pPr>
              <w:pStyle w:val="ListParagraph"/>
              <w:numPr>
                <w:ilvl w:val="0"/>
                <w:numId w:val="43"/>
              </w:numPr>
              <w:ind w:left="336"/>
              <w:contextualSpacing/>
              <w:rPr>
                <w:rFonts w:asciiTheme="minorHAnsi" w:hAnsiTheme="minorHAnsi"/>
                <w:sz w:val="20"/>
                <w:szCs w:val="20"/>
              </w:rPr>
            </w:pPr>
            <w:r w:rsidRPr="00185735">
              <w:rPr>
                <w:rFonts w:asciiTheme="minorHAnsi" w:hAnsiTheme="minorHAnsi"/>
                <w:sz w:val="20"/>
                <w:szCs w:val="20"/>
              </w:rPr>
              <w:t>Brian King; IPC</w:t>
            </w:r>
          </w:p>
          <w:p w14:paraId="27F75C34" w14:textId="560202CC" w:rsidR="00CD05E2" w:rsidRPr="007B0793" w:rsidRDefault="00185735" w:rsidP="00185735">
            <w:pPr>
              <w:pStyle w:val="ListParagraph"/>
              <w:numPr>
                <w:ilvl w:val="0"/>
                <w:numId w:val="43"/>
              </w:numPr>
              <w:ind w:left="336"/>
              <w:contextualSpacing/>
              <w:rPr>
                <w:rFonts w:asciiTheme="minorHAnsi" w:hAnsiTheme="minorHAnsi"/>
                <w:sz w:val="20"/>
                <w:szCs w:val="20"/>
              </w:rPr>
            </w:pPr>
            <w:r w:rsidRPr="00185735">
              <w:rPr>
                <w:rFonts w:asciiTheme="minorHAnsi" w:hAnsiTheme="minorHAnsi"/>
                <w:sz w:val="20"/>
                <w:szCs w:val="20"/>
              </w:rPr>
              <w:t>Ben Butler; SSAC</w:t>
            </w:r>
          </w:p>
        </w:tc>
        <w:tc>
          <w:tcPr>
            <w:tcW w:w="3960" w:type="dxa"/>
          </w:tcPr>
          <w:p w14:paraId="11FA7D82"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1ADAAE2" w14:textId="77777777" w:rsidR="00CD05E2" w:rsidRPr="002B3C04"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0E8184F5"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9D67137" w14:textId="77777777" w:rsidR="00CD05E2" w:rsidRPr="002B3C04"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52C20606" w14:textId="77777777" w:rsidR="00CD05E2" w:rsidRPr="002860E2" w:rsidRDefault="00CD05E2" w:rsidP="00CD05E2">
            <w:pPr>
              <w:contextualSpacing/>
              <w:rPr>
                <w:rFonts w:asciiTheme="minorHAnsi" w:hAnsiTheme="minorHAnsi"/>
                <w:sz w:val="20"/>
                <w:szCs w:val="20"/>
              </w:rPr>
            </w:pPr>
          </w:p>
          <w:p w14:paraId="786DF31C" w14:textId="77777777" w:rsidR="00CD05E2" w:rsidRPr="002860E2" w:rsidRDefault="00CD05E2" w:rsidP="00CD05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7990D5B"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D05E2" w:rsidRPr="002860E2" w14:paraId="7E560024" w14:textId="77777777" w:rsidTr="002657F2">
        <w:trPr>
          <w:cantSplit/>
        </w:trPr>
        <w:tc>
          <w:tcPr>
            <w:tcW w:w="675" w:type="dxa"/>
          </w:tcPr>
          <w:p w14:paraId="68EE9696" w14:textId="77777777" w:rsidR="00CD05E2" w:rsidRPr="002860E2" w:rsidRDefault="00CD05E2" w:rsidP="00CD05E2">
            <w:pPr>
              <w:numPr>
                <w:ilvl w:val="0"/>
                <w:numId w:val="23"/>
              </w:numPr>
              <w:contextualSpacing/>
              <w:rPr>
                <w:rFonts w:asciiTheme="minorHAnsi" w:hAnsiTheme="minorHAnsi"/>
                <w:b/>
                <w:sz w:val="20"/>
                <w:szCs w:val="20"/>
              </w:rPr>
            </w:pPr>
          </w:p>
        </w:tc>
        <w:tc>
          <w:tcPr>
            <w:tcW w:w="8055" w:type="dxa"/>
            <w:gridSpan w:val="2"/>
          </w:tcPr>
          <w:p w14:paraId="24F203D2" w14:textId="77777777" w:rsidR="00185735" w:rsidRPr="00185735" w:rsidRDefault="00185735" w:rsidP="00185735">
            <w:pPr>
              <w:pStyle w:val="ColorfulList-Accent11"/>
              <w:ind w:left="30"/>
              <w:rPr>
                <w:rFonts w:asciiTheme="minorHAnsi" w:hAnsiTheme="minorHAnsi"/>
                <w:sz w:val="20"/>
                <w:szCs w:val="20"/>
              </w:rPr>
            </w:pPr>
            <w:r w:rsidRPr="00185735">
              <w:rPr>
                <w:rFonts w:asciiTheme="minorHAnsi" w:hAnsiTheme="minorHAnsi"/>
                <w:sz w:val="20"/>
                <w:szCs w:val="20"/>
              </w:rPr>
              <w:t>The wording could be modified as below</w:t>
            </w:r>
          </w:p>
          <w:p w14:paraId="2413EA4F" w14:textId="73894C0E" w:rsidR="00CD05E2" w:rsidRPr="007B0793" w:rsidRDefault="00185735" w:rsidP="00185735">
            <w:pPr>
              <w:pStyle w:val="ColorfulList-Accent11"/>
              <w:ind w:left="30"/>
              <w:rPr>
                <w:rFonts w:asciiTheme="minorHAnsi" w:hAnsiTheme="minorHAnsi"/>
                <w:sz w:val="20"/>
                <w:szCs w:val="20"/>
              </w:rPr>
            </w:pPr>
            <w:r w:rsidRPr="00185735">
              <w:rPr>
                <w:rFonts w:asciiTheme="minorHAnsi" w:hAnsiTheme="minorHAnsi"/>
                <w:sz w:val="20"/>
                <w:szCs w:val="20"/>
              </w:rPr>
              <w:t xml:space="preserve">1. The EPDP Team recommends that updates are made to the contractual requirements for registries and registrars to transfer to ICANN Compliance the domain name registration data that they process (replace "process" with "collect") - delete - "when required/requested" - delete , consistent with the data elements workbook that analyzes the purpose to handle contractual compliance monitoring requests, audits, and complaints submitted by Registry Operators, Registrars, Registered Name Holders, and other Internet users (see Annex D, Workbook 5). 2. The data elements workbook that analyzes the purpose to handle contractual compliance monitoring requests, audits, and complaints submitted by Registry Operators, Registrars, Registered Name Holders, and other Internet users contains the specifically-identified </w:t>
            </w:r>
            <w:proofErr w:type="gramStart"/>
            <w:r w:rsidRPr="00185735">
              <w:rPr>
                <w:rFonts w:asciiTheme="minorHAnsi" w:hAnsiTheme="minorHAnsi"/>
                <w:sz w:val="20"/>
                <w:szCs w:val="20"/>
              </w:rPr>
              <w:t>( replace</w:t>
            </w:r>
            <w:proofErr w:type="gramEnd"/>
            <w:r w:rsidRPr="00185735">
              <w:rPr>
                <w:rFonts w:asciiTheme="minorHAnsi" w:hAnsiTheme="minorHAnsi"/>
                <w:sz w:val="20"/>
                <w:szCs w:val="20"/>
              </w:rPr>
              <w:t xml:space="preserve"> "specifically-identified" with "all" ) data elements the EPDP Team recommends be transferred from registries and registrars to ICANN Compliance (see Annex D, Workbook 5)</w:t>
            </w:r>
          </w:p>
        </w:tc>
        <w:tc>
          <w:tcPr>
            <w:tcW w:w="2700" w:type="dxa"/>
          </w:tcPr>
          <w:p w14:paraId="2B10AF2B" w14:textId="4DBA77C4" w:rsidR="00CD05E2" w:rsidRPr="00185735" w:rsidRDefault="00185735" w:rsidP="00185735">
            <w:pPr>
              <w:contextualSpacing/>
              <w:rPr>
                <w:rFonts w:asciiTheme="minorHAnsi" w:hAnsiTheme="minorHAnsi"/>
                <w:sz w:val="20"/>
                <w:szCs w:val="20"/>
              </w:rPr>
            </w:pPr>
            <w:proofErr w:type="spellStart"/>
            <w:r w:rsidRPr="00185735">
              <w:rPr>
                <w:rFonts w:asciiTheme="minorHAnsi" w:hAnsiTheme="minorHAnsi"/>
                <w:sz w:val="20"/>
                <w:szCs w:val="20"/>
              </w:rPr>
              <w:t>Sivasubramanian</w:t>
            </w:r>
            <w:proofErr w:type="spellEnd"/>
            <w:r w:rsidRPr="00185735">
              <w:rPr>
                <w:rFonts w:asciiTheme="minorHAnsi" w:hAnsiTheme="minorHAnsi"/>
                <w:sz w:val="20"/>
                <w:szCs w:val="20"/>
              </w:rPr>
              <w:t xml:space="preserve"> Muthusamy; Internet Society India Chennai</w:t>
            </w:r>
          </w:p>
        </w:tc>
        <w:tc>
          <w:tcPr>
            <w:tcW w:w="3960" w:type="dxa"/>
          </w:tcPr>
          <w:p w14:paraId="5B4B0164"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7813197"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2586D02"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5AC8EE"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6DB3F2F" w14:textId="77777777" w:rsidR="00185735" w:rsidRPr="002860E2" w:rsidRDefault="00185735" w:rsidP="00185735">
            <w:pPr>
              <w:contextualSpacing/>
              <w:rPr>
                <w:rFonts w:asciiTheme="minorHAnsi" w:hAnsiTheme="minorHAnsi"/>
                <w:sz w:val="20"/>
                <w:szCs w:val="20"/>
              </w:rPr>
            </w:pPr>
          </w:p>
          <w:p w14:paraId="1413B722"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A1CCFA0"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D05E2" w:rsidRPr="002860E2" w14:paraId="7CF9284E" w14:textId="77777777" w:rsidTr="002657F2">
        <w:trPr>
          <w:cantSplit/>
        </w:trPr>
        <w:tc>
          <w:tcPr>
            <w:tcW w:w="675" w:type="dxa"/>
          </w:tcPr>
          <w:p w14:paraId="74AF236E" w14:textId="77777777" w:rsidR="00CD05E2" w:rsidRPr="002860E2" w:rsidRDefault="00CD05E2" w:rsidP="00CD05E2">
            <w:pPr>
              <w:numPr>
                <w:ilvl w:val="0"/>
                <w:numId w:val="23"/>
              </w:numPr>
              <w:contextualSpacing/>
              <w:rPr>
                <w:rFonts w:asciiTheme="minorHAnsi" w:hAnsiTheme="minorHAnsi"/>
                <w:b/>
                <w:sz w:val="20"/>
                <w:szCs w:val="20"/>
              </w:rPr>
            </w:pPr>
          </w:p>
        </w:tc>
        <w:tc>
          <w:tcPr>
            <w:tcW w:w="8055" w:type="dxa"/>
            <w:gridSpan w:val="2"/>
          </w:tcPr>
          <w:p w14:paraId="011B41B8" w14:textId="242E07E1" w:rsidR="00CD05E2" w:rsidRPr="002860E2" w:rsidRDefault="00185735" w:rsidP="00CD05E2">
            <w:pPr>
              <w:pStyle w:val="ColorfulList-Accent11"/>
              <w:ind w:left="0"/>
              <w:rPr>
                <w:rFonts w:asciiTheme="minorHAnsi" w:hAnsiTheme="minorHAnsi"/>
                <w:sz w:val="20"/>
                <w:szCs w:val="20"/>
              </w:rPr>
            </w:pPr>
            <w:r w:rsidRPr="00185735">
              <w:rPr>
                <w:rFonts w:asciiTheme="minorHAnsi" w:hAnsiTheme="minorHAnsi"/>
                <w:sz w:val="20"/>
                <w:szCs w:val="20"/>
              </w:rPr>
              <w:t>Ensure that as new fields are added (as Rec #4 fields are changed, due to public input), that these additional (sometimes option) fields are added into Rec #7.</w:t>
            </w:r>
          </w:p>
        </w:tc>
        <w:tc>
          <w:tcPr>
            <w:tcW w:w="2700" w:type="dxa"/>
          </w:tcPr>
          <w:p w14:paraId="0DB4F0CF" w14:textId="5F1C0062" w:rsidR="00CD05E2" w:rsidRPr="00185735" w:rsidRDefault="00185735" w:rsidP="00185735">
            <w:pPr>
              <w:contextualSpacing/>
              <w:rPr>
                <w:rFonts w:asciiTheme="minorHAnsi" w:hAnsiTheme="minorHAnsi"/>
                <w:sz w:val="20"/>
                <w:szCs w:val="20"/>
              </w:rPr>
            </w:pPr>
            <w:r w:rsidRPr="00185735">
              <w:rPr>
                <w:rFonts w:asciiTheme="minorHAnsi" w:hAnsiTheme="minorHAnsi"/>
                <w:sz w:val="20"/>
                <w:szCs w:val="20"/>
              </w:rPr>
              <w:t xml:space="preserve">George </w:t>
            </w:r>
            <w:proofErr w:type="spellStart"/>
            <w:r w:rsidRPr="00185735">
              <w:rPr>
                <w:rFonts w:asciiTheme="minorHAnsi" w:hAnsiTheme="minorHAnsi"/>
                <w:sz w:val="20"/>
                <w:szCs w:val="20"/>
              </w:rPr>
              <w:t>Kirikos</w:t>
            </w:r>
            <w:proofErr w:type="spellEnd"/>
            <w:r w:rsidRPr="00185735">
              <w:rPr>
                <w:rFonts w:asciiTheme="minorHAnsi" w:hAnsiTheme="minorHAnsi"/>
                <w:sz w:val="20"/>
                <w:szCs w:val="20"/>
              </w:rPr>
              <w:t>; Leap of Faith Financial Services Inc.</w:t>
            </w:r>
          </w:p>
        </w:tc>
        <w:tc>
          <w:tcPr>
            <w:tcW w:w="3960" w:type="dxa"/>
          </w:tcPr>
          <w:p w14:paraId="71132A93"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07553275" w14:textId="77777777" w:rsidR="00CD05E2" w:rsidRPr="002B3C04"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7D5917" w14:textId="77777777" w:rsidR="00CD05E2" w:rsidRPr="002860E2"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5CFB619" w14:textId="77777777" w:rsidR="00CD05E2" w:rsidRPr="002B3C04" w:rsidRDefault="00CD05E2" w:rsidP="00CD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89C8C0" w14:textId="77777777" w:rsidR="00CD05E2" w:rsidRPr="002860E2" w:rsidRDefault="00CD05E2" w:rsidP="00CD05E2">
            <w:pPr>
              <w:contextualSpacing/>
              <w:rPr>
                <w:rFonts w:asciiTheme="minorHAnsi" w:hAnsiTheme="minorHAnsi"/>
                <w:sz w:val="20"/>
                <w:szCs w:val="20"/>
              </w:rPr>
            </w:pPr>
          </w:p>
          <w:p w14:paraId="7CE76EA0" w14:textId="77777777" w:rsidR="00CD05E2" w:rsidRPr="002860E2" w:rsidRDefault="00CD05E2" w:rsidP="00CD05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35187C" w14:textId="77777777" w:rsidR="00CD05E2" w:rsidRPr="002860E2" w:rsidRDefault="00CD05E2" w:rsidP="00CD05E2">
            <w:pPr>
              <w:contextualSpacing/>
              <w:rPr>
                <w:rFonts w:asciiTheme="minorHAnsi" w:hAnsiTheme="minorHAnsi"/>
                <w:sz w:val="20"/>
                <w:szCs w:val="20"/>
              </w:rPr>
            </w:pPr>
          </w:p>
        </w:tc>
      </w:tr>
      <w:tr w:rsidR="00185735" w:rsidRPr="002860E2" w14:paraId="14B61AAF" w14:textId="77777777" w:rsidTr="00185735">
        <w:trPr>
          <w:cantSplit/>
        </w:trPr>
        <w:tc>
          <w:tcPr>
            <w:tcW w:w="7695" w:type="dxa"/>
            <w:gridSpan w:val="2"/>
            <w:shd w:val="clear" w:color="auto" w:fill="92D050"/>
          </w:tcPr>
          <w:p w14:paraId="139C9545" w14:textId="0C805C0C"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c>
          <w:tcPr>
            <w:tcW w:w="7695" w:type="dxa"/>
            <w:gridSpan w:val="3"/>
            <w:shd w:val="clear" w:color="auto" w:fill="FF0000"/>
          </w:tcPr>
          <w:p w14:paraId="21A010ED" w14:textId="29665843" w:rsidR="00185735" w:rsidRPr="00185735"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FFFFFF" w:themeColor="background1"/>
                <w:sz w:val="20"/>
                <w:szCs w:val="20"/>
                <w:shd w:val="clear" w:color="auto" w:fill="FF9900"/>
              </w:rPr>
            </w:pPr>
            <w:r>
              <w:rPr>
                <w:rFonts w:asciiTheme="minorHAnsi" w:hAnsiTheme="minorHAnsi"/>
                <w:b/>
                <w:color w:val="FFFFFF" w:themeColor="background1"/>
                <w:sz w:val="22"/>
              </w:rPr>
              <w:t>No</w:t>
            </w:r>
            <w:r w:rsidRPr="009D186C">
              <w:rPr>
                <w:rFonts w:asciiTheme="minorHAnsi" w:hAnsiTheme="minorHAnsi"/>
                <w:b/>
                <w:color w:val="FFFFFF" w:themeColor="background1"/>
                <w:sz w:val="22"/>
              </w:rPr>
              <w:t xml:space="preserve"> to transfer to ICANN</w:t>
            </w:r>
          </w:p>
        </w:tc>
      </w:tr>
      <w:tr w:rsidR="00185735" w:rsidRPr="002860E2" w14:paraId="37DA447B" w14:textId="77777777" w:rsidTr="002657F2">
        <w:trPr>
          <w:cantSplit/>
        </w:trPr>
        <w:tc>
          <w:tcPr>
            <w:tcW w:w="675" w:type="dxa"/>
          </w:tcPr>
          <w:p w14:paraId="03911804"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6231BCE7" w14:textId="77777777" w:rsidR="00185735" w:rsidRDefault="00034846" w:rsidP="00185735">
            <w:pPr>
              <w:pStyle w:val="ColorfulList-Accent11"/>
              <w:ind w:left="30"/>
              <w:rPr>
                <w:rFonts w:asciiTheme="minorHAnsi" w:hAnsiTheme="minorHAnsi"/>
                <w:sz w:val="20"/>
                <w:szCs w:val="20"/>
              </w:rPr>
            </w:pPr>
            <w:r w:rsidRPr="00034846">
              <w:rPr>
                <w:rFonts w:asciiTheme="minorHAnsi" w:hAnsiTheme="minorHAnsi"/>
                <w:sz w:val="20"/>
                <w:szCs w:val="20"/>
              </w:rPr>
              <w:t xml:space="preserve">Not all purposes proposed in Annex </w:t>
            </w:r>
            <w:proofErr w:type="spellStart"/>
            <w:r w:rsidRPr="00034846">
              <w:rPr>
                <w:rFonts w:asciiTheme="minorHAnsi" w:hAnsiTheme="minorHAnsi"/>
                <w:sz w:val="20"/>
                <w:szCs w:val="20"/>
              </w:rPr>
              <w:t>D are</w:t>
            </w:r>
            <w:proofErr w:type="spellEnd"/>
            <w:r w:rsidRPr="00034846">
              <w:rPr>
                <w:rFonts w:asciiTheme="minorHAnsi" w:hAnsiTheme="minorHAnsi"/>
                <w:sz w:val="20"/>
                <w:szCs w:val="20"/>
              </w:rPr>
              <w:t xml:space="preserve"> purposes for processing data and request for disclosure should be specific and proportionate to the issue being addressed.</w:t>
            </w:r>
          </w:p>
          <w:p w14:paraId="1D82E8C9" w14:textId="77777777" w:rsidR="00034846" w:rsidRDefault="00034846" w:rsidP="00185735">
            <w:pPr>
              <w:pStyle w:val="ColorfulList-Accent11"/>
              <w:ind w:left="30"/>
              <w:rPr>
                <w:rFonts w:asciiTheme="minorHAnsi" w:hAnsiTheme="minorHAnsi"/>
                <w:sz w:val="20"/>
                <w:szCs w:val="20"/>
              </w:rPr>
            </w:pPr>
          </w:p>
          <w:p w14:paraId="0F421B38" w14:textId="6070C452" w:rsidR="00034846" w:rsidRPr="002860E2" w:rsidRDefault="00034846" w:rsidP="00185735">
            <w:pPr>
              <w:pStyle w:val="ColorfulList-Accent11"/>
              <w:ind w:left="30"/>
              <w:rPr>
                <w:rFonts w:asciiTheme="minorHAnsi" w:hAnsiTheme="minorHAnsi"/>
                <w:sz w:val="20"/>
                <w:szCs w:val="20"/>
              </w:rPr>
            </w:pPr>
            <w:r w:rsidRPr="00034846">
              <w:rPr>
                <w:rFonts w:asciiTheme="minorHAnsi" w:hAnsiTheme="minorHAnsi"/>
                <w:sz w:val="20"/>
                <w:szCs w:val="20"/>
              </w:rPr>
              <w:t>GoDaddy supports the purpose, namely the ability of ICANN to enforce compliance of its agreements (RAA, RA) with Contracted Parties, where applicable.  However, this purpose is contingent on the resolution of ICANN’s status as a data controller or joint controller. Programs that monitor or audit registration data must also be clearly defined before they can be included as a component of this purpose.</w:t>
            </w:r>
          </w:p>
        </w:tc>
        <w:tc>
          <w:tcPr>
            <w:tcW w:w="2700" w:type="dxa"/>
          </w:tcPr>
          <w:p w14:paraId="761AF2CE" w14:textId="7E022D0F" w:rsidR="00185735" w:rsidRPr="002860E2" w:rsidRDefault="00034846" w:rsidP="00185735">
            <w:pPr>
              <w:contextualSpacing/>
              <w:rPr>
                <w:rFonts w:asciiTheme="minorHAnsi" w:hAnsiTheme="minorHAnsi"/>
                <w:sz w:val="20"/>
                <w:szCs w:val="20"/>
              </w:rPr>
            </w:pPr>
            <w:r w:rsidRPr="00034846">
              <w:rPr>
                <w:rFonts w:asciiTheme="minorHAnsi" w:hAnsiTheme="minorHAnsi"/>
                <w:sz w:val="20"/>
                <w:szCs w:val="20"/>
              </w:rPr>
              <w:t xml:space="preserve">Sara </w:t>
            </w:r>
            <w:proofErr w:type="spellStart"/>
            <w:r w:rsidRPr="00034846">
              <w:rPr>
                <w:rFonts w:asciiTheme="minorHAnsi" w:hAnsiTheme="minorHAnsi"/>
                <w:sz w:val="20"/>
                <w:szCs w:val="20"/>
              </w:rPr>
              <w:t>Bockey</w:t>
            </w:r>
            <w:proofErr w:type="spellEnd"/>
            <w:r w:rsidRPr="00034846">
              <w:rPr>
                <w:rFonts w:asciiTheme="minorHAnsi" w:hAnsiTheme="minorHAnsi"/>
                <w:sz w:val="20"/>
                <w:szCs w:val="20"/>
              </w:rPr>
              <w:t>; GoDaddy</w:t>
            </w:r>
          </w:p>
        </w:tc>
        <w:tc>
          <w:tcPr>
            <w:tcW w:w="3960" w:type="dxa"/>
          </w:tcPr>
          <w:p w14:paraId="6E327742"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11606C1"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50DE39E"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E20581"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9FA0F49" w14:textId="77777777" w:rsidR="00185735" w:rsidRPr="002860E2" w:rsidRDefault="00185735" w:rsidP="00185735">
            <w:pPr>
              <w:contextualSpacing/>
              <w:rPr>
                <w:rFonts w:asciiTheme="minorHAnsi" w:hAnsiTheme="minorHAnsi"/>
                <w:sz w:val="20"/>
                <w:szCs w:val="20"/>
              </w:rPr>
            </w:pPr>
          </w:p>
          <w:p w14:paraId="69295329"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7CB28A" w14:textId="77777777" w:rsidR="00185735" w:rsidRPr="002860E2" w:rsidRDefault="00185735" w:rsidP="00185735">
            <w:pPr>
              <w:contextualSpacing/>
              <w:rPr>
                <w:rFonts w:asciiTheme="minorHAnsi" w:hAnsiTheme="minorHAnsi"/>
                <w:sz w:val="20"/>
                <w:szCs w:val="20"/>
              </w:rPr>
            </w:pPr>
          </w:p>
        </w:tc>
      </w:tr>
      <w:tr w:rsidR="00185735" w:rsidRPr="002860E2" w14:paraId="0A13D188" w14:textId="77777777" w:rsidTr="002657F2">
        <w:trPr>
          <w:cantSplit/>
        </w:trPr>
        <w:tc>
          <w:tcPr>
            <w:tcW w:w="675" w:type="dxa"/>
          </w:tcPr>
          <w:p w14:paraId="4B81EF2F"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424A6805"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Transfer of the following data elements is not necessary to achieve the Purposes identified above:</w:t>
            </w:r>
          </w:p>
          <w:p w14:paraId="3B8551FF"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Registrant Street</w:t>
            </w:r>
          </w:p>
          <w:p w14:paraId="04A776BC"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Registrant City</w:t>
            </w:r>
          </w:p>
          <w:p w14:paraId="2782CEA2"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Registrant State/Province</w:t>
            </w:r>
          </w:p>
          <w:p w14:paraId="603DE980"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Registrant Postal Code </w:t>
            </w:r>
          </w:p>
          <w:p w14:paraId="4233CCBC"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Registrant phone / phone </w:t>
            </w:r>
            <w:proofErr w:type="spellStart"/>
            <w:r w:rsidRPr="00034846">
              <w:rPr>
                <w:rFonts w:asciiTheme="minorHAnsi" w:hAnsiTheme="minorHAnsi"/>
                <w:sz w:val="20"/>
                <w:szCs w:val="20"/>
              </w:rPr>
              <w:t>ext</w:t>
            </w:r>
            <w:proofErr w:type="spellEnd"/>
          </w:p>
          <w:p w14:paraId="58421E17"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Registrant fax / fax </w:t>
            </w:r>
            <w:proofErr w:type="spellStart"/>
            <w:r w:rsidRPr="00034846">
              <w:rPr>
                <w:rFonts w:asciiTheme="minorHAnsi" w:hAnsiTheme="minorHAnsi"/>
                <w:sz w:val="20"/>
                <w:szCs w:val="20"/>
              </w:rPr>
              <w:t>ext</w:t>
            </w:r>
            <w:proofErr w:type="spellEnd"/>
          </w:p>
          <w:p w14:paraId="7B89315E"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Tech Name</w:t>
            </w:r>
          </w:p>
          <w:p w14:paraId="5937DB42"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Tech Phone</w:t>
            </w:r>
          </w:p>
          <w:p w14:paraId="4EE35369"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Tech Email </w:t>
            </w:r>
          </w:p>
          <w:p w14:paraId="3A18E877" w14:textId="77777777" w:rsidR="00185735"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In addition, the remaining data elements (Registrant Name, Registrant Organization, Registrant Email, Registrant Country) should only be transferred to ICANN after ICANN has demonstrated a specific legitimate purpose to access those particular data elements.</w:t>
            </w:r>
          </w:p>
          <w:p w14:paraId="1A86F06A" w14:textId="77777777" w:rsidR="00034846" w:rsidRDefault="00034846" w:rsidP="00034846">
            <w:pPr>
              <w:pStyle w:val="ColorfulList-Accent11"/>
              <w:ind w:left="0"/>
              <w:rPr>
                <w:rFonts w:asciiTheme="minorHAnsi" w:hAnsiTheme="minorHAnsi"/>
                <w:sz w:val="20"/>
                <w:szCs w:val="20"/>
              </w:rPr>
            </w:pPr>
          </w:p>
          <w:p w14:paraId="59F7A290" w14:textId="10906D3D" w:rsidR="00034846" w:rsidRPr="002860E2"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The data elements listed above are not necessary for ICANN Contractual Compliance to complete “monitoring requests, audits, and complaints submitted by registry operators, registrars, registered name holders, and other internet users” in the bulk of such situations. No data should be automatically transferred, either by or to ICANN but should only be transferred upon a showing of legitimate interest on a case-by-case basis. Our experience has been that ICANN Contractual Compliance does not ever require the above-listed data elements. We also note that, as to the remaining data elements, which are occasionally called for, they should never be presumptively required but each data element should be justified by ICANN Contractual Compliance if and when they believe the data element to be necessary for a specific matter on a case-by-case basis. Registrars should not be penalized by ICANN Contractual Compliance in the instance that they disagree with ICANN Contractual Compliance determination regarding legitimate interest as Registrars have been placed in the position of being the stewards of their registrants’ personal data. Finally, the data elements listed above are not only not necessary for ICANN Contractual Compliance, they are not necessary for ICANN’s purposes at all and should not be required to be collected by Registrars.</w:t>
            </w:r>
          </w:p>
        </w:tc>
        <w:tc>
          <w:tcPr>
            <w:tcW w:w="2700" w:type="dxa"/>
          </w:tcPr>
          <w:p w14:paraId="0C245F88" w14:textId="284199D6" w:rsidR="00185735" w:rsidRPr="002860E2" w:rsidRDefault="00034846" w:rsidP="00185735">
            <w:pPr>
              <w:contextualSpacing/>
              <w:rPr>
                <w:rFonts w:asciiTheme="minorHAnsi" w:hAnsiTheme="minorHAnsi"/>
                <w:sz w:val="20"/>
                <w:szCs w:val="20"/>
              </w:rPr>
            </w:pPr>
            <w:proofErr w:type="spellStart"/>
            <w:r w:rsidRPr="00034846">
              <w:rPr>
                <w:rFonts w:asciiTheme="minorHAnsi" w:hAnsiTheme="minorHAnsi"/>
                <w:sz w:val="20"/>
                <w:szCs w:val="20"/>
              </w:rPr>
              <w:t>Tucows</w:t>
            </w:r>
            <w:proofErr w:type="spellEnd"/>
            <w:r w:rsidRPr="00034846">
              <w:rPr>
                <w:rFonts w:asciiTheme="minorHAnsi" w:hAnsiTheme="minorHAnsi"/>
                <w:sz w:val="20"/>
                <w:szCs w:val="20"/>
              </w:rPr>
              <w:t xml:space="preserve"> Domains Inc.</w:t>
            </w:r>
          </w:p>
        </w:tc>
        <w:tc>
          <w:tcPr>
            <w:tcW w:w="3960" w:type="dxa"/>
          </w:tcPr>
          <w:p w14:paraId="44044598"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2EEA6AA"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87CCEC7"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7158E6B"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1058ED1" w14:textId="77777777" w:rsidR="00185735" w:rsidRPr="002860E2" w:rsidRDefault="00185735" w:rsidP="00185735">
            <w:pPr>
              <w:contextualSpacing/>
              <w:rPr>
                <w:rFonts w:asciiTheme="minorHAnsi" w:hAnsiTheme="minorHAnsi"/>
                <w:sz w:val="20"/>
                <w:szCs w:val="20"/>
              </w:rPr>
            </w:pPr>
          </w:p>
          <w:p w14:paraId="1D44A9CA"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8CEA16E" w14:textId="77777777" w:rsidR="00185735" w:rsidRPr="002860E2" w:rsidRDefault="00185735" w:rsidP="00185735">
            <w:pPr>
              <w:contextualSpacing/>
              <w:rPr>
                <w:rFonts w:asciiTheme="minorHAnsi" w:hAnsiTheme="minorHAnsi"/>
                <w:sz w:val="20"/>
                <w:szCs w:val="20"/>
              </w:rPr>
            </w:pPr>
          </w:p>
        </w:tc>
      </w:tr>
      <w:tr w:rsidR="00185735" w:rsidRPr="002860E2" w14:paraId="16C94268" w14:textId="77777777" w:rsidTr="002657F2">
        <w:trPr>
          <w:cantSplit/>
        </w:trPr>
        <w:tc>
          <w:tcPr>
            <w:tcW w:w="675" w:type="dxa"/>
          </w:tcPr>
          <w:p w14:paraId="7C24F6F8"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273A8FE4"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The EPDP Team did not specifically discuss and analyze each of the individual data elements identified in Preliminary Recommendation 7. It must do so, and revise the recommendation as appropriate. The </w:t>
            </w:r>
            <w:proofErr w:type="spellStart"/>
            <w:r w:rsidRPr="00034846">
              <w:rPr>
                <w:rFonts w:asciiTheme="minorHAnsi" w:hAnsiTheme="minorHAnsi"/>
                <w:sz w:val="20"/>
                <w:szCs w:val="20"/>
              </w:rPr>
              <w:t>RySG</w:t>
            </w:r>
            <w:proofErr w:type="spellEnd"/>
            <w:r w:rsidRPr="00034846">
              <w:rPr>
                <w:rFonts w:asciiTheme="minorHAnsi" w:hAnsiTheme="minorHAnsi"/>
                <w:sz w:val="20"/>
                <w:szCs w:val="20"/>
              </w:rPr>
              <w:t xml:space="preserve"> is willing and available to contribute to this analysis as the EPDP Team needs.</w:t>
            </w:r>
          </w:p>
          <w:p w14:paraId="0CAEE46B" w14:textId="77777777" w:rsidR="00034846" w:rsidRPr="00034846" w:rsidRDefault="00034846" w:rsidP="00034846">
            <w:pPr>
              <w:pStyle w:val="ColorfulList-Accent11"/>
              <w:ind w:left="0"/>
              <w:rPr>
                <w:rFonts w:asciiTheme="minorHAnsi" w:hAnsiTheme="minorHAnsi"/>
                <w:sz w:val="20"/>
                <w:szCs w:val="20"/>
              </w:rPr>
            </w:pPr>
          </w:p>
          <w:p w14:paraId="2C7D8509" w14:textId="77777777" w:rsidR="00034846" w:rsidRPr="00034846"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In conducting this analysis, the EPDP Team should bear in mind that no additional data elements should be required to be collected by the registrar or transferred from the registrar to the registry solely to achieve this purpose. Rather, the data elements required to be transferred to the data escrow agents should be derived ONLY from the set of data elements required to be collected by the registrar and transferred from the registrar to the registry in fulfillment of Purposes 1, 3, 6 or 7.</w:t>
            </w:r>
          </w:p>
          <w:p w14:paraId="66656B88" w14:textId="77777777" w:rsidR="00034846" w:rsidRPr="00034846" w:rsidRDefault="00034846" w:rsidP="00034846">
            <w:pPr>
              <w:pStyle w:val="ColorfulList-Accent11"/>
              <w:rPr>
                <w:rFonts w:asciiTheme="minorHAnsi" w:hAnsiTheme="minorHAnsi"/>
                <w:sz w:val="20"/>
                <w:szCs w:val="20"/>
              </w:rPr>
            </w:pPr>
          </w:p>
          <w:p w14:paraId="003E9B29" w14:textId="77777777" w:rsidR="00185735"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Further, in the Final Report, the recommendation should not reference the workbook but should be worded as a standalone recommendation that describes what data elements Contracted Parties are required to transfer to the data escrow providers.</w:t>
            </w:r>
          </w:p>
          <w:p w14:paraId="48BA5A4B" w14:textId="77777777" w:rsidR="00034846" w:rsidRDefault="00034846" w:rsidP="00034846">
            <w:pPr>
              <w:pStyle w:val="ColorfulList-Accent11"/>
              <w:ind w:left="0"/>
              <w:rPr>
                <w:rFonts w:asciiTheme="minorHAnsi" w:hAnsiTheme="minorHAnsi"/>
                <w:sz w:val="20"/>
                <w:szCs w:val="20"/>
              </w:rPr>
            </w:pPr>
          </w:p>
          <w:p w14:paraId="312383A7" w14:textId="724C6AD5" w:rsidR="00034846" w:rsidRPr="002860E2" w:rsidRDefault="00034846" w:rsidP="00034846">
            <w:pPr>
              <w:pStyle w:val="ColorfulList-Accent11"/>
              <w:ind w:left="0"/>
              <w:rPr>
                <w:rFonts w:asciiTheme="minorHAnsi" w:hAnsiTheme="minorHAnsi"/>
                <w:sz w:val="20"/>
                <w:szCs w:val="20"/>
              </w:rPr>
            </w:pPr>
            <w:r w:rsidRPr="00034846">
              <w:rPr>
                <w:rFonts w:asciiTheme="minorHAnsi" w:hAnsiTheme="minorHAnsi"/>
                <w:sz w:val="20"/>
                <w:szCs w:val="20"/>
              </w:rPr>
              <w:t xml:space="preserve">While the </w:t>
            </w:r>
            <w:proofErr w:type="spellStart"/>
            <w:r w:rsidRPr="00034846">
              <w:rPr>
                <w:rFonts w:asciiTheme="minorHAnsi" w:hAnsiTheme="minorHAnsi"/>
                <w:sz w:val="20"/>
                <w:szCs w:val="20"/>
              </w:rPr>
              <w:t>RySG</w:t>
            </w:r>
            <w:proofErr w:type="spellEnd"/>
            <w:r w:rsidRPr="00034846">
              <w:rPr>
                <w:rFonts w:asciiTheme="minorHAnsi" w:hAnsiTheme="minorHAnsi"/>
                <w:sz w:val="20"/>
                <w:szCs w:val="20"/>
              </w:rPr>
              <w:t xml:space="preserve"> acknowledges that ICANN’s compliance activities may be legitimate processing activities, it does not in and of itself justify the collection or transferring of any additional data elements that are not already collected and transferred for more primary purposes. It is critical for the data elements workbooks to reflect this and for the entire policy to be consistent.</w:t>
            </w:r>
          </w:p>
        </w:tc>
        <w:tc>
          <w:tcPr>
            <w:tcW w:w="2700" w:type="dxa"/>
          </w:tcPr>
          <w:p w14:paraId="3A7E6560" w14:textId="4481C8D3" w:rsidR="00185735" w:rsidRPr="007B0793" w:rsidRDefault="00034846" w:rsidP="00185735">
            <w:pPr>
              <w:contextualSpacing/>
              <w:rPr>
                <w:rFonts w:asciiTheme="minorHAnsi" w:hAnsiTheme="minorHAnsi"/>
                <w:sz w:val="20"/>
                <w:szCs w:val="20"/>
              </w:rPr>
            </w:pPr>
            <w:r w:rsidRPr="00034846">
              <w:rPr>
                <w:rFonts w:asciiTheme="minorHAnsi" w:hAnsiTheme="minorHAnsi"/>
                <w:sz w:val="20"/>
                <w:szCs w:val="20"/>
              </w:rPr>
              <w:t xml:space="preserve">Wim </w:t>
            </w:r>
            <w:proofErr w:type="spellStart"/>
            <w:proofErr w:type="gramStart"/>
            <w:r w:rsidRPr="00034846">
              <w:rPr>
                <w:rFonts w:asciiTheme="minorHAnsi" w:hAnsiTheme="minorHAnsi"/>
                <w:sz w:val="20"/>
                <w:szCs w:val="20"/>
              </w:rPr>
              <w:t>Degezelle</w:t>
            </w:r>
            <w:proofErr w:type="spellEnd"/>
            <w:r w:rsidRPr="00034846">
              <w:rPr>
                <w:rFonts w:asciiTheme="minorHAnsi" w:hAnsiTheme="minorHAnsi"/>
                <w:sz w:val="20"/>
                <w:szCs w:val="20"/>
              </w:rPr>
              <w:t xml:space="preserve"> ;</w:t>
            </w:r>
            <w:proofErr w:type="gramEnd"/>
            <w:r w:rsidRPr="00034846">
              <w:rPr>
                <w:rFonts w:asciiTheme="minorHAnsi" w:hAnsiTheme="minorHAnsi"/>
                <w:sz w:val="20"/>
                <w:szCs w:val="20"/>
              </w:rPr>
              <w:t xml:space="preserve"> </w:t>
            </w:r>
            <w:proofErr w:type="spellStart"/>
            <w:r w:rsidRPr="00034846">
              <w:rPr>
                <w:rFonts w:asciiTheme="minorHAnsi" w:hAnsiTheme="minorHAnsi"/>
                <w:sz w:val="20"/>
                <w:szCs w:val="20"/>
              </w:rPr>
              <w:t>RySG</w:t>
            </w:r>
            <w:proofErr w:type="spellEnd"/>
          </w:p>
        </w:tc>
        <w:tc>
          <w:tcPr>
            <w:tcW w:w="3960" w:type="dxa"/>
          </w:tcPr>
          <w:p w14:paraId="79B4BBAA"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5905A21"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DDE67A6"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83B25F8"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02C6CB1" w14:textId="77777777" w:rsidR="00185735" w:rsidRPr="002860E2" w:rsidRDefault="00185735" w:rsidP="00185735">
            <w:pPr>
              <w:contextualSpacing/>
              <w:rPr>
                <w:rFonts w:asciiTheme="minorHAnsi" w:hAnsiTheme="minorHAnsi"/>
                <w:sz w:val="20"/>
                <w:szCs w:val="20"/>
              </w:rPr>
            </w:pPr>
          </w:p>
          <w:p w14:paraId="635294B8"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E03E733"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34846" w:rsidRPr="002860E2" w14:paraId="2FB142E8" w14:textId="77777777" w:rsidTr="00034846">
        <w:trPr>
          <w:cantSplit/>
        </w:trPr>
        <w:tc>
          <w:tcPr>
            <w:tcW w:w="7695" w:type="dxa"/>
            <w:gridSpan w:val="2"/>
            <w:shd w:val="clear" w:color="auto" w:fill="FFFF00"/>
          </w:tcPr>
          <w:p w14:paraId="4EB8D2B6" w14:textId="77777777" w:rsidR="00034846" w:rsidRPr="008D7EE5" w:rsidRDefault="00034846" w:rsidP="0018573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c>
          <w:tcPr>
            <w:tcW w:w="7695" w:type="dxa"/>
            <w:gridSpan w:val="3"/>
            <w:shd w:val="clear" w:color="auto" w:fill="00B050"/>
          </w:tcPr>
          <w:p w14:paraId="4A5B67FD" w14:textId="4AFA197C" w:rsidR="00034846" w:rsidRPr="008D7EE5" w:rsidRDefault="00034846" w:rsidP="00185735">
            <w:pPr>
              <w:pStyle w:val="ColorfulList-Accent11"/>
              <w:ind w:left="0"/>
              <w:rPr>
                <w:rFonts w:asciiTheme="minorHAnsi" w:eastAsia="Times New Roman" w:hAnsiTheme="minorHAnsi"/>
                <w:b/>
                <w:color w:val="000000"/>
                <w:sz w:val="22"/>
                <w:szCs w:val="22"/>
                <w:shd w:val="clear" w:color="auto" w:fill="FF9900"/>
              </w:rPr>
            </w:pPr>
            <w:proofErr w:type="gramStart"/>
            <w:r w:rsidRPr="009D186C">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to transfer to ICANN</w:t>
            </w:r>
          </w:p>
        </w:tc>
      </w:tr>
      <w:tr w:rsidR="00185735" w:rsidRPr="002860E2" w14:paraId="06CA3902" w14:textId="77777777" w:rsidTr="002657F2">
        <w:trPr>
          <w:cantSplit/>
        </w:trPr>
        <w:tc>
          <w:tcPr>
            <w:tcW w:w="675" w:type="dxa"/>
          </w:tcPr>
          <w:p w14:paraId="3E608AA2"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0CC6AE34" w14:textId="5B02C7D8" w:rsidR="00AB0EB4" w:rsidRPr="002860E2" w:rsidRDefault="00AB0EB4" w:rsidP="00AB0EB4">
            <w:pPr>
              <w:pStyle w:val="ColorfulList-Accent11"/>
              <w:ind w:left="0"/>
              <w:rPr>
                <w:rFonts w:asciiTheme="minorHAnsi" w:hAnsiTheme="minorHAnsi"/>
                <w:sz w:val="20"/>
                <w:szCs w:val="20"/>
              </w:rPr>
            </w:pPr>
            <w:r>
              <w:rPr>
                <w:rFonts w:asciiTheme="minorHAnsi" w:hAnsiTheme="minorHAnsi"/>
                <w:sz w:val="20"/>
                <w:szCs w:val="20"/>
              </w:rPr>
              <w:t xml:space="preserve">No comments provided in </w:t>
            </w:r>
            <w:r w:rsidR="00A724BF">
              <w:rPr>
                <w:rFonts w:asciiTheme="minorHAnsi" w:hAnsiTheme="minorHAnsi"/>
                <w:sz w:val="20"/>
                <w:szCs w:val="20"/>
              </w:rPr>
              <w:t>amendment</w:t>
            </w:r>
            <w:r>
              <w:rPr>
                <w:rFonts w:asciiTheme="minorHAnsi" w:hAnsiTheme="minorHAnsi"/>
                <w:sz w:val="20"/>
                <w:szCs w:val="20"/>
              </w:rPr>
              <w:t xml:space="preserve"> of this recommendation</w:t>
            </w:r>
          </w:p>
          <w:p w14:paraId="3CAD8A96" w14:textId="691F96BA" w:rsidR="00185735" w:rsidRPr="002860E2" w:rsidRDefault="00185735" w:rsidP="00185735">
            <w:pPr>
              <w:pStyle w:val="ColorfulList-Accent11"/>
              <w:ind w:left="0"/>
              <w:rPr>
                <w:rFonts w:asciiTheme="minorHAnsi" w:hAnsiTheme="minorHAnsi"/>
                <w:sz w:val="20"/>
                <w:szCs w:val="20"/>
              </w:rPr>
            </w:pPr>
          </w:p>
        </w:tc>
        <w:tc>
          <w:tcPr>
            <w:tcW w:w="2700" w:type="dxa"/>
          </w:tcPr>
          <w:p w14:paraId="68AA828B" w14:textId="2BEF3F5F" w:rsidR="00185735" w:rsidRPr="002860E2" w:rsidRDefault="00A724BF" w:rsidP="00185735">
            <w:pPr>
              <w:contextualSpacing/>
              <w:rPr>
                <w:rFonts w:asciiTheme="minorHAnsi" w:hAnsiTheme="minorHAnsi"/>
                <w:sz w:val="20"/>
                <w:szCs w:val="20"/>
              </w:rPr>
            </w:pPr>
            <w:proofErr w:type="spellStart"/>
            <w:r w:rsidRPr="00A724BF">
              <w:rPr>
                <w:rFonts w:asciiTheme="minorHAnsi" w:hAnsiTheme="minorHAnsi"/>
                <w:sz w:val="20"/>
                <w:szCs w:val="20"/>
              </w:rPr>
              <w:t>Evin</w:t>
            </w:r>
            <w:proofErr w:type="spellEnd"/>
            <w:r w:rsidRPr="00A724BF">
              <w:rPr>
                <w:rFonts w:asciiTheme="minorHAnsi" w:hAnsiTheme="minorHAnsi"/>
                <w:sz w:val="20"/>
                <w:szCs w:val="20"/>
              </w:rPr>
              <w:t xml:space="preserve"> </w:t>
            </w:r>
            <w:proofErr w:type="spellStart"/>
            <w:r w:rsidRPr="00A724BF">
              <w:rPr>
                <w:rFonts w:asciiTheme="minorHAnsi" w:hAnsiTheme="minorHAnsi"/>
                <w:sz w:val="20"/>
                <w:szCs w:val="20"/>
              </w:rPr>
              <w:t>Erdoğdu</w:t>
            </w:r>
            <w:proofErr w:type="spellEnd"/>
            <w:r w:rsidRPr="00A724BF">
              <w:rPr>
                <w:rFonts w:asciiTheme="minorHAnsi" w:hAnsiTheme="minorHAnsi"/>
                <w:sz w:val="20"/>
                <w:szCs w:val="20"/>
              </w:rPr>
              <w:t>; ALAC</w:t>
            </w:r>
          </w:p>
        </w:tc>
        <w:tc>
          <w:tcPr>
            <w:tcW w:w="3960" w:type="dxa"/>
          </w:tcPr>
          <w:p w14:paraId="0F13BB87" w14:textId="77777777" w:rsidR="00AB0EB4" w:rsidRPr="002860E2" w:rsidRDefault="00AB0EB4" w:rsidP="00AB0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030DE04C" w14:textId="77777777" w:rsidR="00AB0EB4" w:rsidRPr="002B3C04" w:rsidRDefault="00AB0EB4" w:rsidP="00AB0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46626434" w14:textId="77777777" w:rsidR="00AB0EB4" w:rsidRPr="002860E2" w:rsidRDefault="00AB0EB4" w:rsidP="00AB0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7AAF942" w14:textId="77777777" w:rsidR="00AB0EB4" w:rsidRPr="002B3C04" w:rsidRDefault="00AB0EB4" w:rsidP="00AB0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52925B5" w14:textId="77777777" w:rsidR="00AB0EB4" w:rsidRPr="002860E2" w:rsidRDefault="00AB0EB4" w:rsidP="00AB0EB4">
            <w:pPr>
              <w:contextualSpacing/>
              <w:rPr>
                <w:rFonts w:asciiTheme="minorHAnsi" w:hAnsiTheme="minorHAnsi"/>
                <w:sz w:val="20"/>
                <w:szCs w:val="20"/>
              </w:rPr>
            </w:pPr>
          </w:p>
          <w:p w14:paraId="1698443C" w14:textId="77777777" w:rsidR="00AB0EB4" w:rsidRPr="002860E2" w:rsidRDefault="00AB0EB4" w:rsidP="00AB0EB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1CEB37D9" w14:textId="77777777" w:rsidR="00185735" w:rsidRPr="002860E2" w:rsidRDefault="00185735" w:rsidP="00185735">
            <w:pPr>
              <w:contextualSpacing/>
              <w:rPr>
                <w:rFonts w:asciiTheme="minorHAnsi" w:hAnsiTheme="minorHAnsi"/>
                <w:sz w:val="20"/>
                <w:szCs w:val="20"/>
              </w:rPr>
            </w:pPr>
          </w:p>
        </w:tc>
      </w:tr>
      <w:tr w:rsidR="00185735" w:rsidRPr="002860E2" w14:paraId="04498D81" w14:textId="77777777" w:rsidTr="002657F2">
        <w:trPr>
          <w:cantSplit/>
        </w:trPr>
        <w:tc>
          <w:tcPr>
            <w:tcW w:w="675" w:type="dxa"/>
          </w:tcPr>
          <w:p w14:paraId="16F9A58C"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43E1A2AB" w14:textId="77777777" w:rsidR="00A724BF" w:rsidRPr="00A724BF"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The BC agrees that all the data elements listed in Workbook 5 should be transferred from the registrar/registry to ICANN. We further recommend that all registrant data collected by registrar/registry be transferred to ICANN</w:t>
            </w:r>
          </w:p>
          <w:p w14:paraId="422A4F9D" w14:textId="77777777" w:rsidR="00A724BF" w:rsidRPr="00A724BF" w:rsidRDefault="00A724BF" w:rsidP="00A724BF">
            <w:pPr>
              <w:pStyle w:val="ColorfulList-Accent11"/>
              <w:rPr>
                <w:rFonts w:asciiTheme="minorHAnsi" w:hAnsiTheme="minorHAnsi"/>
                <w:sz w:val="20"/>
                <w:szCs w:val="20"/>
              </w:rPr>
            </w:pPr>
          </w:p>
          <w:p w14:paraId="11496D09" w14:textId="6C3D1D8A" w:rsidR="00185735" w:rsidRPr="002860E2"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If a registrar/registry collects registrant data it should be transferred to ICANN to properly enable Compliance and other critical functions.</w:t>
            </w:r>
          </w:p>
        </w:tc>
        <w:tc>
          <w:tcPr>
            <w:tcW w:w="2700" w:type="dxa"/>
          </w:tcPr>
          <w:p w14:paraId="48E8BF12" w14:textId="5681BAD5" w:rsidR="00185735" w:rsidRPr="002860E2" w:rsidRDefault="00A724BF" w:rsidP="00185735">
            <w:pPr>
              <w:contextualSpacing/>
              <w:rPr>
                <w:rFonts w:asciiTheme="minorHAnsi" w:hAnsiTheme="minorHAnsi"/>
                <w:sz w:val="20"/>
                <w:szCs w:val="20"/>
              </w:rPr>
            </w:pPr>
            <w:r w:rsidRPr="00A724BF">
              <w:rPr>
                <w:rFonts w:asciiTheme="minorHAnsi" w:hAnsiTheme="minorHAnsi"/>
                <w:sz w:val="20"/>
                <w:szCs w:val="20"/>
              </w:rPr>
              <w:t>Steve DelBianco; BC</w:t>
            </w:r>
          </w:p>
        </w:tc>
        <w:tc>
          <w:tcPr>
            <w:tcW w:w="3960" w:type="dxa"/>
          </w:tcPr>
          <w:p w14:paraId="31B55F39"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612CB00"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0288CD"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E471D73"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941C416" w14:textId="77777777" w:rsidR="00185735" w:rsidRPr="002860E2" w:rsidRDefault="00185735" w:rsidP="00185735">
            <w:pPr>
              <w:contextualSpacing/>
              <w:rPr>
                <w:rFonts w:asciiTheme="minorHAnsi" w:hAnsiTheme="minorHAnsi"/>
                <w:sz w:val="20"/>
                <w:szCs w:val="20"/>
              </w:rPr>
            </w:pPr>
          </w:p>
          <w:p w14:paraId="3B0C247C"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A47C84" w14:textId="77777777" w:rsidR="00185735" w:rsidRPr="002860E2" w:rsidRDefault="00185735" w:rsidP="00185735">
            <w:pPr>
              <w:contextualSpacing/>
              <w:rPr>
                <w:rFonts w:asciiTheme="minorHAnsi" w:hAnsiTheme="minorHAnsi"/>
                <w:sz w:val="20"/>
                <w:szCs w:val="20"/>
              </w:rPr>
            </w:pPr>
          </w:p>
        </w:tc>
      </w:tr>
      <w:tr w:rsidR="00185735" w:rsidRPr="002860E2" w14:paraId="6CACDF1B" w14:textId="77777777" w:rsidTr="002657F2">
        <w:trPr>
          <w:cantSplit/>
        </w:trPr>
        <w:tc>
          <w:tcPr>
            <w:tcW w:w="675" w:type="dxa"/>
          </w:tcPr>
          <w:p w14:paraId="1C71B60B" w14:textId="77777777" w:rsidR="00185735" w:rsidRPr="002860E2" w:rsidRDefault="00185735" w:rsidP="00185735">
            <w:pPr>
              <w:numPr>
                <w:ilvl w:val="0"/>
                <w:numId w:val="23"/>
              </w:numPr>
              <w:contextualSpacing/>
              <w:rPr>
                <w:rFonts w:asciiTheme="minorHAnsi" w:hAnsiTheme="minorHAnsi"/>
                <w:b/>
                <w:sz w:val="20"/>
                <w:szCs w:val="20"/>
              </w:rPr>
            </w:pPr>
          </w:p>
        </w:tc>
        <w:tc>
          <w:tcPr>
            <w:tcW w:w="8055" w:type="dxa"/>
            <w:gridSpan w:val="2"/>
          </w:tcPr>
          <w:p w14:paraId="182B3A03" w14:textId="77777777" w:rsidR="00A724BF" w:rsidRPr="00A724BF"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When a registrar/registry collects registrant data it should be transferred to ICANN. All the data elements listed in Workbook 5 should be transferred from the registrar/registry to ICANN, and any other applicable registrar/registry-specific registrant data collected by registrar/registry should be also transferred to ICANN.</w:t>
            </w:r>
          </w:p>
          <w:p w14:paraId="096EB55F" w14:textId="4D5D4E5F" w:rsidR="00185735" w:rsidRPr="002860E2"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We notice that the registration data set frequently contains many inaccuracies.  Although even the inaccurate data is of use in cybersecurity investigations, it is less useful for dispute resolution, and if the accuracy of the data can be improved by the ICANN compliance processes and policies, we support them.</w:t>
            </w:r>
          </w:p>
        </w:tc>
        <w:tc>
          <w:tcPr>
            <w:tcW w:w="2700" w:type="dxa"/>
          </w:tcPr>
          <w:p w14:paraId="7730C54A" w14:textId="2AA65840" w:rsidR="00185735" w:rsidRPr="003A131D" w:rsidRDefault="00A724BF" w:rsidP="00185735">
            <w:pPr>
              <w:contextualSpacing/>
              <w:rPr>
                <w:rFonts w:asciiTheme="minorHAnsi" w:hAnsiTheme="minorHAnsi"/>
                <w:sz w:val="20"/>
                <w:szCs w:val="20"/>
              </w:rPr>
            </w:pPr>
            <w:r w:rsidRPr="00A724BF">
              <w:rPr>
                <w:rFonts w:asciiTheme="minorHAnsi" w:hAnsiTheme="minorHAnsi"/>
                <w:sz w:val="20"/>
                <w:szCs w:val="20"/>
              </w:rPr>
              <w:t xml:space="preserve">Jeremy </w:t>
            </w:r>
            <w:proofErr w:type="spellStart"/>
            <w:r w:rsidRPr="00A724BF">
              <w:rPr>
                <w:rFonts w:asciiTheme="minorHAnsi" w:hAnsiTheme="minorHAnsi"/>
                <w:sz w:val="20"/>
                <w:szCs w:val="20"/>
              </w:rPr>
              <w:t>Dallman</w:t>
            </w:r>
            <w:proofErr w:type="spellEnd"/>
            <w:r w:rsidRPr="00A724BF">
              <w:rPr>
                <w:rFonts w:asciiTheme="minorHAnsi" w:hAnsiTheme="minorHAnsi"/>
                <w:sz w:val="20"/>
                <w:szCs w:val="20"/>
              </w:rPr>
              <w:t xml:space="preserve">, David Ladd – Microsoft Threat Intelligence Center; Amy Hogan-Burney, Richard Boscovich – Digital Crimes Unit; </w:t>
            </w:r>
            <w:proofErr w:type="spellStart"/>
            <w:r w:rsidRPr="00A724BF">
              <w:rPr>
                <w:rFonts w:asciiTheme="minorHAnsi" w:hAnsiTheme="minorHAnsi"/>
                <w:sz w:val="20"/>
                <w:szCs w:val="20"/>
              </w:rPr>
              <w:t>Makalika</w:t>
            </w:r>
            <w:proofErr w:type="spellEnd"/>
            <w:r w:rsidRPr="00A724BF">
              <w:rPr>
                <w:rFonts w:asciiTheme="minorHAnsi" w:hAnsiTheme="minorHAnsi"/>
                <w:sz w:val="20"/>
                <w:szCs w:val="20"/>
              </w:rPr>
              <w:t xml:space="preserve"> </w:t>
            </w:r>
            <w:proofErr w:type="spellStart"/>
            <w:r w:rsidRPr="00A724BF">
              <w:rPr>
                <w:rFonts w:asciiTheme="minorHAnsi" w:hAnsiTheme="minorHAnsi"/>
                <w:sz w:val="20"/>
                <w:szCs w:val="20"/>
              </w:rPr>
              <w:t>Naholowaa</w:t>
            </w:r>
            <w:proofErr w:type="spellEnd"/>
            <w:r w:rsidRPr="00A724BF">
              <w:rPr>
                <w:rFonts w:asciiTheme="minorHAnsi" w:hAnsiTheme="minorHAnsi"/>
                <w:sz w:val="20"/>
                <w:szCs w:val="20"/>
              </w:rPr>
              <w:t xml:space="preserve">, Teresa </w:t>
            </w:r>
            <w:proofErr w:type="spellStart"/>
            <w:r w:rsidRPr="00A724BF">
              <w:rPr>
                <w:rFonts w:asciiTheme="minorHAnsi" w:hAnsiTheme="minorHAnsi"/>
                <w:sz w:val="20"/>
                <w:szCs w:val="20"/>
              </w:rPr>
              <w:t>Rodewald</w:t>
            </w:r>
            <w:proofErr w:type="spellEnd"/>
            <w:r w:rsidRPr="00A724BF">
              <w:rPr>
                <w:rFonts w:asciiTheme="minorHAnsi" w:hAnsiTheme="minorHAnsi"/>
                <w:sz w:val="20"/>
                <w:szCs w:val="20"/>
              </w:rPr>
              <w:t xml:space="preserve">, Cam </w:t>
            </w:r>
            <w:proofErr w:type="spellStart"/>
            <w:r w:rsidRPr="00A724BF">
              <w:rPr>
                <w:rFonts w:asciiTheme="minorHAnsi" w:hAnsiTheme="minorHAnsi"/>
                <w:sz w:val="20"/>
                <w:szCs w:val="20"/>
              </w:rPr>
              <w:t>Gatta</w:t>
            </w:r>
            <w:proofErr w:type="spellEnd"/>
            <w:r w:rsidRPr="00A724BF">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250DA889" w14:textId="18225E19"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80764F7"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EB91F5C" w14:textId="77777777" w:rsidR="00185735" w:rsidRPr="002860E2"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EF4FF23" w14:textId="77777777" w:rsidR="00185735" w:rsidRPr="002B3C04" w:rsidRDefault="00185735"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7ECBF27" w14:textId="77777777" w:rsidR="00185735" w:rsidRPr="002860E2" w:rsidRDefault="00185735" w:rsidP="00185735">
            <w:pPr>
              <w:contextualSpacing/>
              <w:rPr>
                <w:rFonts w:asciiTheme="minorHAnsi" w:hAnsiTheme="minorHAnsi"/>
                <w:sz w:val="20"/>
                <w:szCs w:val="20"/>
              </w:rPr>
            </w:pPr>
          </w:p>
          <w:p w14:paraId="406E020D" w14:textId="77777777" w:rsidR="00185735" w:rsidRPr="002860E2" w:rsidRDefault="00185735" w:rsidP="0018573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51801E" w14:textId="77777777" w:rsidR="00185735" w:rsidRPr="002860E2" w:rsidRDefault="00185735" w:rsidP="00185735">
            <w:pPr>
              <w:contextualSpacing/>
              <w:rPr>
                <w:rFonts w:asciiTheme="minorHAnsi" w:hAnsiTheme="minorHAnsi"/>
                <w:sz w:val="20"/>
                <w:szCs w:val="20"/>
              </w:rPr>
            </w:pPr>
          </w:p>
        </w:tc>
      </w:tr>
      <w:tr w:rsidR="00A724BF" w:rsidRPr="002860E2" w14:paraId="7982D5B0" w14:textId="77777777" w:rsidTr="002657F2">
        <w:trPr>
          <w:cantSplit/>
        </w:trPr>
        <w:tc>
          <w:tcPr>
            <w:tcW w:w="675" w:type="dxa"/>
          </w:tcPr>
          <w:p w14:paraId="0057514F" w14:textId="77777777" w:rsidR="00A724BF" w:rsidRPr="002860E2" w:rsidRDefault="00A724BF" w:rsidP="00185735">
            <w:pPr>
              <w:numPr>
                <w:ilvl w:val="0"/>
                <w:numId w:val="23"/>
              </w:numPr>
              <w:contextualSpacing/>
              <w:rPr>
                <w:rFonts w:asciiTheme="minorHAnsi" w:hAnsiTheme="minorHAnsi"/>
                <w:b/>
                <w:sz w:val="20"/>
                <w:szCs w:val="20"/>
              </w:rPr>
            </w:pPr>
          </w:p>
        </w:tc>
        <w:tc>
          <w:tcPr>
            <w:tcW w:w="8055" w:type="dxa"/>
            <w:gridSpan w:val="2"/>
          </w:tcPr>
          <w:p w14:paraId="4436EB5B" w14:textId="77777777" w:rsidR="00A724BF" w:rsidRDefault="00A724BF" w:rsidP="00185735">
            <w:pPr>
              <w:pStyle w:val="ColorfulList-Accent11"/>
              <w:ind w:left="0"/>
              <w:rPr>
                <w:rFonts w:asciiTheme="minorHAnsi" w:hAnsiTheme="minorHAnsi"/>
                <w:sz w:val="20"/>
                <w:szCs w:val="20"/>
              </w:rPr>
            </w:pPr>
            <w:proofErr w:type="spellStart"/>
            <w:r w:rsidRPr="00A724BF">
              <w:rPr>
                <w:rFonts w:asciiTheme="minorHAnsi" w:hAnsiTheme="minorHAnsi"/>
                <w:sz w:val="20"/>
                <w:szCs w:val="20"/>
              </w:rPr>
              <w:t>MarkMonitor</w:t>
            </w:r>
            <w:proofErr w:type="spellEnd"/>
            <w:r w:rsidRPr="00A724BF">
              <w:rPr>
                <w:rFonts w:asciiTheme="minorHAnsi" w:hAnsiTheme="minorHAnsi"/>
                <w:sz w:val="20"/>
                <w:szCs w:val="20"/>
              </w:rPr>
              <w:t xml:space="preserve"> agrees that all the data elements listed in Workbook 5 be transferred from the registrar/registry to ICANN, and we also recommend that all RNH data collected by registrar/registry be transferred to ICANN.</w:t>
            </w:r>
          </w:p>
          <w:p w14:paraId="51807BFA" w14:textId="77777777" w:rsidR="00A724BF" w:rsidRDefault="00A724BF" w:rsidP="00185735">
            <w:pPr>
              <w:pStyle w:val="ColorfulList-Accent11"/>
              <w:ind w:left="0"/>
              <w:rPr>
                <w:rFonts w:asciiTheme="minorHAnsi" w:hAnsiTheme="minorHAnsi"/>
                <w:sz w:val="20"/>
                <w:szCs w:val="20"/>
              </w:rPr>
            </w:pPr>
          </w:p>
          <w:p w14:paraId="30D6E80A" w14:textId="7E27F9C4" w:rsidR="00A724BF" w:rsidRPr="002860E2" w:rsidRDefault="00A724BF" w:rsidP="00185735">
            <w:pPr>
              <w:pStyle w:val="ColorfulList-Accent11"/>
              <w:ind w:left="0"/>
              <w:rPr>
                <w:rFonts w:asciiTheme="minorHAnsi" w:hAnsiTheme="minorHAnsi"/>
                <w:sz w:val="20"/>
                <w:szCs w:val="20"/>
              </w:rPr>
            </w:pPr>
            <w:r w:rsidRPr="00A724BF">
              <w:rPr>
                <w:rFonts w:asciiTheme="minorHAnsi" w:hAnsiTheme="minorHAnsi"/>
                <w:sz w:val="20"/>
                <w:szCs w:val="20"/>
              </w:rPr>
              <w:t>If a registrar/registry collects registrant data it should be transferred to ICANN.</w:t>
            </w:r>
          </w:p>
        </w:tc>
        <w:tc>
          <w:tcPr>
            <w:tcW w:w="2700" w:type="dxa"/>
          </w:tcPr>
          <w:p w14:paraId="3F90A525" w14:textId="12C82B9C" w:rsidR="00A724BF" w:rsidRPr="003A131D" w:rsidRDefault="00A724BF" w:rsidP="00185735">
            <w:pPr>
              <w:contextualSpacing/>
              <w:rPr>
                <w:rFonts w:asciiTheme="minorHAnsi" w:hAnsiTheme="minorHAnsi"/>
                <w:sz w:val="20"/>
                <w:szCs w:val="20"/>
              </w:rPr>
            </w:pPr>
            <w:r w:rsidRPr="00A724BF">
              <w:rPr>
                <w:rFonts w:asciiTheme="minorHAnsi" w:hAnsiTheme="minorHAnsi"/>
                <w:sz w:val="20"/>
                <w:szCs w:val="20"/>
              </w:rPr>
              <w:t xml:space="preserve">Brian King; </w:t>
            </w:r>
            <w:proofErr w:type="spellStart"/>
            <w:r w:rsidRPr="00A724BF">
              <w:rPr>
                <w:rFonts w:asciiTheme="minorHAnsi" w:hAnsiTheme="minorHAnsi"/>
                <w:sz w:val="20"/>
                <w:szCs w:val="20"/>
              </w:rPr>
              <w:t>MarkMonitor</w:t>
            </w:r>
            <w:proofErr w:type="spellEnd"/>
            <w:r w:rsidRPr="00A724BF">
              <w:rPr>
                <w:rFonts w:asciiTheme="minorHAnsi" w:hAnsiTheme="minorHAnsi"/>
                <w:sz w:val="20"/>
                <w:szCs w:val="20"/>
              </w:rPr>
              <w:t>, Inc., a Clarivate Analytics company</w:t>
            </w:r>
          </w:p>
        </w:tc>
        <w:tc>
          <w:tcPr>
            <w:tcW w:w="3960" w:type="dxa"/>
          </w:tcPr>
          <w:p w14:paraId="3F0CB701" w14:textId="77777777" w:rsidR="00A724BF" w:rsidRPr="002860E2"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5D57FFF" w14:textId="77777777" w:rsidR="00A724BF" w:rsidRPr="002B3C04"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A9C4349" w14:textId="77777777" w:rsidR="00A724BF" w:rsidRPr="002860E2"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7CE25B4" w14:textId="77777777" w:rsidR="00A724BF" w:rsidRPr="002B3C04"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A895097" w14:textId="77777777" w:rsidR="00A724BF" w:rsidRPr="002860E2" w:rsidRDefault="00A724BF" w:rsidP="00A724BF">
            <w:pPr>
              <w:contextualSpacing/>
              <w:rPr>
                <w:rFonts w:asciiTheme="minorHAnsi" w:hAnsiTheme="minorHAnsi"/>
                <w:sz w:val="20"/>
                <w:szCs w:val="20"/>
              </w:rPr>
            </w:pPr>
          </w:p>
          <w:p w14:paraId="30E5A7C5" w14:textId="77777777" w:rsidR="00A724BF" w:rsidRPr="002860E2" w:rsidRDefault="00A724BF" w:rsidP="00A724B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1C58AE" w14:textId="77777777" w:rsidR="00A724BF" w:rsidRPr="002860E2" w:rsidRDefault="00A724BF"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A724BF" w:rsidRPr="002860E2" w14:paraId="00FE4A6D" w14:textId="77777777" w:rsidTr="002657F2">
        <w:trPr>
          <w:cantSplit/>
        </w:trPr>
        <w:tc>
          <w:tcPr>
            <w:tcW w:w="675" w:type="dxa"/>
          </w:tcPr>
          <w:p w14:paraId="2B4CAFE8" w14:textId="77777777" w:rsidR="00A724BF" w:rsidRPr="002860E2" w:rsidRDefault="00A724BF" w:rsidP="00185735">
            <w:pPr>
              <w:numPr>
                <w:ilvl w:val="0"/>
                <w:numId w:val="23"/>
              </w:numPr>
              <w:contextualSpacing/>
              <w:rPr>
                <w:rFonts w:asciiTheme="minorHAnsi" w:hAnsiTheme="minorHAnsi"/>
                <w:b/>
                <w:sz w:val="20"/>
                <w:szCs w:val="20"/>
              </w:rPr>
            </w:pPr>
          </w:p>
        </w:tc>
        <w:tc>
          <w:tcPr>
            <w:tcW w:w="8055" w:type="dxa"/>
            <w:gridSpan w:val="2"/>
          </w:tcPr>
          <w:p w14:paraId="7B956A78" w14:textId="77777777" w:rsidR="00A724BF" w:rsidRDefault="00A724BF" w:rsidP="00185735">
            <w:pPr>
              <w:pStyle w:val="ColorfulList-Accent11"/>
              <w:ind w:left="0"/>
              <w:rPr>
                <w:rFonts w:asciiTheme="minorHAnsi" w:hAnsiTheme="minorHAnsi"/>
                <w:sz w:val="20"/>
                <w:szCs w:val="20"/>
              </w:rPr>
            </w:pPr>
            <w:r w:rsidRPr="00A724BF">
              <w:rPr>
                <w:rFonts w:asciiTheme="minorHAnsi" w:hAnsiTheme="minorHAnsi"/>
                <w:sz w:val="20"/>
                <w:szCs w:val="20"/>
              </w:rPr>
              <w:t>only those data elements needed on a case-by-case to a valid and non-frivolous and non-harassing complaint should be transferred from the registrar/y to ICANN Compliance.</w:t>
            </w:r>
          </w:p>
          <w:p w14:paraId="7A388456" w14:textId="77777777" w:rsidR="00A724BF" w:rsidRDefault="00A724BF" w:rsidP="00185735">
            <w:pPr>
              <w:pStyle w:val="ColorfulList-Accent11"/>
              <w:ind w:left="0"/>
              <w:rPr>
                <w:rFonts w:asciiTheme="minorHAnsi" w:hAnsiTheme="minorHAnsi"/>
                <w:sz w:val="20"/>
                <w:szCs w:val="20"/>
              </w:rPr>
            </w:pPr>
          </w:p>
          <w:p w14:paraId="12B51DAA" w14:textId="77777777" w:rsidR="00A724BF" w:rsidRPr="00A724BF"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Requests by ICANN compliance must be limited to those elements required to accommodate satisfy issues at that time. In principle, this could mean that all data elements may be needed for one complaint, but not for another. We wish to underline the principle that compliance requests must not be open-ended fishing expeditions.</w:t>
            </w:r>
          </w:p>
          <w:p w14:paraId="493FB27D" w14:textId="77777777" w:rsidR="00A724BF" w:rsidRPr="00A724BF" w:rsidRDefault="00A724BF" w:rsidP="00A724BF">
            <w:pPr>
              <w:pStyle w:val="ColorfulList-Accent11"/>
              <w:rPr>
                <w:rFonts w:asciiTheme="minorHAnsi" w:hAnsiTheme="minorHAnsi"/>
                <w:sz w:val="20"/>
                <w:szCs w:val="20"/>
              </w:rPr>
            </w:pPr>
          </w:p>
          <w:p w14:paraId="38053192" w14:textId="2BAF33F0" w:rsidR="00A724BF" w:rsidRPr="002860E2"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We note that ICANN Compliance rules should be subject to more review and understanding by the community, and that there are concerns (and reports) that complaints are being used, in part, as harassment and fishing expeditions against registrants. Accordingly, transfer of data elements even to ICANN compliance should be subject to special evaluation and review -- not automatically done regardless of purposes, scope and scale.</w:t>
            </w:r>
          </w:p>
        </w:tc>
        <w:tc>
          <w:tcPr>
            <w:tcW w:w="2700" w:type="dxa"/>
          </w:tcPr>
          <w:p w14:paraId="3A4B8329" w14:textId="75F6EA19" w:rsidR="00A724BF" w:rsidRPr="003A131D" w:rsidRDefault="00A724BF" w:rsidP="00185735">
            <w:pPr>
              <w:contextualSpacing/>
              <w:rPr>
                <w:rFonts w:asciiTheme="minorHAnsi" w:hAnsiTheme="minorHAnsi"/>
                <w:sz w:val="20"/>
                <w:szCs w:val="20"/>
              </w:rPr>
            </w:pPr>
            <w:r w:rsidRPr="00A724BF">
              <w:rPr>
                <w:rFonts w:asciiTheme="minorHAnsi" w:hAnsiTheme="minorHAnsi"/>
                <w:sz w:val="20"/>
                <w:szCs w:val="20"/>
              </w:rPr>
              <w:t xml:space="preserve">Greg Aaron; </w:t>
            </w:r>
            <w:proofErr w:type="spellStart"/>
            <w:r w:rsidRPr="00A724BF">
              <w:rPr>
                <w:rFonts w:asciiTheme="minorHAnsi" w:hAnsiTheme="minorHAnsi"/>
                <w:sz w:val="20"/>
                <w:szCs w:val="20"/>
              </w:rPr>
              <w:t>iThreat</w:t>
            </w:r>
            <w:proofErr w:type="spellEnd"/>
            <w:r w:rsidRPr="00A724BF">
              <w:rPr>
                <w:rFonts w:asciiTheme="minorHAnsi" w:hAnsiTheme="minorHAnsi"/>
                <w:sz w:val="20"/>
                <w:szCs w:val="20"/>
              </w:rPr>
              <w:t xml:space="preserve"> Cyber Group</w:t>
            </w:r>
          </w:p>
        </w:tc>
        <w:tc>
          <w:tcPr>
            <w:tcW w:w="3960" w:type="dxa"/>
          </w:tcPr>
          <w:p w14:paraId="7561EE28" w14:textId="77777777" w:rsidR="00A724BF" w:rsidRPr="002860E2"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8FA5A35" w14:textId="77777777" w:rsidR="00A724BF" w:rsidRPr="002B3C04"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7638FD3" w14:textId="77777777" w:rsidR="00A724BF" w:rsidRPr="002860E2"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191730F" w14:textId="77777777" w:rsidR="00A724BF" w:rsidRPr="002B3C04" w:rsidRDefault="00A724BF" w:rsidP="00A7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3F7E562" w14:textId="77777777" w:rsidR="00A724BF" w:rsidRPr="002860E2" w:rsidRDefault="00A724BF" w:rsidP="00A724BF">
            <w:pPr>
              <w:contextualSpacing/>
              <w:rPr>
                <w:rFonts w:asciiTheme="minorHAnsi" w:hAnsiTheme="minorHAnsi"/>
                <w:sz w:val="20"/>
                <w:szCs w:val="20"/>
              </w:rPr>
            </w:pPr>
          </w:p>
          <w:p w14:paraId="6827BFC2" w14:textId="77777777" w:rsidR="00A724BF" w:rsidRPr="002860E2" w:rsidRDefault="00A724BF" w:rsidP="00A724B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DF37C8E" w14:textId="77777777" w:rsidR="00A724BF" w:rsidRPr="002860E2" w:rsidRDefault="00A724BF" w:rsidP="00185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34846" w:rsidRPr="002860E2" w14:paraId="451CB537" w14:textId="77777777" w:rsidTr="00034846">
        <w:trPr>
          <w:cantSplit/>
        </w:trPr>
        <w:tc>
          <w:tcPr>
            <w:tcW w:w="7695" w:type="dxa"/>
            <w:gridSpan w:val="2"/>
            <w:shd w:val="clear" w:color="auto" w:fill="FFFF00"/>
          </w:tcPr>
          <w:p w14:paraId="2CE1BBA4" w14:textId="00DC9777" w:rsidR="00034846" w:rsidRPr="002860E2"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B3C04">
              <w:rPr>
                <w:rFonts w:asciiTheme="minorHAnsi" w:hAnsiTheme="minorHAnsi"/>
                <w:b/>
                <w:sz w:val="22"/>
                <w:szCs w:val="22"/>
              </w:rPr>
              <w:t>Intent and wording of this recommendation requires amendment</w:t>
            </w:r>
          </w:p>
        </w:tc>
        <w:tc>
          <w:tcPr>
            <w:tcW w:w="7695" w:type="dxa"/>
            <w:gridSpan w:val="3"/>
            <w:shd w:val="clear" w:color="auto" w:fill="FF0000"/>
          </w:tcPr>
          <w:p w14:paraId="4063861C" w14:textId="288AF498" w:rsidR="00034846" w:rsidRPr="002860E2"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Pr>
                <w:rFonts w:asciiTheme="minorHAnsi" w:hAnsiTheme="minorHAnsi"/>
                <w:b/>
                <w:color w:val="FFFFFF" w:themeColor="background1"/>
                <w:sz w:val="22"/>
              </w:rPr>
              <w:t>No</w:t>
            </w:r>
            <w:r w:rsidRPr="009D186C">
              <w:rPr>
                <w:rFonts w:asciiTheme="minorHAnsi" w:hAnsiTheme="minorHAnsi"/>
                <w:b/>
                <w:color w:val="FFFFFF" w:themeColor="background1"/>
                <w:sz w:val="22"/>
              </w:rPr>
              <w:t xml:space="preserve"> to transfer to ICANN</w:t>
            </w:r>
          </w:p>
        </w:tc>
      </w:tr>
      <w:tr w:rsidR="00034846" w:rsidRPr="002860E2" w14:paraId="43ECD52A" w14:textId="77777777" w:rsidTr="002657F2">
        <w:trPr>
          <w:cantSplit/>
        </w:trPr>
        <w:tc>
          <w:tcPr>
            <w:tcW w:w="675" w:type="dxa"/>
          </w:tcPr>
          <w:p w14:paraId="3EF7F157" w14:textId="77777777" w:rsidR="00034846" w:rsidRPr="002860E2" w:rsidRDefault="00034846" w:rsidP="00034846">
            <w:pPr>
              <w:numPr>
                <w:ilvl w:val="0"/>
                <w:numId w:val="23"/>
              </w:numPr>
              <w:contextualSpacing/>
              <w:rPr>
                <w:rFonts w:asciiTheme="minorHAnsi" w:hAnsiTheme="minorHAnsi"/>
                <w:b/>
                <w:sz w:val="20"/>
                <w:szCs w:val="20"/>
              </w:rPr>
            </w:pPr>
          </w:p>
        </w:tc>
        <w:tc>
          <w:tcPr>
            <w:tcW w:w="8055" w:type="dxa"/>
            <w:gridSpan w:val="2"/>
          </w:tcPr>
          <w:p w14:paraId="294F5A40" w14:textId="77777777" w:rsidR="00034846" w:rsidRDefault="00A724BF" w:rsidP="00034846">
            <w:pPr>
              <w:pStyle w:val="ColorfulList-Accent11"/>
              <w:ind w:left="0"/>
              <w:rPr>
                <w:rFonts w:asciiTheme="minorHAnsi" w:hAnsiTheme="minorHAnsi"/>
                <w:sz w:val="20"/>
                <w:szCs w:val="20"/>
              </w:rPr>
            </w:pPr>
            <w:r w:rsidRPr="00A724BF">
              <w:rPr>
                <w:rFonts w:asciiTheme="minorHAnsi" w:hAnsiTheme="minorHAnsi"/>
                <w:sz w:val="20"/>
                <w:szCs w:val="20"/>
              </w:rPr>
              <w:t>only those data elements needed on a case-by-case to a valid and non-frivolous and non-harassing complaint should be transferred from the registrar/y to ICANN Compliance.</w:t>
            </w:r>
          </w:p>
          <w:p w14:paraId="71C2BAC4" w14:textId="77777777" w:rsidR="00A724BF" w:rsidRDefault="00A724BF" w:rsidP="00034846">
            <w:pPr>
              <w:pStyle w:val="ColorfulList-Accent11"/>
              <w:ind w:left="0"/>
              <w:rPr>
                <w:rFonts w:asciiTheme="minorHAnsi" w:hAnsiTheme="minorHAnsi"/>
                <w:sz w:val="20"/>
                <w:szCs w:val="20"/>
              </w:rPr>
            </w:pPr>
          </w:p>
          <w:p w14:paraId="7E3F57E1" w14:textId="77777777" w:rsidR="00A724BF" w:rsidRPr="00A724BF" w:rsidRDefault="00A724BF" w:rsidP="00A724BF">
            <w:pPr>
              <w:pStyle w:val="ColorfulList-Accent11"/>
              <w:ind w:left="30"/>
              <w:rPr>
                <w:rFonts w:asciiTheme="minorHAnsi" w:hAnsiTheme="minorHAnsi"/>
                <w:sz w:val="20"/>
                <w:szCs w:val="20"/>
              </w:rPr>
            </w:pPr>
            <w:r w:rsidRPr="00A724BF">
              <w:rPr>
                <w:rFonts w:asciiTheme="minorHAnsi" w:hAnsiTheme="minorHAnsi"/>
                <w:sz w:val="20"/>
                <w:szCs w:val="20"/>
              </w:rPr>
              <w:t>Requests by ICANN compliance must be limited to those elements required to accommodate satisfy issues at that time. In principle, this could mean that all data elements may be needed for one complaint, but not for another. We wish to underline the principle that compliance requests must not be open-ended fishing expeditions.</w:t>
            </w:r>
          </w:p>
          <w:p w14:paraId="5F1B4D18" w14:textId="77777777" w:rsidR="00A724BF" w:rsidRPr="00A724BF" w:rsidRDefault="00A724BF" w:rsidP="00A724BF">
            <w:pPr>
              <w:pStyle w:val="ColorfulList-Accent11"/>
              <w:rPr>
                <w:rFonts w:asciiTheme="minorHAnsi" w:hAnsiTheme="minorHAnsi"/>
                <w:sz w:val="20"/>
                <w:szCs w:val="20"/>
              </w:rPr>
            </w:pPr>
          </w:p>
          <w:p w14:paraId="4341EF3A" w14:textId="35698363" w:rsidR="00A724BF" w:rsidRPr="002860E2" w:rsidRDefault="00A724BF" w:rsidP="00A724BF">
            <w:pPr>
              <w:pStyle w:val="ColorfulList-Accent11"/>
              <w:ind w:left="0"/>
              <w:rPr>
                <w:rFonts w:asciiTheme="minorHAnsi" w:hAnsiTheme="minorHAnsi"/>
                <w:sz w:val="20"/>
                <w:szCs w:val="20"/>
              </w:rPr>
            </w:pPr>
            <w:r w:rsidRPr="00A724BF">
              <w:rPr>
                <w:rFonts w:asciiTheme="minorHAnsi" w:hAnsiTheme="minorHAnsi"/>
                <w:sz w:val="20"/>
                <w:szCs w:val="20"/>
              </w:rPr>
              <w:t>We note that ICANN Compliance rules should be subject to more review and understanding by the community, and that there are concerns (and reports) that complaints are being used, in part, as harassment and fishing expeditions against registrants. Accordingly, transfer of data elements even to ICANN compliance should be subject to special evaluation and review -- not automatically done regardless of purposes, scope and scale.</w:t>
            </w:r>
          </w:p>
        </w:tc>
        <w:tc>
          <w:tcPr>
            <w:tcW w:w="2700" w:type="dxa"/>
          </w:tcPr>
          <w:p w14:paraId="53836733" w14:textId="28FD4B32" w:rsidR="00034846" w:rsidRPr="002860E2" w:rsidRDefault="00A724BF" w:rsidP="00034846">
            <w:pPr>
              <w:contextualSpacing/>
              <w:rPr>
                <w:rFonts w:asciiTheme="minorHAnsi" w:hAnsiTheme="minorHAnsi"/>
                <w:sz w:val="20"/>
                <w:szCs w:val="20"/>
              </w:rPr>
            </w:pPr>
            <w:r w:rsidRPr="00A724BF">
              <w:rPr>
                <w:rFonts w:asciiTheme="minorHAnsi" w:hAnsiTheme="minorHAnsi"/>
                <w:sz w:val="20"/>
                <w:szCs w:val="20"/>
              </w:rPr>
              <w:t>A. Mark Massey; Domain Name Rights Coalition</w:t>
            </w:r>
          </w:p>
        </w:tc>
        <w:tc>
          <w:tcPr>
            <w:tcW w:w="3960" w:type="dxa"/>
          </w:tcPr>
          <w:p w14:paraId="2256E212"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A2B9A16"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5C33E1E"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E32F61D"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418A20E" w14:textId="77777777" w:rsidR="00F93872" w:rsidRPr="002860E2" w:rsidRDefault="00F93872" w:rsidP="00F93872">
            <w:pPr>
              <w:contextualSpacing/>
              <w:rPr>
                <w:rFonts w:asciiTheme="minorHAnsi" w:hAnsiTheme="minorHAnsi"/>
                <w:sz w:val="20"/>
                <w:szCs w:val="20"/>
              </w:rPr>
            </w:pPr>
          </w:p>
          <w:p w14:paraId="200DE607"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B6B28E" w14:textId="77777777" w:rsidR="00034846" w:rsidRPr="002860E2" w:rsidRDefault="00034846" w:rsidP="00034846">
            <w:pPr>
              <w:contextualSpacing/>
              <w:rPr>
                <w:rFonts w:asciiTheme="minorHAnsi" w:hAnsiTheme="minorHAnsi"/>
                <w:sz w:val="20"/>
                <w:szCs w:val="20"/>
              </w:rPr>
            </w:pPr>
            <w:bookmarkStart w:id="1" w:name="_GoBack"/>
            <w:bookmarkEnd w:id="1"/>
          </w:p>
        </w:tc>
      </w:tr>
      <w:tr w:rsidR="00FC785C" w:rsidRPr="002860E2" w14:paraId="6404843D" w14:textId="77777777" w:rsidTr="00FC785C">
        <w:trPr>
          <w:cantSplit/>
        </w:trPr>
        <w:tc>
          <w:tcPr>
            <w:tcW w:w="7695" w:type="dxa"/>
            <w:gridSpan w:val="2"/>
            <w:shd w:val="clear" w:color="auto" w:fill="FF0000"/>
          </w:tcPr>
          <w:p w14:paraId="50169BD5" w14:textId="77777777" w:rsidR="00FC785C" w:rsidRPr="008D7EE5" w:rsidRDefault="00FC785C" w:rsidP="00034846">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c>
          <w:tcPr>
            <w:tcW w:w="7695" w:type="dxa"/>
            <w:gridSpan w:val="3"/>
            <w:shd w:val="clear" w:color="auto" w:fill="00B050"/>
          </w:tcPr>
          <w:p w14:paraId="6FBA9574" w14:textId="4187152C" w:rsidR="00FC785C" w:rsidRPr="008D7EE5" w:rsidRDefault="00FC785C" w:rsidP="00034846">
            <w:pPr>
              <w:pStyle w:val="ColorfulList-Accent11"/>
              <w:ind w:left="0"/>
              <w:rPr>
                <w:rFonts w:asciiTheme="minorHAnsi" w:eastAsia="Times New Roman" w:hAnsiTheme="minorHAnsi"/>
                <w:b/>
                <w:color w:val="000000"/>
                <w:sz w:val="22"/>
                <w:szCs w:val="22"/>
                <w:shd w:val="clear" w:color="auto" w:fill="FF9900"/>
              </w:rPr>
            </w:pPr>
            <w:proofErr w:type="gramStart"/>
            <w:r>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to transfer to ICANN</w:t>
            </w:r>
          </w:p>
        </w:tc>
      </w:tr>
      <w:tr w:rsidR="00034846" w:rsidRPr="002860E2" w14:paraId="0EBDA36E" w14:textId="77777777" w:rsidTr="002657F2">
        <w:trPr>
          <w:cantSplit/>
        </w:trPr>
        <w:tc>
          <w:tcPr>
            <w:tcW w:w="675" w:type="dxa"/>
          </w:tcPr>
          <w:p w14:paraId="1C52172B" w14:textId="77777777" w:rsidR="00034846" w:rsidRPr="002860E2" w:rsidRDefault="00034846" w:rsidP="00034846">
            <w:pPr>
              <w:numPr>
                <w:ilvl w:val="0"/>
                <w:numId w:val="23"/>
              </w:numPr>
              <w:contextualSpacing/>
              <w:rPr>
                <w:rFonts w:asciiTheme="minorHAnsi" w:hAnsiTheme="minorHAnsi"/>
                <w:b/>
                <w:sz w:val="20"/>
                <w:szCs w:val="20"/>
              </w:rPr>
            </w:pPr>
          </w:p>
        </w:tc>
        <w:tc>
          <w:tcPr>
            <w:tcW w:w="8055" w:type="dxa"/>
            <w:gridSpan w:val="2"/>
          </w:tcPr>
          <w:p w14:paraId="4F3A27B8" w14:textId="6C760AA1" w:rsidR="00034846" w:rsidRPr="002860E2" w:rsidRDefault="00FC785C" w:rsidP="00034846">
            <w:pPr>
              <w:pStyle w:val="ColorfulList-Accent11"/>
              <w:ind w:left="0"/>
              <w:rPr>
                <w:rFonts w:asciiTheme="minorHAnsi" w:hAnsiTheme="minorHAnsi"/>
                <w:sz w:val="20"/>
                <w:szCs w:val="20"/>
              </w:rPr>
            </w:pPr>
            <w:r w:rsidRPr="00FC785C">
              <w:rPr>
                <w:rFonts w:asciiTheme="minorHAnsi" w:hAnsiTheme="minorHAnsi"/>
                <w:sz w:val="20"/>
                <w:szCs w:val="20"/>
              </w:rPr>
              <w:t>ICANN itself is subject to GDPR, and its Compliance activities are worthy and in line with its Mission.  No changes are needed here.</w:t>
            </w:r>
          </w:p>
        </w:tc>
        <w:tc>
          <w:tcPr>
            <w:tcW w:w="2700" w:type="dxa"/>
          </w:tcPr>
          <w:p w14:paraId="0512A09A" w14:textId="5E1E71EC" w:rsidR="00034846" w:rsidRPr="002860E2" w:rsidRDefault="00FC785C" w:rsidP="00034846">
            <w:pPr>
              <w:contextualSpacing/>
              <w:rPr>
                <w:rFonts w:asciiTheme="minorHAnsi" w:hAnsiTheme="minorHAnsi"/>
                <w:sz w:val="20"/>
                <w:szCs w:val="20"/>
              </w:rPr>
            </w:pPr>
            <w:r w:rsidRPr="00FC785C">
              <w:rPr>
                <w:rFonts w:asciiTheme="minorHAnsi" w:hAnsiTheme="minorHAnsi"/>
                <w:sz w:val="20"/>
                <w:szCs w:val="20"/>
              </w:rPr>
              <w:t xml:space="preserve">Tim Chen; </w:t>
            </w:r>
            <w:proofErr w:type="spellStart"/>
            <w:r w:rsidRPr="00FC785C">
              <w:rPr>
                <w:rFonts w:asciiTheme="minorHAnsi" w:hAnsiTheme="minorHAnsi"/>
                <w:sz w:val="20"/>
                <w:szCs w:val="20"/>
              </w:rPr>
              <w:t>DomainTools</w:t>
            </w:r>
            <w:proofErr w:type="spellEnd"/>
          </w:p>
        </w:tc>
        <w:tc>
          <w:tcPr>
            <w:tcW w:w="3960" w:type="dxa"/>
          </w:tcPr>
          <w:p w14:paraId="36A7F6DB" w14:textId="4FC45673" w:rsidR="00034846" w:rsidRPr="002860E2"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4B61143" w14:textId="77777777" w:rsidR="00034846" w:rsidRPr="002B3C04"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7C13226" w14:textId="77777777" w:rsidR="00034846" w:rsidRPr="002860E2"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9ADAA7C" w14:textId="77777777" w:rsidR="00034846" w:rsidRPr="002B3C04" w:rsidRDefault="00034846"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671FFE1" w14:textId="77777777" w:rsidR="00034846" w:rsidRPr="002860E2" w:rsidRDefault="00034846" w:rsidP="00034846">
            <w:pPr>
              <w:contextualSpacing/>
              <w:rPr>
                <w:rFonts w:asciiTheme="minorHAnsi" w:hAnsiTheme="minorHAnsi"/>
                <w:sz w:val="20"/>
                <w:szCs w:val="20"/>
              </w:rPr>
            </w:pPr>
          </w:p>
          <w:p w14:paraId="3E725AB7" w14:textId="77777777" w:rsidR="00034846" w:rsidRPr="002860E2" w:rsidRDefault="00034846" w:rsidP="000348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40F019C" w14:textId="77777777" w:rsidR="00034846" w:rsidRPr="002860E2" w:rsidRDefault="00034846" w:rsidP="00034846">
            <w:pPr>
              <w:contextualSpacing/>
              <w:rPr>
                <w:rFonts w:asciiTheme="minorHAnsi" w:hAnsiTheme="minorHAnsi"/>
                <w:sz w:val="20"/>
                <w:szCs w:val="20"/>
              </w:rPr>
            </w:pPr>
          </w:p>
        </w:tc>
      </w:tr>
      <w:tr w:rsidR="00FC785C" w:rsidRPr="002860E2" w14:paraId="31BE18AB" w14:textId="77777777" w:rsidTr="00FC785C">
        <w:trPr>
          <w:cantSplit/>
        </w:trPr>
        <w:tc>
          <w:tcPr>
            <w:tcW w:w="7695" w:type="dxa"/>
            <w:gridSpan w:val="2"/>
            <w:shd w:val="clear" w:color="auto" w:fill="FF0000"/>
          </w:tcPr>
          <w:p w14:paraId="010E9A58" w14:textId="4F547195" w:rsidR="00FC785C" w:rsidRPr="002860E2" w:rsidRDefault="00FC785C"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r w:rsidRPr="002B3C04">
              <w:rPr>
                <w:rFonts w:asciiTheme="minorHAnsi" w:hAnsiTheme="minorHAnsi"/>
                <w:b/>
                <w:color w:val="FFFFFF" w:themeColor="background1"/>
                <w:sz w:val="22"/>
                <w:szCs w:val="22"/>
              </w:rPr>
              <w:t>Delete recommendation</w:t>
            </w:r>
          </w:p>
        </w:tc>
        <w:tc>
          <w:tcPr>
            <w:tcW w:w="7695" w:type="dxa"/>
            <w:gridSpan w:val="3"/>
            <w:shd w:val="clear" w:color="auto" w:fill="FF0000"/>
          </w:tcPr>
          <w:p w14:paraId="7DD6BA82" w14:textId="48BC5890" w:rsidR="00FC785C" w:rsidRPr="002860E2" w:rsidRDefault="00FC785C" w:rsidP="00034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r>
              <w:rPr>
                <w:rFonts w:asciiTheme="minorHAnsi" w:hAnsiTheme="minorHAnsi"/>
                <w:b/>
                <w:color w:val="FFFFFF" w:themeColor="background1"/>
                <w:sz w:val="22"/>
              </w:rPr>
              <w:t>No</w:t>
            </w:r>
            <w:r w:rsidRPr="009D186C">
              <w:rPr>
                <w:rFonts w:asciiTheme="minorHAnsi" w:hAnsiTheme="minorHAnsi"/>
                <w:b/>
                <w:color w:val="FFFFFF" w:themeColor="background1"/>
                <w:sz w:val="22"/>
              </w:rPr>
              <w:t xml:space="preserve"> to transfer to ICANN</w:t>
            </w:r>
          </w:p>
        </w:tc>
      </w:tr>
      <w:tr w:rsidR="00FC785C" w:rsidRPr="002860E2" w14:paraId="5546B480" w14:textId="77777777" w:rsidTr="002657F2">
        <w:trPr>
          <w:cantSplit/>
        </w:trPr>
        <w:tc>
          <w:tcPr>
            <w:tcW w:w="675" w:type="dxa"/>
          </w:tcPr>
          <w:p w14:paraId="69BD9B4A" w14:textId="77777777" w:rsidR="00FC785C" w:rsidRPr="002860E2" w:rsidRDefault="00FC785C" w:rsidP="00FC785C">
            <w:pPr>
              <w:numPr>
                <w:ilvl w:val="0"/>
                <w:numId w:val="23"/>
              </w:numPr>
              <w:contextualSpacing/>
              <w:rPr>
                <w:rFonts w:asciiTheme="minorHAnsi" w:hAnsiTheme="minorHAnsi"/>
                <w:b/>
                <w:sz w:val="20"/>
                <w:szCs w:val="20"/>
              </w:rPr>
            </w:pPr>
          </w:p>
        </w:tc>
        <w:tc>
          <w:tcPr>
            <w:tcW w:w="8055" w:type="dxa"/>
            <w:gridSpan w:val="2"/>
          </w:tcPr>
          <w:p w14:paraId="128DBE1B" w14:textId="77777777" w:rsidR="00FC785C" w:rsidRPr="002860E2" w:rsidRDefault="00FC785C" w:rsidP="00FC785C">
            <w:pPr>
              <w:pStyle w:val="ColorfulList-Accent11"/>
              <w:ind w:left="0"/>
              <w:rPr>
                <w:rFonts w:asciiTheme="minorHAnsi" w:hAnsiTheme="minorHAnsi"/>
                <w:sz w:val="20"/>
                <w:szCs w:val="20"/>
              </w:rPr>
            </w:pPr>
            <w:r>
              <w:rPr>
                <w:rFonts w:asciiTheme="minorHAnsi" w:hAnsiTheme="minorHAnsi"/>
                <w:sz w:val="20"/>
                <w:szCs w:val="20"/>
              </w:rPr>
              <w:t>No comments provided in amendment of this recommendation</w:t>
            </w:r>
          </w:p>
          <w:p w14:paraId="29FB524E" w14:textId="77777777" w:rsidR="00FC785C" w:rsidRPr="00FC785C" w:rsidRDefault="00FC785C" w:rsidP="00FC785C">
            <w:pPr>
              <w:pStyle w:val="ColorfulList-Accent11"/>
              <w:ind w:left="0"/>
              <w:rPr>
                <w:rFonts w:asciiTheme="minorHAnsi" w:hAnsiTheme="minorHAnsi"/>
                <w:sz w:val="20"/>
                <w:szCs w:val="20"/>
              </w:rPr>
            </w:pPr>
          </w:p>
        </w:tc>
        <w:tc>
          <w:tcPr>
            <w:tcW w:w="2700" w:type="dxa"/>
          </w:tcPr>
          <w:p w14:paraId="29914DCF" w14:textId="678FB6BD" w:rsidR="00FC785C" w:rsidRPr="00FC785C" w:rsidRDefault="00FC785C" w:rsidP="00FC785C">
            <w:pPr>
              <w:contextualSpacing/>
              <w:rPr>
                <w:rFonts w:asciiTheme="minorHAnsi" w:hAnsiTheme="minorHAnsi"/>
                <w:sz w:val="20"/>
                <w:szCs w:val="20"/>
              </w:rPr>
            </w:pPr>
            <w:r w:rsidRPr="00FC785C">
              <w:rPr>
                <w:rFonts w:asciiTheme="minorHAnsi" w:hAnsiTheme="minorHAnsi"/>
                <w:sz w:val="20"/>
                <w:szCs w:val="20"/>
              </w:rPr>
              <w:t>Domain.com, LLC &amp; affiliates</w:t>
            </w:r>
          </w:p>
        </w:tc>
        <w:tc>
          <w:tcPr>
            <w:tcW w:w="3960" w:type="dxa"/>
          </w:tcPr>
          <w:p w14:paraId="6D646E8A"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40F19307" w14:textId="70A47B00"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0EA246CB"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28285A8" w14:textId="3B856703"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rPr>
              <w:t>None</w:t>
            </w:r>
          </w:p>
          <w:p w14:paraId="644E4270" w14:textId="77777777" w:rsidR="00FC785C" w:rsidRPr="002860E2" w:rsidRDefault="00FC785C" w:rsidP="00FC785C">
            <w:pPr>
              <w:contextualSpacing/>
              <w:rPr>
                <w:rFonts w:asciiTheme="minorHAnsi" w:hAnsiTheme="minorHAnsi"/>
                <w:sz w:val="20"/>
                <w:szCs w:val="20"/>
              </w:rPr>
            </w:pPr>
          </w:p>
          <w:p w14:paraId="2957BCAD" w14:textId="78C5A643" w:rsidR="00FC785C" w:rsidRPr="002860E2" w:rsidRDefault="00FC785C" w:rsidP="00FC78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4662BF03"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FC785C" w:rsidRPr="002860E2" w14:paraId="45F1954B" w14:textId="77777777" w:rsidTr="002657F2">
        <w:trPr>
          <w:cantSplit/>
        </w:trPr>
        <w:tc>
          <w:tcPr>
            <w:tcW w:w="675" w:type="dxa"/>
          </w:tcPr>
          <w:p w14:paraId="7D7E170B" w14:textId="77777777" w:rsidR="00FC785C" w:rsidRPr="002860E2" w:rsidRDefault="00FC785C" w:rsidP="00FC785C">
            <w:pPr>
              <w:numPr>
                <w:ilvl w:val="0"/>
                <w:numId w:val="23"/>
              </w:numPr>
              <w:contextualSpacing/>
              <w:rPr>
                <w:rFonts w:asciiTheme="minorHAnsi" w:hAnsiTheme="minorHAnsi"/>
                <w:b/>
                <w:sz w:val="20"/>
                <w:szCs w:val="20"/>
              </w:rPr>
            </w:pPr>
          </w:p>
        </w:tc>
        <w:tc>
          <w:tcPr>
            <w:tcW w:w="8055" w:type="dxa"/>
            <w:gridSpan w:val="2"/>
          </w:tcPr>
          <w:p w14:paraId="0A9CB1FC" w14:textId="77777777" w:rsidR="00FC785C" w:rsidRDefault="00FC785C" w:rsidP="00FC785C">
            <w:pPr>
              <w:pStyle w:val="ColorfulList-Accent11"/>
              <w:ind w:left="0"/>
              <w:rPr>
                <w:rFonts w:asciiTheme="minorHAnsi" w:hAnsiTheme="minorHAnsi"/>
                <w:sz w:val="20"/>
                <w:szCs w:val="20"/>
              </w:rPr>
            </w:pPr>
            <w:r w:rsidRPr="00FC785C">
              <w:rPr>
                <w:rFonts w:asciiTheme="minorHAnsi" w:hAnsiTheme="minorHAnsi"/>
                <w:sz w:val="20"/>
                <w:szCs w:val="20"/>
              </w:rPr>
              <w:t>None of the data elements should be transferred from the registrar to ICANN.</w:t>
            </w:r>
          </w:p>
          <w:p w14:paraId="0B2B9E17" w14:textId="77777777" w:rsidR="00FC785C" w:rsidRDefault="00FC785C" w:rsidP="00FC785C">
            <w:pPr>
              <w:pStyle w:val="ColorfulList-Accent11"/>
              <w:ind w:left="0"/>
              <w:rPr>
                <w:rFonts w:asciiTheme="minorHAnsi" w:hAnsiTheme="minorHAnsi"/>
                <w:sz w:val="20"/>
                <w:szCs w:val="20"/>
              </w:rPr>
            </w:pPr>
          </w:p>
          <w:p w14:paraId="5FBA8AB4" w14:textId="77777777" w:rsidR="00FC785C" w:rsidRPr="00FC785C" w:rsidRDefault="00FC785C" w:rsidP="00465726">
            <w:pPr>
              <w:pStyle w:val="ColorfulList-Accent11"/>
              <w:ind w:left="0"/>
              <w:rPr>
                <w:rFonts w:asciiTheme="minorHAnsi" w:hAnsiTheme="minorHAnsi"/>
                <w:sz w:val="20"/>
                <w:szCs w:val="20"/>
              </w:rPr>
            </w:pPr>
            <w:r w:rsidRPr="00FC785C">
              <w:rPr>
                <w:rFonts w:asciiTheme="minorHAnsi" w:hAnsiTheme="minorHAnsi"/>
                <w:sz w:val="20"/>
                <w:szCs w:val="20"/>
              </w:rPr>
              <w:t>Same as the rationale I gave in answer to Recommendation #5 above: Rationale: "Personal Data Transfer to a Registry - ICANN’s continuing requirement that registrars transmit all data collected to the relevant registry is counter to the GDPR’s principle of use of data only when a legitimate legal basis applies .... " read more at https://www.epag.de/en/tucows-statement-on-icann-legal-action/</w:t>
            </w:r>
          </w:p>
          <w:p w14:paraId="1267FC93" w14:textId="77777777" w:rsidR="00FC785C" w:rsidRPr="00FC785C" w:rsidRDefault="00FC785C" w:rsidP="00FC785C">
            <w:pPr>
              <w:pStyle w:val="ColorfulList-Accent11"/>
              <w:rPr>
                <w:rFonts w:asciiTheme="minorHAnsi" w:hAnsiTheme="minorHAnsi"/>
                <w:sz w:val="20"/>
                <w:szCs w:val="20"/>
              </w:rPr>
            </w:pPr>
          </w:p>
          <w:p w14:paraId="6946FBF4" w14:textId="3A515D6F" w:rsidR="00FC785C" w:rsidRPr="00FC785C" w:rsidRDefault="00FC785C" w:rsidP="00FC785C">
            <w:pPr>
              <w:pStyle w:val="ColorfulList-Accent11"/>
              <w:ind w:left="0"/>
              <w:rPr>
                <w:rFonts w:asciiTheme="minorHAnsi" w:hAnsiTheme="minorHAnsi"/>
                <w:sz w:val="20"/>
                <w:szCs w:val="20"/>
              </w:rPr>
            </w:pPr>
            <w:r w:rsidRPr="00FC785C">
              <w:rPr>
                <w:rFonts w:asciiTheme="minorHAnsi" w:hAnsiTheme="minorHAnsi"/>
                <w:sz w:val="20"/>
                <w:szCs w:val="20"/>
              </w:rPr>
              <w:t>The registrar could just give ICANN access to the data when lawful and appropriate. Of all the parties mentioned (registrars, registries, ICANN), I trust my registrar the most to responsibly keep and process my registrant data, the monopoly registry operator less so, and least of all ICANN.</w:t>
            </w:r>
          </w:p>
        </w:tc>
        <w:tc>
          <w:tcPr>
            <w:tcW w:w="2700" w:type="dxa"/>
          </w:tcPr>
          <w:p w14:paraId="633C9C53" w14:textId="7690D379" w:rsidR="00FC785C" w:rsidRPr="00FC785C" w:rsidRDefault="00FC785C" w:rsidP="00FC785C">
            <w:pPr>
              <w:contextualSpacing/>
              <w:rPr>
                <w:rFonts w:asciiTheme="minorHAnsi" w:hAnsiTheme="minorHAnsi"/>
                <w:sz w:val="20"/>
                <w:szCs w:val="20"/>
              </w:rPr>
            </w:pPr>
            <w:r w:rsidRPr="00FC785C">
              <w:rPr>
                <w:rFonts w:asciiTheme="minorHAnsi" w:hAnsiTheme="minorHAnsi"/>
                <w:sz w:val="20"/>
                <w:szCs w:val="20"/>
              </w:rPr>
              <w:t>John Poole; Domain Name Registrant</w:t>
            </w:r>
          </w:p>
        </w:tc>
        <w:tc>
          <w:tcPr>
            <w:tcW w:w="3960" w:type="dxa"/>
          </w:tcPr>
          <w:p w14:paraId="25EDF83D"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5590943"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3C525A9"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D428176"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B6D6721" w14:textId="77777777" w:rsidR="00FC785C" w:rsidRPr="002860E2" w:rsidRDefault="00FC785C" w:rsidP="00FC785C">
            <w:pPr>
              <w:contextualSpacing/>
              <w:rPr>
                <w:rFonts w:asciiTheme="minorHAnsi" w:hAnsiTheme="minorHAnsi"/>
                <w:sz w:val="20"/>
                <w:szCs w:val="20"/>
              </w:rPr>
            </w:pPr>
          </w:p>
          <w:p w14:paraId="5F1A3FF8" w14:textId="77777777" w:rsidR="00FC785C" w:rsidRPr="002860E2" w:rsidRDefault="00FC785C" w:rsidP="00FC78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461071"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FC785C" w:rsidRPr="002860E2" w14:paraId="46196493" w14:textId="77777777" w:rsidTr="002657F2">
        <w:trPr>
          <w:cantSplit/>
        </w:trPr>
        <w:tc>
          <w:tcPr>
            <w:tcW w:w="675" w:type="dxa"/>
          </w:tcPr>
          <w:p w14:paraId="5FF93AB5" w14:textId="77777777" w:rsidR="00FC785C" w:rsidRPr="002860E2" w:rsidRDefault="00FC785C" w:rsidP="00FC785C">
            <w:pPr>
              <w:numPr>
                <w:ilvl w:val="0"/>
                <w:numId w:val="23"/>
              </w:numPr>
              <w:contextualSpacing/>
              <w:rPr>
                <w:rFonts w:asciiTheme="minorHAnsi" w:hAnsiTheme="minorHAnsi"/>
                <w:b/>
                <w:sz w:val="20"/>
                <w:szCs w:val="20"/>
              </w:rPr>
            </w:pPr>
          </w:p>
        </w:tc>
        <w:tc>
          <w:tcPr>
            <w:tcW w:w="8055" w:type="dxa"/>
            <w:gridSpan w:val="2"/>
          </w:tcPr>
          <w:p w14:paraId="774E1122" w14:textId="48AD787C" w:rsidR="00FC785C" w:rsidRPr="00FC785C" w:rsidRDefault="00465726" w:rsidP="00FC785C">
            <w:pPr>
              <w:pStyle w:val="ColorfulList-Accent11"/>
              <w:ind w:left="0"/>
              <w:rPr>
                <w:rFonts w:asciiTheme="minorHAnsi" w:hAnsiTheme="minorHAnsi"/>
                <w:sz w:val="20"/>
                <w:szCs w:val="20"/>
              </w:rPr>
            </w:pPr>
            <w:r w:rsidRPr="00465726">
              <w:rPr>
                <w:rFonts w:asciiTheme="minorHAnsi" w:hAnsiTheme="minorHAnsi"/>
                <w:sz w:val="20"/>
                <w:szCs w:val="20"/>
              </w:rPr>
              <w:t xml:space="preserve">Any request for data from ICANN to a registrar should be narrow and specific. Each request should include a clear rationale for the requested data as well as clearly demarcated details on how ICANN handles that data. At present ICANN does not have DPAs with registrars and is also claiming that it somehow is exempt from meeting the thresholds that companies we deal with for far </w:t>
            </w:r>
            <w:proofErr w:type="gramStart"/>
            <w:r w:rsidRPr="00465726">
              <w:rPr>
                <w:rFonts w:asciiTheme="minorHAnsi" w:hAnsiTheme="minorHAnsi"/>
                <w:sz w:val="20"/>
                <w:szCs w:val="20"/>
              </w:rPr>
              <w:t>less</w:t>
            </w:r>
            <w:proofErr w:type="gramEnd"/>
            <w:r w:rsidRPr="00465726">
              <w:rPr>
                <w:rFonts w:asciiTheme="minorHAnsi" w:hAnsiTheme="minorHAnsi"/>
                <w:sz w:val="20"/>
                <w:szCs w:val="20"/>
              </w:rPr>
              <w:t xml:space="preserve"> sensitive data have to meet.</w:t>
            </w:r>
          </w:p>
        </w:tc>
        <w:tc>
          <w:tcPr>
            <w:tcW w:w="2700" w:type="dxa"/>
          </w:tcPr>
          <w:p w14:paraId="08F44E53" w14:textId="65CA3E37" w:rsidR="00FC785C" w:rsidRPr="00FC785C" w:rsidRDefault="00FC785C" w:rsidP="00FC785C">
            <w:pPr>
              <w:contextualSpacing/>
              <w:rPr>
                <w:rFonts w:asciiTheme="minorHAnsi" w:hAnsiTheme="minorHAnsi"/>
                <w:sz w:val="20"/>
                <w:szCs w:val="20"/>
              </w:rPr>
            </w:pPr>
            <w:r w:rsidRPr="00FC785C">
              <w:rPr>
                <w:rFonts w:asciiTheme="minorHAnsi" w:hAnsiTheme="minorHAnsi"/>
                <w:sz w:val="20"/>
                <w:szCs w:val="20"/>
              </w:rPr>
              <w:t>Michele Neylon; Blacknight Internet Solutions Ltd</w:t>
            </w:r>
          </w:p>
        </w:tc>
        <w:tc>
          <w:tcPr>
            <w:tcW w:w="3960" w:type="dxa"/>
          </w:tcPr>
          <w:p w14:paraId="0D14E4FD"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5A173DB"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DE6905E"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3D5113"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85C0118" w14:textId="77777777" w:rsidR="00FC785C" w:rsidRPr="002860E2" w:rsidRDefault="00FC785C" w:rsidP="00FC785C">
            <w:pPr>
              <w:contextualSpacing/>
              <w:rPr>
                <w:rFonts w:asciiTheme="minorHAnsi" w:hAnsiTheme="minorHAnsi"/>
                <w:sz w:val="20"/>
                <w:szCs w:val="20"/>
              </w:rPr>
            </w:pPr>
          </w:p>
          <w:p w14:paraId="0CA2E298" w14:textId="77777777" w:rsidR="00FC785C" w:rsidRPr="002860E2" w:rsidRDefault="00FC785C" w:rsidP="00FC78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6D7B21"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FC785C" w:rsidRPr="002860E2" w14:paraId="16592FDF" w14:textId="77777777" w:rsidTr="002657F2">
        <w:trPr>
          <w:cantSplit/>
        </w:trPr>
        <w:tc>
          <w:tcPr>
            <w:tcW w:w="675" w:type="dxa"/>
          </w:tcPr>
          <w:p w14:paraId="5CC82AC7" w14:textId="77777777" w:rsidR="00FC785C" w:rsidRPr="002860E2" w:rsidRDefault="00FC785C" w:rsidP="00FC785C">
            <w:pPr>
              <w:numPr>
                <w:ilvl w:val="0"/>
                <w:numId w:val="23"/>
              </w:numPr>
              <w:contextualSpacing/>
              <w:rPr>
                <w:rFonts w:asciiTheme="minorHAnsi" w:hAnsiTheme="minorHAnsi"/>
                <w:b/>
                <w:sz w:val="20"/>
                <w:szCs w:val="20"/>
              </w:rPr>
            </w:pPr>
          </w:p>
        </w:tc>
        <w:tc>
          <w:tcPr>
            <w:tcW w:w="8055" w:type="dxa"/>
            <w:gridSpan w:val="2"/>
          </w:tcPr>
          <w:p w14:paraId="0AE9AB49" w14:textId="77777777" w:rsidR="00FC785C" w:rsidRDefault="00465726" w:rsidP="00FC785C">
            <w:pPr>
              <w:pStyle w:val="ColorfulList-Accent11"/>
              <w:ind w:left="0"/>
              <w:rPr>
                <w:rFonts w:asciiTheme="minorHAnsi" w:hAnsiTheme="minorHAnsi"/>
                <w:sz w:val="20"/>
                <w:szCs w:val="20"/>
              </w:rPr>
            </w:pPr>
            <w:r w:rsidRPr="00465726">
              <w:rPr>
                <w:rFonts w:asciiTheme="minorHAnsi" w:hAnsiTheme="minorHAnsi"/>
                <w:sz w:val="20"/>
                <w:szCs w:val="20"/>
              </w:rPr>
              <w:t>In the event ICANN require personal data, they must provide a legal justification and purpose, it must be proportionate and it will be done on a case by case basis.</w:t>
            </w:r>
          </w:p>
          <w:p w14:paraId="21B0FFC8" w14:textId="77777777" w:rsidR="00465726" w:rsidRDefault="00465726" w:rsidP="00FC785C">
            <w:pPr>
              <w:pStyle w:val="ColorfulList-Accent11"/>
              <w:ind w:left="0"/>
              <w:rPr>
                <w:rFonts w:asciiTheme="minorHAnsi" w:hAnsiTheme="minorHAnsi"/>
                <w:sz w:val="20"/>
                <w:szCs w:val="20"/>
              </w:rPr>
            </w:pPr>
          </w:p>
          <w:p w14:paraId="061DF913" w14:textId="00A4B968" w:rsidR="00465726" w:rsidRPr="00FC785C" w:rsidRDefault="00465726" w:rsidP="00FC785C">
            <w:pPr>
              <w:pStyle w:val="ColorfulList-Accent11"/>
              <w:ind w:left="0"/>
              <w:rPr>
                <w:rFonts w:asciiTheme="minorHAnsi" w:hAnsiTheme="minorHAnsi"/>
                <w:sz w:val="20"/>
                <w:szCs w:val="20"/>
              </w:rPr>
            </w:pPr>
            <w:r w:rsidRPr="00465726">
              <w:rPr>
                <w:rFonts w:asciiTheme="minorHAnsi" w:hAnsiTheme="minorHAnsi"/>
                <w:sz w:val="20"/>
                <w:szCs w:val="20"/>
              </w:rPr>
              <w:t>While ICANN compliance may require to check with registries or registrars in respect of a compliance issue for a domain name, there is no clarity on why ICANN require the personal data of a Registered Name Holder.</w:t>
            </w:r>
          </w:p>
        </w:tc>
        <w:tc>
          <w:tcPr>
            <w:tcW w:w="2700" w:type="dxa"/>
          </w:tcPr>
          <w:p w14:paraId="5E5A6296" w14:textId="77777777" w:rsidR="00FC785C" w:rsidRPr="00465726" w:rsidRDefault="00FC785C" w:rsidP="00465726">
            <w:pPr>
              <w:pStyle w:val="ListParagraph"/>
              <w:numPr>
                <w:ilvl w:val="0"/>
                <w:numId w:val="48"/>
              </w:numPr>
              <w:ind w:left="336"/>
              <w:contextualSpacing/>
              <w:rPr>
                <w:rFonts w:asciiTheme="minorHAnsi" w:hAnsiTheme="minorHAnsi"/>
                <w:sz w:val="20"/>
                <w:szCs w:val="20"/>
              </w:rPr>
            </w:pPr>
            <w:r w:rsidRPr="00465726">
              <w:rPr>
                <w:rFonts w:asciiTheme="minorHAnsi" w:hAnsiTheme="minorHAnsi"/>
                <w:sz w:val="20"/>
                <w:szCs w:val="20"/>
              </w:rPr>
              <w:t xml:space="preserve">Zoe Bonython; </w:t>
            </w:r>
            <w:proofErr w:type="spellStart"/>
            <w:r w:rsidRPr="00465726">
              <w:rPr>
                <w:rFonts w:asciiTheme="minorHAnsi" w:hAnsiTheme="minorHAnsi"/>
                <w:sz w:val="20"/>
                <w:szCs w:val="20"/>
              </w:rPr>
              <w:t>RrSG</w:t>
            </w:r>
            <w:proofErr w:type="spellEnd"/>
          </w:p>
          <w:p w14:paraId="46E90D24" w14:textId="4C84F5C0" w:rsidR="00465726" w:rsidRPr="00465726" w:rsidRDefault="00465726" w:rsidP="00465726">
            <w:pPr>
              <w:pStyle w:val="ListParagraph"/>
              <w:numPr>
                <w:ilvl w:val="0"/>
                <w:numId w:val="48"/>
              </w:numPr>
              <w:ind w:left="336"/>
              <w:contextualSpacing/>
              <w:rPr>
                <w:rFonts w:asciiTheme="minorHAnsi" w:hAnsiTheme="minorHAnsi"/>
                <w:sz w:val="20"/>
                <w:szCs w:val="20"/>
              </w:rPr>
            </w:pPr>
            <w:r w:rsidRPr="00465726">
              <w:rPr>
                <w:rFonts w:asciiTheme="minorHAnsi" w:hAnsiTheme="minorHAnsi"/>
                <w:sz w:val="20"/>
                <w:szCs w:val="20"/>
              </w:rPr>
              <w:t xml:space="preserve">Volker </w:t>
            </w:r>
            <w:proofErr w:type="spellStart"/>
            <w:r w:rsidRPr="00465726">
              <w:rPr>
                <w:rFonts w:asciiTheme="minorHAnsi" w:hAnsiTheme="minorHAnsi"/>
                <w:sz w:val="20"/>
                <w:szCs w:val="20"/>
              </w:rPr>
              <w:t>Greimann</w:t>
            </w:r>
            <w:proofErr w:type="spellEnd"/>
            <w:r w:rsidRPr="00465726">
              <w:rPr>
                <w:rFonts w:asciiTheme="minorHAnsi" w:hAnsiTheme="minorHAnsi"/>
                <w:sz w:val="20"/>
                <w:szCs w:val="20"/>
              </w:rPr>
              <w:t>; Key-Systems GmbH</w:t>
            </w:r>
          </w:p>
        </w:tc>
        <w:tc>
          <w:tcPr>
            <w:tcW w:w="3960" w:type="dxa"/>
          </w:tcPr>
          <w:p w14:paraId="4965E79B"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572F601"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6547642"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49790C"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AB5AE9B" w14:textId="77777777" w:rsidR="00FC785C" w:rsidRPr="002860E2" w:rsidRDefault="00FC785C" w:rsidP="00FC785C">
            <w:pPr>
              <w:contextualSpacing/>
              <w:rPr>
                <w:rFonts w:asciiTheme="minorHAnsi" w:hAnsiTheme="minorHAnsi"/>
                <w:sz w:val="20"/>
                <w:szCs w:val="20"/>
              </w:rPr>
            </w:pPr>
          </w:p>
          <w:p w14:paraId="16F843DB" w14:textId="77777777" w:rsidR="00FC785C" w:rsidRPr="002860E2" w:rsidRDefault="00FC785C" w:rsidP="00FC78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5AA039A"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FC785C" w:rsidRPr="002860E2" w14:paraId="0FE5EC4A" w14:textId="77777777" w:rsidTr="000B5015">
        <w:trPr>
          <w:cantSplit/>
        </w:trPr>
        <w:tc>
          <w:tcPr>
            <w:tcW w:w="15390" w:type="dxa"/>
            <w:gridSpan w:val="5"/>
            <w:shd w:val="clear" w:color="auto" w:fill="DAEEF3" w:themeFill="accent5" w:themeFillTint="33"/>
          </w:tcPr>
          <w:p w14:paraId="6B8CB418"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FC785C" w:rsidRPr="002860E2" w14:paraId="13F8475F" w14:textId="77777777" w:rsidTr="002657F2">
        <w:trPr>
          <w:cantSplit/>
        </w:trPr>
        <w:tc>
          <w:tcPr>
            <w:tcW w:w="675" w:type="dxa"/>
          </w:tcPr>
          <w:p w14:paraId="02A69832" w14:textId="77777777" w:rsidR="00FC785C" w:rsidRPr="002860E2" w:rsidRDefault="00FC785C" w:rsidP="00FC785C">
            <w:pPr>
              <w:numPr>
                <w:ilvl w:val="0"/>
                <w:numId w:val="23"/>
              </w:numPr>
              <w:contextualSpacing/>
              <w:rPr>
                <w:rFonts w:asciiTheme="minorHAnsi" w:hAnsiTheme="minorHAnsi"/>
                <w:b/>
                <w:sz w:val="20"/>
                <w:szCs w:val="20"/>
              </w:rPr>
            </w:pPr>
          </w:p>
        </w:tc>
        <w:tc>
          <w:tcPr>
            <w:tcW w:w="8055" w:type="dxa"/>
            <w:gridSpan w:val="2"/>
          </w:tcPr>
          <w:p w14:paraId="4483A0AE" w14:textId="77777777" w:rsidR="00FC785C" w:rsidRPr="002860E2" w:rsidRDefault="00FC785C" w:rsidP="00FC785C">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10D1B601" w14:textId="77777777" w:rsidR="00FC785C" w:rsidRPr="002860E2" w:rsidRDefault="00FC785C" w:rsidP="00FC785C">
            <w:pPr>
              <w:pStyle w:val="ColorfulList-Accent11"/>
              <w:ind w:left="0"/>
              <w:rPr>
                <w:rFonts w:asciiTheme="minorHAnsi" w:hAnsiTheme="minorHAnsi"/>
                <w:sz w:val="20"/>
                <w:szCs w:val="20"/>
              </w:rPr>
            </w:pPr>
          </w:p>
        </w:tc>
        <w:tc>
          <w:tcPr>
            <w:tcW w:w="2700" w:type="dxa"/>
          </w:tcPr>
          <w:p w14:paraId="05478305"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Greg </w:t>
            </w:r>
            <w:proofErr w:type="spellStart"/>
            <w:r w:rsidRPr="0077580B">
              <w:rPr>
                <w:rFonts w:asciiTheme="minorHAnsi" w:hAnsiTheme="minorHAnsi"/>
                <w:sz w:val="20"/>
                <w:szCs w:val="20"/>
              </w:rPr>
              <w:t>Mounier</w:t>
            </w:r>
            <w:proofErr w:type="spellEnd"/>
            <w:r w:rsidRPr="0077580B">
              <w:rPr>
                <w:rFonts w:asciiTheme="minorHAnsi" w:hAnsiTheme="minorHAnsi"/>
                <w:sz w:val="20"/>
                <w:szCs w:val="20"/>
              </w:rPr>
              <w:t xml:space="preserve"> on behalf of Europol AGIS; Europol Advisory Group on Internet Security</w:t>
            </w:r>
          </w:p>
          <w:p w14:paraId="237A15C2"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Brian Beckham; Head, Internet Dispute Resolution Section at WIPO</w:t>
            </w:r>
          </w:p>
          <w:p w14:paraId="1DA17D22"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Fabien </w:t>
            </w:r>
            <w:proofErr w:type="spellStart"/>
            <w:r w:rsidRPr="0077580B">
              <w:rPr>
                <w:rFonts w:asciiTheme="minorHAnsi" w:hAnsiTheme="minorHAnsi"/>
                <w:sz w:val="20"/>
                <w:szCs w:val="20"/>
              </w:rPr>
              <w:t>Betremieux</w:t>
            </w:r>
            <w:proofErr w:type="spellEnd"/>
            <w:r w:rsidRPr="0077580B">
              <w:rPr>
                <w:rFonts w:asciiTheme="minorHAnsi" w:hAnsiTheme="minorHAnsi"/>
                <w:sz w:val="20"/>
                <w:szCs w:val="20"/>
              </w:rPr>
              <w:t>; GAC</w:t>
            </w:r>
          </w:p>
          <w:p w14:paraId="574A4A08"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Steve </w:t>
            </w:r>
            <w:proofErr w:type="spellStart"/>
            <w:r w:rsidRPr="0077580B">
              <w:rPr>
                <w:rFonts w:asciiTheme="minorHAnsi" w:hAnsiTheme="minorHAnsi"/>
                <w:sz w:val="20"/>
                <w:szCs w:val="20"/>
              </w:rPr>
              <w:t>Gobin</w:t>
            </w:r>
            <w:proofErr w:type="spellEnd"/>
            <w:r w:rsidRPr="0077580B">
              <w:rPr>
                <w:rFonts w:asciiTheme="minorHAnsi" w:hAnsiTheme="minorHAnsi"/>
                <w:sz w:val="20"/>
                <w:szCs w:val="20"/>
              </w:rPr>
              <w:t>; Corporate domain name management</w:t>
            </w:r>
          </w:p>
          <w:p w14:paraId="5806F616"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Ashley Heineman; NTIA</w:t>
            </w:r>
          </w:p>
          <w:p w14:paraId="1E1B9A63"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proofErr w:type="spellStart"/>
            <w:r w:rsidRPr="0077580B">
              <w:rPr>
                <w:rFonts w:asciiTheme="minorHAnsi" w:hAnsiTheme="minorHAnsi"/>
                <w:sz w:val="20"/>
                <w:szCs w:val="20"/>
              </w:rPr>
              <w:t>Sajda</w:t>
            </w:r>
            <w:proofErr w:type="spellEnd"/>
            <w:r w:rsidRPr="0077580B">
              <w:rPr>
                <w:rFonts w:asciiTheme="minorHAnsi" w:hAnsiTheme="minorHAnsi"/>
                <w:sz w:val="20"/>
                <w:szCs w:val="20"/>
              </w:rPr>
              <w:t xml:space="preserve"> </w:t>
            </w:r>
            <w:proofErr w:type="spellStart"/>
            <w:r w:rsidRPr="0077580B">
              <w:rPr>
                <w:rFonts w:asciiTheme="minorHAnsi" w:hAnsiTheme="minorHAnsi"/>
                <w:sz w:val="20"/>
                <w:szCs w:val="20"/>
              </w:rPr>
              <w:t>Ouachtouki</w:t>
            </w:r>
            <w:proofErr w:type="spellEnd"/>
            <w:r w:rsidRPr="0077580B">
              <w:rPr>
                <w:rFonts w:asciiTheme="minorHAnsi" w:hAnsiTheme="minorHAnsi"/>
                <w:sz w:val="20"/>
                <w:szCs w:val="20"/>
              </w:rPr>
              <w:t>; The Walt Disney Company</w:t>
            </w:r>
          </w:p>
          <w:p w14:paraId="23FE8D20"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Monique A. </w:t>
            </w:r>
            <w:proofErr w:type="spellStart"/>
            <w:r w:rsidRPr="0077580B">
              <w:rPr>
                <w:rFonts w:asciiTheme="minorHAnsi" w:hAnsiTheme="minorHAnsi"/>
                <w:sz w:val="20"/>
                <w:szCs w:val="20"/>
              </w:rPr>
              <w:t>Goeschl</w:t>
            </w:r>
            <w:proofErr w:type="spellEnd"/>
            <w:r w:rsidRPr="0077580B">
              <w:rPr>
                <w:rFonts w:asciiTheme="minorHAnsi" w:hAnsiTheme="minorHAnsi"/>
                <w:sz w:val="20"/>
                <w:szCs w:val="20"/>
              </w:rPr>
              <w:t xml:space="preserve">; Verein </w:t>
            </w:r>
            <w:proofErr w:type="spellStart"/>
            <w:r w:rsidRPr="0077580B">
              <w:rPr>
                <w:rFonts w:asciiTheme="minorHAnsi" w:hAnsiTheme="minorHAnsi"/>
                <w:sz w:val="20"/>
                <w:szCs w:val="20"/>
              </w:rPr>
              <w:t>für</w:t>
            </w:r>
            <w:proofErr w:type="spellEnd"/>
            <w:r w:rsidRPr="0077580B">
              <w:rPr>
                <w:rFonts w:asciiTheme="minorHAnsi" w:hAnsiTheme="minorHAnsi"/>
                <w:sz w:val="20"/>
                <w:szCs w:val="20"/>
              </w:rPr>
              <w:t xml:space="preserve"> Anti-</w:t>
            </w:r>
            <w:proofErr w:type="spellStart"/>
            <w:r w:rsidRPr="0077580B">
              <w:rPr>
                <w:rFonts w:asciiTheme="minorHAnsi" w:hAnsiTheme="minorHAnsi"/>
                <w:sz w:val="20"/>
                <w:szCs w:val="20"/>
              </w:rPr>
              <w:t>Piraterie</w:t>
            </w:r>
            <w:proofErr w:type="spellEnd"/>
            <w:r w:rsidRPr="0077580B">
              <w:rPr>
                <w:rFonts w:asciiTheme="minorHAnsi" w:hAnsiTheme="minorHAnsi"/>
                <w:sz w:val="20"/>
                <w:szCs w:val="20"/>
              </w:rPr>
              <w:t xml:space="preserve"> der Film- und </w:t>
            </w:r>
            <w:proofErr w:type="spellStart"/>
            <w:r w:rsidRPr="0077580B">
              <w:rPr>
                <w:rFonts w:asciiTheme="minorHAnsi" w:hAnsiTheme="minorHAnsi"/>
                <w:sz w:val="20"/>
                <w:szCs w:val="20"/>
              </w:rPr>
              <w:t>Videobranche</w:t>
            </w:r>
            <w:proofErr w:type="spellEnd"/>
            <w:r w:rsidRPr="0077580B">
              <w:rPr>
                <w:rFonts w:asciiTheme="minorHAnsi" w:hAnsiTheme="minorHAnsi"/>
                <w:sz w:val="20"/>
                <w:szCs w:val="20"/>
              </w:rPr>
              <w:t xml:space="preserve"> (VAP)</w:t>
            </w:r>
          </w:p>
          <w:p w14:paraId="7778D133"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Theo </w:t>
            </w:r>
            <w:proofErr w:type="spellStart"/>
            <w:r w:rsidRPr="0077580B">
              <w:rPr>
                <w:rFonts w:asciiTheme="minorHAnsi" w:hAnsiTheme="minorHAnsi"/>
                <w:sz w:val="20"/>
                <w:szCs w:val="20"/>
              </w:rPr>
              <w:t>Geurts</w:t>
            </w:r>
            <w:proofErr w:type="spellEnd"/>
          </w:p>
          <w:p w14:paraId="70FE83CA"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proofErr w:type="spellStart"/>
            <w:r w:rsidRPr="0077580B">
              <w:rPr>
                <w:rFonts w:asciiTheme="minorHAnsi" w:hAnsiTheme="minorHAnsi"/>
                <w:sz w:val="20"/>
                <w:szCs w:val="20"/>
              </w:rPr>
              <w:t>Ivett</w:t>
            </w:r>
            <w:proofErr w:type="spellEnd"/>
            <w:r w:rsidRPr="0077580B">
              <w:rPr>
                <w:rFonts w:asciiTheme="minorHAnsi" w:hAnsiTheme="minorHAnsi"/>
                <w:sz w:val="20"/>
                <w:szCs w:val="20"/>
              </w:rPr>
              <w:t xml:space="preserve"> </w:t>
            </w:r>
            <w:proofErr w:type="spellStart"/>
            <w:r w:rsidRPr="0077580B">
              <w:rPr>
                <w:rFonts w:asciiTheme="minorHAnsi" w:hAnsiTheme="minorHAnsi"/>
                <w:sz w:val="20"/>
                <w:szCs w:val="20"/>
              </w:rPr>
              <w:t>Paulovics</w:t>
            </w:r>
            <w:proofErr w:type="spellEnd"/>
            <w:r w:rsidRPr="0077580B">
              <w:rPr>
                <w:rFonts w:asciiTheme="minorHAnsi" w:hAnsiTheme="minorHAnsi"/>
                <w:sz w:val="20"/>
                <w:szCs w:val="20"/>
              </w:rPr>
              <w:t xml:space="preserve">; MFSD </w:t>
            </w:r>
            <w:proofErr w:type="spellStart"/>
            <w:r w:rsidRPr="0077580B">
              <w:rPr>
                <w:rFonts w:asciiTheme="minorHAnsi" w:hAnsiTheme="minorHAnsi"/>
                <w:sz w:val="20"/>
                <w:szCs w:val="20"/>
              </w:rPr>
              <w:t>Srl</w:t>
            </w:r>
            <w:proofErr w:type="spellEnd"/>
            <w:r w:rsidRPr="0077580B">
              <w:rPr>
                <w:rFonts w:asciiTheme="minorHAnsi" w:hAnsiTheme="minorHAnsi"/>
                <w:sz w:val="20"/>
                <w:szCs w:val="20"/>
              </w:rPr>
              <w:t xml:space="preserve"> URS Provider</w:t>
            </w:r>
          </w:p>
          <w:p w14:paraId="6F12DCBC"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 xml:space="preserve">Ashley Roberts; </w:t>
            </w:r>
            <w:proofErr w:type="spellStart"/>
            <w:r w:rsidRPr="0077580B">
              <w:rPr>
                <w:rFonts w:asciiTheme="minorHAnsi" w:hAnsiTheme="minorHAnsi"/>
                <w:sz w:val="20"/>
                <w:szCs w:val="20"/>
              </w:rPr>
              <w:t>Valideus</w:t>
            </w:r>
            <w:proofErr w:type="spellEnd"/>
          </w:p>
          <w:p w14:paraId="41AAF7FB" w14:textId="77777777" w:rsidR="00FC785C" w:rsidRPr="0077580B"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Renee Fossen; Forum - URS and UDRP Provider</w:t>
            </w:r>
          </w:p>
          <w:p w14:paraId="583FF836" w14:textId="56F83060" w:rsidR="00FC785C" w:rsidRPr="00E35BCD" w:rsidRDefault="00FC785C" w:rsidP="00FC785C">
            <w:pPr>
              <w:pStyle w:val="ListParagraph"/>
              <w:numPr>
                <w:ilvl w:val="0"/>
                <w:numId w:val="41"/>
              </w:numPr>
              <w:ind w:left="336"/>
              <w:contextualSpacing/>
              <w:rPr>
                <w:rFonts w:asciiTheme="minorHAnsi" w:hAnsiTheme="minorHAnsi"/>
                <w:sz w:val="20"/>
                <w:szCs w:val="20"/>
              </w:rPr>
            </w:pPr>
            <w:r w:rsidRPr="0077580B">
              <w:rPr>
                <w:rFonts w:asciiTheme="minorHAnsi" w:hAnsiTheme="minorHAnsi"/>
                <w:sz w:val="20"/>
                <w:szCs w:val="20"/>
              </w:rPr>
              <w:t>Stephanie Perrin</w:t>
            </w:r>
          </w:p>
        </w:tc>
        <w:tc>
          <w:tcPr>
            <w:tcW w:w="3960" w:type="dxa"/>
          </w:tcPr>
          <w:p w14:paraId="29222422"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1DD0F123"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73BF9BCF" w14:textId="77777777" w:rsidR="00FC785C" w:rsidRPr="002860E2"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8C95B13" w14:textId="77777777" w:rsidR="00FC785C" w:rsidRPr="002B3C04" w:rsidRDefault="00FC785C" w:rsidP="00FC7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7FB79994" w14:textId="77777777" w:rsidR="00FC785C" w:rsidRPr="002860E2" w:rsidRDefault="00FC785C" w:rsidP="00FC785C">
            <w:pPr>
              <w:contextualSpacing/>
              <w:rPr>
                <w:rFonts w:asciiTheme="minorHAnsi" w:hAnsiTheme="minorHAnsi"/>
                <w:sz w:val="20"/>
                <w:szCs w:val="20"/>
              </w:rPr>
            </w:pPr>
          </w:p>
          <w:p w14:paraId="418BAD04" w14:textId="77777777" w:rsidR="00FC785C" w:rsidRPr="002860E2" w:rsidRDefault="00FC785C" w:rsidP="00FC78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6793BCF" w14:textId="77777777" w:rsidR="00FC785C" w:rsidRPr="002860E2" w:rsidRDefault="00FC785C" w:rsidP="00FC785C">
            <w:pPr>
              <w:contextualSpacing/>
              <w:rPr>
                <w:rFonts w:asciiTheme="minorHAnsi" w:hAnsiTheme="minorHAnsi"/>
                <w:sz w:val="20"/>
                <w:szCs w:val="20"/>
              </w:rPr>
            </w:pPr>
          </w:p>
        </w:tc>
      </w:tr>
    </w:tbl>
    <w:p w14:paraId="36D6D2D1" w14:textId="32901ECF" w:rsidR="00676084" w:rsidRDefault="00676084" w:rsidP="00676084">
      <w:pPr>
        <w:rPr>
          <w:rFonts w:asciiTheme="minorHAnsi" w:hAnsiTheme="minorHAnsi"/>
        </w:rPr>
      </w:pPr>
    </w:p>
    <w:p w14:paraId="39D564F1" w14:textId="77777777" w:rsidR="0077580B" w:rsidRDefault="0077580B">
      <w:pPr>
        <w:rPr>
          <w:rFonts w:asciiTheme="minorHAnsi" w:eastAsia="Times New Roman" w:hAnsiTheme="minorHAnsi"/>
          <w:b/>
          <w:bCs/>
          <w:color w:val="FFFFFF" w:themeColor="background1"/>
          <w:kern w:val="32"/>
          <w:sz w:val="32"/>
          <w:szCs w:val="32"/>
        </w:rPr>
      </w:pPr>
      <w:r>
        <w:rPr>
          <w:rFonts w:asciiTheme="minorHAnsi" w:hAnsiTheme="minorHAnsi"/>
          <w:color w:val="FFFFFF" w:themeColor="background1"/>
        </w:rPr>
        <w:br w:type="page"/>
      </w:r>
    </w:p>
    <w:p w14:paraId="7785AC64" w14:textId="00FB0AAE" w:rsidR="001B466B" w:rsidRPr="002860E2" w:rsidRDefault="001B466B" w:rsidP="001B466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11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B466B" w:rsidRPr="002860E2" w14:paraId="7299EA1E" w14:textId="77777777" w:rsidTr="009A1B45">
        <w:trPr>
          <w:tblHeader/>
        </w:trPr>
        <w:tc>
          <w:tcPr>
            <w:tcW w:w="675" w:type="dxa"/>
            <w:tcBorders>
              <w:bottom w:val="single" w:sz="4" w:space="0" w:color="000000"/>
            </w:tcBorders>
            <w:shd w:val="clear" w:color="auto" w:fill="1768B1"/>
          </w:tcPr>
          <w:p w14:paraId="5E336041"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7400750D"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09772F3"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D21BE99" w14:textId="77777777" w:rsidR="001B466B" w:rsidRPr="002860E2" w:rsidRDefault="001B466B" w:rsidP="009A1B45">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1B466B" w:rsidRPr="002860E2" w14:paraId="5E5A82C3" w14:textId="77777777" w:rsidTr="009A1B45">
        <w:trPr>
          <w:cantSplit/>
        </w:trPr>
        <w:tc>
          <w:tcPr>
            <w:tcW w:w="675" w:type="dxa"/>
          </w:tcPr>
          <w:p w14:paraId="15B76861"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382BFEDF" w14:textId="2179110D" w:rsidR="001B466B" w:rsidRPr="00716069" w:rsidRDefault="004E64E6" w:rsidP="003A131D">
            <w:pPr>
              <w:pStyle w:val="ColorfulList-Accent11"/>
              <w:ind w:left="0"/>
              <w:rPr>
                <w:rFonts w:asciiTheme="minorHAnsi" w:hAnsiTheme="minorHAnsi"/>
                <w:sz w:val="20"/>
                <w:szCs w:val="20"/>
              </w:rPr>
            </w:pPr>
            <w:r w:rsidRPr="004E64E6">
              <w:rPr>
                <w:rFonts w:asciiTheme="minorHAnsi" w:hAnsiTheme="minorHAnsi"/>
                <w:sz w:val="20"/>
                <w:szCs w:val="20"/>
              </w:rPr>
              <w:t>Registrars collect and process data from their clients in good faith and in line with the law. ICANN cannot expect us to ignore that and simply handover data without any clear rationale nor do they have any right to mine our clients' data or retain it or process it without appropriate safeguards.</w:t>
            </w:r>
          </w:p>
        </w:tc>
        <w:tc>
          <w:tcPr>
            <w:tcW w:w="2700" w:type="dxa"/>
          </w:tcPr>
          <w:p w14:paraId="0ADD7C3E" w14:textId="0CE0C1E7" w:rsidR="001B466B" w:rsidRPr="00716069" w:rsidRDefault="004E64E6" w:rsidP="009A1B45">
            <w:pPr>
              <w:contextualSpacing/>
              <w:rPr>
                <w:rFonts w:asciiTheme="minorHAnsi" w:hAnsiTheme="minorHAnsi"/>
                <w:sz w:val="20"/>
                <w:szCs w:val="20"/>
              </w:rPr>
            </w:pPr>
            <w:r w:rsidRPr="004E64E6">
              <w:rPr>
                <w:rFonts w:asciiTheme="minorHAnsi" w:hAnsiTheme="minorHAnsi"/>
                <w:sz w:val="20"/>
                <w:szCs w:val="20"/>
              </w:rPr>
              <w:t>Michele Neylon; Blacknight Internet Solutions Ltd</w:t>
            </w:r>
          </w:p>
        </w:tc>
        <w:tc>
          <w:tcPr>
            <w:tcW w:w="3960" w:type="dxa"/>
          </w:tcPr>
          <w:p w14:paraId="75CBA766" w14:textId="77777777" w:rsidR="004E64E6" w:rsidRDefault="004E64E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14:paraId="484CDB5C" w14:textId="2EF7DC50"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7882A78"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D21376"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F4175DB" w14:textId="77777777" w:rsidR="001B466B" w:rsidRPr="002860E2" w:rsidRDefault="001B466B" w:rsidP="009A1B45">
            <w:pPr>
              <w:contextualSpacing/>
              <w:rPr>
                <w:rFonts w:asciiTheme="minorHAnsi" w:hAnsiTheme="minorHAnsi"/>
                <w:sz w:val="20"/>
                <w:szCs w:val="20"/>
              </w:rPr>
            </w:pPr>
          </w:p>
          <w:p w14:paraId="5D52F9D2"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46CE05"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4718D3AE" w14:textId="77777777" w:rsidTr="009A1B45">
        <w:trPr>
          <w:cantSplit/>
        </w:trPr>
        <w:tc>
          <w:tcPr>
            <w:tcW w:w="675" w:type="dxa"/>
          </w:tcPr>
          <w:p w14:paraId="515750B9"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1DC0B9E7" w14:textId="31BB37BF" w:rsidR="001B466B" w:rsidRPr="00716069" w:rsidRDefault="004E64E6" w:rsidP="009A1B45">
            <w:pPr>
              <w:pStyle w:val="ColorfulList-Accent11"/>
              <w:ind w:left="0"/>
              <w:rPr>
                <w:rFonts w:asciiTheme="minorHAnsi" w:hAnsiTheme="minorHAnsi"/>
                <w:sz w:val="20"/>
                <w:szCs w:val="20"/>
              </w:rPr>
            </w:pPr>
            <w:r w:rsidRPr="004E64E6">
              <w:rPr>
                <w:rFonts w:asciiTheme="minorHAnsi" w:hAnsiTheme="minorHAnsi"/>
                <w:sz w:val="20"/>
                <w:szCs w:val="20"/>
              </w:rPr>
              <w:t>It is unclear if the wording needs to be changed, but the ultimate result must be that Compliance has immediate access to registration data without having to make an explicit request and wait for reply. Having to formally request data and then restart the investigation when it arrives needlessly increases the complexity of the costs of Contractual Compliance.</w:t>
            </w:r>
          </w:p>
        </w:tc>
        <w:tc>
          <w:tcPr>
            <w:tcW w:w="2700" w:type="dxa"/>
          </w:tcPr>
          <w:p w14:paraId="05A88D97" w14:textId="3A0ECBF0" w:rsidR="001B466B" w:rsidRPr="00716069" w:rsidRDefault="004E64E6" w:rsidP="009A1B45">
            <w:pPr>
              <w:contextualSpacing/>
              <w:rPr>
                <w:rFonts w:asciiTheme="minorHAnsi" w:hAnsiTheme="minorHAnsi"/>
                <w:sz w:val="20"/>
                <w:szCs w:val="20"/>
              </w:rPr>
            </w:pPr>
            <w:proofErr w:type="spellStart"/>
            <w:r w:rsidRPr="004E64E6">
              <w:rPr>
                <w:rFonts w:asciiTheme="minorHAnsi" w:hAnsiTheme="minorHAnsi"/>
                <w:sz w:val="20"/>
                <w:szCs w:val="20"/>
              </w:rPr>
              <w:t>Evin</w:t>
            </w:r>
            <w:proofErr w:type="spellEnd"/>
            <w:r w:rsidRPr="004E64E6">
              <w:rPr>
                <w:rFonts w:asciiTheme="minorHAnsi" w:hAnsiTheme="minorHAnsi"/>
                <w:sz w:val="20"/>
                <w:szCs w:val="20"/>
              </w:rPr>
              <w:t xml:space="preserve"> </w:t>
            </w:r>
            <w:proofErr w:type="spellStart"/>
            <w:r w:rsidRPr="004E64E6">
              <w:rPr>
                <w:rFonts w:asciiTheme="minorHAnsi" w:hAnsiTheme="minorHAnsi"/>
                <w:sz w:val="20"/>
                <w:szCs w:val="20"/>
              </w:rPr>
              <w:t>Erdoğdu</w:t>
            </w:r>
            <w:proofErr w:type="spellEnd"/>
            <w:r w:rsidRPr="004E64E6">
              <w:rPr>
                <w:rFonts w:asciiTheme="minorHAnsi" w:hAnsiTheme="minorHAnsi"/>
                <w:sz w:val="20"/>
                <w:szCs w:val="20"/>
              </w:rPr>
              <w:t>; ALAC</w:t>
            </w:r>
          </w:p>
        </w:tc>
        <w:tc>
          <w:tcPr>
            <w:tcW w:w="3960" w:type="dxa"/>
          </w:tcPr>
          <w:p w14:paraId="2E4C95F3" w14:textId="682001F4"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B2158AE"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953D70A"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06D6D95"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111A388" w14:textId="77777777" w:rsidR="001B466B" w:rsidRPr="002860E2" w:rsidRDefault="001B466B" w:rsidP="009A1B45">
            <w:pPr>
              <w:contextualSpacing/>
              <w:rPr>
                <w:rFonts w:asciiTheme="minorHAnsi" w:hAnsiTheme="minorHAnsi"/>
                <w:sz w:val="20"/>
                <w:szCs w:val="20"/>
              </w:rPr>
            </w:pPr>
          </w:p>
          <w:p w14:paraId="1CBB46F1"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9D42CF"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31B6AB32" w14:textId="77777777" w:rsidTr="009A1B45">
        <w:trPr>
          <w:cantSplit/>
        </w:trPr>
        <w:tc>
          <w:tcPr>
            <w:tcW w:w="675" w:type="dxa"/>
          </w:tcPr>
          <w:p w14:paraId="1E7D9F84"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1B83AD5B" w14:textId="26D570A0" w:rsidR="001B466B" w:rsidRPr="00716069" w:rsidRDefault="004E64E6" w:rsidP="003A131D">
            <w:pPr>
              <w:pStyle w:val="ColorfulList-Accent11"/>
              <w:ind w:left="0"/>
              <w:rPr>
                <w:rFonts w:asciiTheme="minorHAnsi" w:hAnsiTheme="minorHAnsi"/>
                <w:sz w:val="20"/>
                <w:szCs w:val="20"/>
              </w:rPr>
            </w:pPr>
            <w:r w:rsidRPr="004E64E6">
              <w:rPr>
                <w:rFonts w:asciiTheme="minorHAnsi" w:hAnsiTheme="minorHAnsi"/>
                <w:sz w:val="20"/>
                <w:szCs w:val="20"/>
              </w:rPr>
              <w:t xml:space="preserve">If ICANN provides a Data Processing Agreement or some appropriate assurances re how they handle, store, process, and delete data, and the data are truly a minimal set, ICANN might be able to request certain minimal data elements which are needed for the purposes listed (see </w:t>
            </w:r>
            <w:proofErr w:type="spellStart"/>
            <w:r w:rsidRPr="004E64E6">
              <w:rPr>
                <w:rFonts w:asciiTheme="minorHAnsi" w:hAnsiTheme="minorHAnsi"/>
                <w:sz w:val="20"/>
                <w:szCs w:val="20"/>
              </w:rPr>
              <w:t>pg</w:t>
            </w:r>
            <w:proofErr w:type="spellEnd"/>
            <w:r w:rsidRPr="004E64E6">
              <w:rPr>
                <w:rFonts w:asciiTheme="minorHAnsi" w:hAnsiTheme="minorHAnsi"/>
                <w:sz w:val="20"/>
                <w:szCs w:val="20"/>
              </w:rPr>
              <w:t xml:space="preserve"> 115 of current clean copy). At this time, however we have no assurance that ICANN will require a truly minimal set; hopefully this will be determined within the UAM work.</w:t>
            </w:r>
          </w:p>
        </w:tc>
        <w:tc>
          <w:tcPr>
            <w:tcW w:w="2700" w:type="dxa"/>
          </w:tcPr>
          <w:p w14:paraId="259E36E1" w14:textId="544F75B5" w:rsidR="001B466B" w:rsidRPr="00716069" w:rsidRDefault="004E64E6" w:rsidP="009A1B45">
            <w:pPr>
              <w:contextualSpacing/>
              <w:rPr>
                <w:rFonts w:asciiTheme="minorHAnsi" w:hAnsiTheme="minorHAnsi"/>
                <w:sz w:val="20"/>
                <w:szCs w:val="20"/>
              </w:rPr>
            </w:pPr>
            <w:proofErr w:type="spellStart"/>
            <w:r w:rsidRPr="004E64E6">
              <w:rPr>
                <w:rFonts w:asciiTheme="minorHAnsi" w:hAnsiTheme="minorHAnsi"/>
                <w:sz w:val="20"/>
                <w:szCs w:val="20"/>
              </w:rPr>
              <w:t>Tucows</w:t>
            </w:r>
            <w:proofErr w:type="spellEnd"/>
            <w:r w:rsidRPr="004E64E6">
              <w:rPr>
                <w:rFonts w:asciiTheme="minorHAnsi" w:hAnsiTheme="minorHAnsi"/>
                <w:sz w:val="20"/>
                <w:szCs w:val="20"/>
              </w:rPr>
              <w:t xml:space="preserve"> Domains Inc.</w:t>
            </w:r>
          </w:p>
        </w:tc>
        <w:tc>
          <w:tcPr>
            <w:tcW w:w="3960" w:type="dxa"/>
          </w:tcPr>
          <w:p w14:paraId="0D7831EB" w14:textId="77777777" w:rsidR="004E64E6" w:rsidRPr="002860E2"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1FCD20" w14:textId="77777777" w:rsidR="004E64E6" w:rsidRPr="002B3C04"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A0D2CC6" w14:textId="77777777" w:rsidR="004E64E6" w:rsidRPr="002860E2"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67B9433" w14:textId="77777777" w:rsidR="004E64E6" w:rsidRPr="002B3C04"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DF15480" w14:textId="77777777" w:rsidR="004E64E6" w:rsidRPr="002860E2" w:rsidRDefault="004E64E6" w:rsidP="004E64E6">
            <w:pPr>
              <w:contextualSpacing/>
              <w:rPr>
                <w:rFonts w:asciiTheme="minorHAnsi" w:hAnsiTheme="minorHAnsi"/>
                <w:sz w:val="20"/>
                <w:szCs w:val="20"/>
              </w:rPr>
            </w:pPr>
          </w:p>
          <w:p w14:paraId="1E438287" w14:textId="77777777" w:rsidR="004E64E6" w:rsidRPr="002860E2" w:rsidRDefault="004E64E6" w:rsidP="004E64E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2BE184A"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11A0F7BC" w14:textId="77777777" w:rsidTr="009A1B45">
        <w:trPr>
          <w:cantSplit/>
        </w:trPr>
        <w:tc>
          <w:tcPr>
            <w:tcW w:w="675" w:type="dxa"/>
          </w:tcPr>
          <w:p w14:paraId="47D26E9C"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72FDA566" w14:textId="77777777" w:rsidR="004E64E6" w:rsidRPr="004E64E6" w:rsidRDefault="004E64E6" w:rsidP="004E64E6">
            <w:pPr>
              <w:pStyle w:val="ColorfulList-Accent11"/>
              <w:ind w:left="30"/>
              <w:rPr>
                <w:rFonts w:asciiTheme="minorHAnsi" w:hAnsiTheme="minorHAnsi"/>
                <w:sz w:val="20"/>
                <w:szCs w:val="20"/>
              </w:rPr>
            </w:pPr>
            <w:r w:rsidRPr="004E64E6">
              <w:rPr>
                <w:rFonts w:asciiTheme="minorHAnsi" w:hAnsiTheme="minorHAnsi"/>
                <w:sz w:val="20"/>
                <w:szCs w:val="20"/>
              </w:rPr>
              <w:t xml:space="preserve">Contractual compliance is a critical and necessary function of ICANN, and part of its obligations to ensure that registrars/registries comply with their commitments in their contracts with ICANN. As such, the proper lawful basis for contractual compliance should be Art. 6(1)(b), and ICANN should receive all information it deems reasonably necessary to satisfy its compliance function. </w:t>
            </w:r>
          </w:p>
          <w:p w14:paraId="6EEA4184" w14:textId="07BF30F8" w:rsidR="001B466B" w:rsidRPr="00716069" w:rsidRDefault="004E64E6" w:rsidP="004E64E6">
            <w:pPr>
              <w:pStyle w:val="ColorfulList-Accent11"/>
              <w:ind w:left="0"/>
              <w:rPr>
                <w:rFonts w:asciiTheme="minorHAnsi" w:hAnsiTheme="minorHAnsi"/>
                <w:sz w:val="20"/>
                <w:szCs w:val="20"/>
              </w:rPr>
            </w:pPr>
            <w:r w:rsidRPr="004E64E6">
              <w:rPr>
                <w:rFonts w:asciiTheme="minorHAnsi" w:hAnsiTheme="minorHAnsi"/>
                <w:sz w:val="20"/>
                <w:szCs w:val="20"/>
              </w:rPr>
              <w:t xml:space="preserve"> This means that Annex D, Workbook 5, to the extent incorporated by reference into the recommendation, should be modified to ensure the best legal basis is used (i.e. Art. 6(1)(b)) or it should be revised to state that the lawful basis includes both Art. 6(1)(b) and Art. 6(1)(f).  In addition, ICANN should receive all information that it deems reasonably necessary for compliance, not just the “minimum”, to ensure that ICANN can satisfy this important function.</w:t>
            </w:r>
          </w:p>
        </w:tc>
        <w:tc>
          <w:tcPr>
            <w:tcW w:w="2700" w:type="dxa"/>
          </w:tcPr>
          <w:p w14:paraId="2BE065E8" w14:textId="28D6BF2E" w:rsidR="001B466B" w:rsidRPr="00716069" w:rsidRDefault="004E64E6" w:rsidP="009A1B45">
            <w:pPr>
              <w:contextualSpacing/>
              <w:rPr>
                <w:rFonts w:asciiTheme="minorHAnsi" w:hAnsiTheme="minorHAnsi"/>
                <w:sz w:val="20"/>
                <w:szCs w:val="20"/>
              </w:rPr>
            </w:pPr>
            <w:r w:rsidRPr="004E64E6">
              <w:rPr>
                <w:rFonts w:asciiTheme="minorHAnsi" w:hAnsiTheme="minorHAnsi"/>
                <w:sz w:val="20"/>
                <w:szCs w:val="20"/>
              </w:rPr>
              <w:t>Dean S. Marks; Coalition for Online Accountability</w:t>
            </w:r>
          </w:p>
        </w:tc>
        <w:tc>
          <w:tcPr>
            <w:tcW w:w="3960" w:type="dxa"/>
          </w:tcPr>
          <w:p w14:paraId="2CFEC3C4" w14:textId="77777777" w:rsidR="00D22C5A" w:rsidRPr="002860E2"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4A8EF73" w14:textId="77777777" w:rsidR="00D22C5A" w:rsidRPr="002B3C04"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FF6DFED" w14:textId="77777777" w:rsidR="00D22C5A" w:rsidRPr="002860E2"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CF95612" w14:textId="77777777" w:rsidR="00D22C5A" w:rsidRPr="002B3C04"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467DB9C" w14:textId="77777777" w:rsidR="00D22C5A" w:rsidRPr="002860E2" w:rsidRDefault="00D22C5A" w:rsidP="00D22C5A">
            <w:pPr>
              <w:contextualSpacing/>
              <w:rPr>
                <w:rFonts w:asciiTheme="minorHAnsi" w:hAnsiTheme="minorHAnsi"/>
                <w:sz w:val="20"/>
                <w:szCs w:val="20"/>
              </w:rPr>
            </w:pPr>
          </w:p>
          <w:p w14:paraId="7F60DF29" w14:textId="77777777" w:rsidR="00D22C5A" w:rsidRPr="002860E2" w:rsidRDefault="00D22C5A" w:rsidP="00D22C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24F81"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55E2C102" w14:textId="77777777" w:rsidTr="009A1B45">
        <w:trPr>
          <w:cantSplit/>
        </w:trPr>
        <w:tc>
          <w:tcPr>
            <w:tcW w:w="675" w:type="dxa"/>
          </w:tcPr>
          <w:p w14:paraId="674CA20A"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01F14310" w14:textId="2C7ED1DB" w:rsidR="001B466B" w:rsidRPr="002860E2" w:rsidRDefault="00F93872" w:rsidP="009A1B45">
            <w:pPr>
              <w:pStyle w:val="ColorfulList-Accent11"/>
              <w:ind w:left="0"/>
              <w:rPr>
                <w:rFonts w:asciiTheme="minorHAnsi" w:hAnsiTheme="minorHAnsi"/>
                <w:sz w:val="20"/>
                <w:szCs w:val="20"/>
              </w:rPr>
            </w:pPr>
            <w:r w:rsidRPr="00F93872">
              <w:rPr>
                <w:rFonts w:asciiTheme="minorHAnsi" w:hAnsiTheme="minorHAnsi"/>
                <w:sz w:val="20"/>
                <w:szCs w:val="20"/>
              </w:rPr>
              <w:t>Please see response to question 64. We also note that our members have submitted several contractual compliance complaints to ICANN about registrars’ failure to provide registrant information to them in accordance with the requirements of the temporary specification.  Those complaints have been pending for over 5 months with no response from ICANN.  This inability of ICANN to investigate and respond to contractual compliance complaints is very troubling and points to a potential breakdown in the ICANN model.</w:t>
            </w:r>
          </w:p>
        </w:tc>
        <w:tc>
          <w:tcPr>
            <w:tcW w:w="2700" w:type="dxa"/>
          </w:tcPr>
          <w:p w14:paraId="1FA65FBB" w14:textId="7145ED4C" w:rsidR="001B466B" w:rsidRPr="00163E62" w:rsidRDefault="004E64E6" w:rsidP="009A1B45">
            <w:pPr>
              <w:contextualSpacing/>
              <w:rPr>
                <w:rFonts w:asciiTheme="minorHAnsi" w:hAnsiTheme="minorHAnsi"/>
                <w:sz w:val="20"/>
                <w:szCs w:val="20"/>
              </w:rPr>
            </w:pPr>
            <w:r w:rsidRPr="004E64E6">
              <w:rPr>
                <w:rFonts w:asciiTheme="minorHAnsi" w:hAnsiTheme="minorHAnsi"/>
                <w:sz w:val="20"/>
                <w:szCs w:val="20"/>
              </w:rPr>
              <w:t>Brian King; IPC</w:t>
            </w:r>
          </w:p>
        </w:tc>
        <w:tc>
          <w:tcPr>
            <w:tcW w:w="3960" w:type="dxa"/>
          </w:tcPr>
          <w:p w14:paraId="305188D1"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FA9616"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25CB3DE"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96D1860"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94CF4B7" w14:textId="77777777" w:rsidR="00F93872" w:rsidRPr="002860E2" w:rsidRDefault="00F93872" w:rsidP="00F93872">
            <w:pPr>
              <w:contextualSpacing/>
              <w:rPr>
                <w:rFonts w:asciiTheme="minorHAnsi" w:hAnsiTheme="minorHAnsi"/>
                <w:sz w:val="20"/>
                <w:szCs w:val="20"/>
              </w:rPr>
            </w:pPr>
          </w:p>
          <w:p w14:paraId="2854E227"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582DD2"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E64E6" w:rsidRPr="002860E2" w14:paraId="5BAF432B" w14:textId="77777777" w:rsidTr="009A1B45">
        <w:trPr>
          <w:cantSplit/>
        </w:trPr>
        <w:tc>
          <w:tcPr>
            <w:tcW w:w="675" w:type="dxa"/>
          </w:tcPr>
          <w:p w14:paraId="520532E1" w14:textId="77777777" w:rsidR="004E64E6" w:rsidRPr="002860E2" w:rsidRDefault="004E64E6" w:rsidP="001B466B">
            <w:pPr>
              <w:numPr>
                <w:ilvl w:val="0"/>
                <w:numId w:val="23"/>
              </w:numPr>
              <w:contextualSpacing/>
              <w:rPr>
                <w:rFonts w:asciiTheme="minorHAnsi" w:hAnsiTheme="minorHAnsi"/>
                <w:b/>
                <w:sz w:val="20"/>
                <w:szCs w:val="20"/>
              </w:rPr>
            </w:pPr>
          </w:p>
        </w:tc>
        <w:tc>
          <w:tcPr>
            <w:tcW w:w="8055" w:type="dxa"/>
          </w:tcPr>
          <w:p w14:paraId="2C7DC685" w14:textId="1D300E1C" w:rsidR="004E64E6" w:rsidRPr="002860E2" w:rsidRDefault="00F93872" w:rsidP="009A1B45">
            <w:pPr>
              <w:pStyle w:val="ColorfulList-Accent11"/>
              <w:ind w:left="0"/>
              <w:rPr>
                <w:rFonts w:asciiTheme="minorHAnsi" w:hAnsiTheme="minorHAnsi"/>
                <w:sz w:val="20"/>
                <w:szCs w:val="20"/>
              </w:rPr>
            </w:pPr>
            <w:r w:rsidRPr="00F93872">
              <w:rPr>
                <w:rFonts w:asciiTheme="minorHAnsi" w:hAnsiTheme="minorHAnsi"/>
                <w:sz w:val="20"/>
                <w:szCs w:val="20"/>
              </w:rPr>
              <w:t>The RAA currently requires that several other types of data be collected, data that has never been displayed in RDDS.  For clarity, the report should state that these RAA provisions are not affected and should remain in place.  Most important is the identity of the “Account Holder”, which the RAA defines as “the person or entity that is paying for the Registered Name or otherwise controls the management of the registered name, when that person or entity is not the Registered Name Holder.</w:t>
            </w:r>
          </w:p>
        </w:tc>
        <w:tc>
          <w:tcPr>
            <w:tcW w:w="2700" w:type="dxa"/>
          </w:tcPr>
          <w:p w14:paraId="70359B8E" w14:textId="4345F77B" w:rsidR="004E64E6" w:rsidRPr="00163E62" w:rsidRDefault="004E64E6" w:rsidP="009A1B45">
            <w:pPr>
              <w:contextualSpacing/>
              <w:rPr>
                <w:rFonts w:asciiTheme="minorHAnsi" w:hAnsiTheme="minorHAnsi"/>
                <w:sz w:val="20"/>
                <w:szCs w:val="20"/>
              </w:rPr>
            </w:pPr>
            <w:r w:rsidRPr="004E64E6">
              <w:rPr>
                <w:rFonts w:asciiTheme="minorHAnsi" w:hAnsiTheme="minorHAnsi"/>
                <w:sz w:val="20"/>
                <w:szCs w:val="20"/>
              </w:rPr>
              <w:t>Ben Butler; SSAC</w:t>
            </w:r>
          </w:p>
        </w:tc>
        <w:tc>
          <w:tcPr>
            <w:tcW w:w="3960" w:type="dxa"/>
          </w:tcPr>
          <w:p w14:paraId="5B74CB8E"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AB1FB2D"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8FDB91B"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8B2E66D"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23E9E1E" w14:textId="77777777" w:rsidR="00F93872" w:rsidRPr="002860E2" w:rsidRDefault="00F93872" w:rsidP="00F93872">
            <w:pPr>
              <w:contextualSpacing/>
              <w:rPr>
                <w:rFonts w:asciiTheme="minorHAnsi" w:hAnsiTheme="minorHAnsi"/>
                <w:sz w:val="20"/>
                <w:szCs w:val="20"/>
              </w:rPr>
            </w:pPr>
          </w:p>
          <w:p w14:paraId="4744B96B"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9D7C1D" w14:textId="77777777" w:rsidR="004E64E6" w:rsidRPr="002860E2" w:rsidRDefault="004E64E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4E64E6" w:rsidRPr="002860E2" w14:paraId="3D7E57C8" w14:textId="77777777" w:rsidTr="009A1B45">
        <w:trPr>
          <w:cantSplit/>
        </w:trPr>
        <w:tc>
          <w:tcPr>
            <w:tcW w:w="675" w:type="dxa"/>
          </w:tcPr>
          <w:p w14:paraId="6DB0B244" w14:textId="77777777" w:rsidR="004E64E6" w:rsidRPr="002860E2" w:rsidRDefault="004E64E6" w:rsidP="001B466B">
            <w:pPr>
              <w:numPr>
                <w:ilvl w:val="0"/>
                <w:numId w:val="23"/>
              </w:numPr>
              <w:contextualSpacing/>
              <w:rPr>
                <w:rFonts w:asciiTheme="minorHAnsi" w:hAnsiTheme="minorHAnsi"/>
                <w:b/>
                <w:sz w:val="20"/>
                <w:szCs w:val="20"/>
              </w:rPr>
            </w:pPr>
          </w:p>
        </w:tc>
        <w:tc>
          <w:tcPr>
            <w:tcW w:w="8055" w:type="dxa"/>
          </w:tcPr>
          <w:p w14:paraId="2EB3DF41" w14:textId="35D438EE" w:rsidR="004E64E6" w:rsidRPr="002860E2" w:rsidRDefault="00F93872" w:rsidP="009A1B45">
            <w:pPr>
              <w:pStyle w:val="ColorfulList-Accent11"/>
              <w:ind w:left="0"/>
              <w:rPr>
                <w:rFonts w:asciiTheme="minorHAnsi" w:hAnsiTheme="minorHAnsi"/>
                <w:sz w:val="20"/>
                <w:szCs w:val="20"/>
              </w:rPr>
            </w:pPr>
            <w:r w:rsidRPr="00F93872">
              <w:rPr>
                <w:rFonts w:asciiTheme="minorHAnsi" w:hAnsiTheme="minorHAnsi"/>
                <w:sz w:val="20"/>
                <w:szCs w:val="20"/>
              </w:rPr>
              <w:t>ICANN, registrars, registry operators, and registered domain name holders have long been subject to certain requirements. See, e.g., Registrar Accreditation Agreement, sec. 3.7.7.9 (requiring the registered name holder to refrain from using the domain name in a manner that infringes the legal rights of any third party), https://www.icann.org/resources/pages/approved-with-specs-2013-09-17-en#raa; Registry Agreement, Specification 11, sec. 3(a) (providing that the registry operator will require registrars to prohibit registered name holders from engaging in illicit activity, such as “distributing malware, abusively operating botnets, phishing, piracy, trademark or copyright infringement, fraudulent or deceptive practices, [and] counterfeiting), https://newgtlds.icann.org/sites/default/files/agreements/agreement-approved-31jul17-en.html#specification11. Ensuring compliance with those obligations will require collection and processing of data as part of the WHOIS system, including providing access to third parties.</w:t>
            </w:r>
          </w:p>
        </w:tc>
        <w:tc>
          <w:tcPr>
            <w:tcW w:w="2700" w:type="dxa"/>
          </w:tcPr>
          <w:p w14:paraId="45888087" w14:textId="46C23F2E" w:rsidR="004E64E6" w:rsidRPr="00163E62" w:rsidRDefault="004E64E6" w:rsidP="009A1B45">
            <w:pPr>
              <w:contextualSpacing/>
              <w:rPr>
                <w:rFonts w:asciiTheme="minorHAnsi" w:hAnsiTheme="minorHAnsi"/>
                <w:sz w:val="20"/>
                <w:szCs w:val="20"/>
              </w:rPr>
            </w:pPr>
            <w:r w:rsidRPr="004E64E6">
              <w:rPr>
                <w:rFonts w:asciiTheme="minorHAnsi" w:hAnsiTheme="minorHAnsi"/>
                <w:sz w:val="20"/>
                <w:szCs w:val="20"/>
              </w:rPr>
              <w:t>Neil Fried; The Motion Picture Association of America</w:t>
            </w:r>
          </w:p>
        </w:tc>
        <w:tc>
          <w:tcPr>
            <w:tcW w:w="3960" w:type="dxa"/>
          </w:tcPr>
          <w:p w14:paraId="328A1384"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61B7A07"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7255EE6"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FB656E1"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12FA77D" w14:textId="77777777" w:rsidR="00F93872" w:rsidRPr="002860E2" w:rsidRDefault="00F93872" w:rsidP="00F93872">
            <w:pPr>
              <w:contextualSpacing/>
              <w:rPr>
                <w:rFonts w:asciiTheme="minorHAnsi" w:hAnsiTheme="minorHAnsi"/>
                <w:sz w:val="20"/>
                <w:szCs w:val="20"/>
              </w:rPr>
            </w:pPr>
          </w:p>
          <w:p w14:paraId="7C3957A0"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0B79290" w14:textId="77777777" w:rsidR="004E64E6" w:rsidRPr="002860E2" w:rsidRDefault="004E64E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bl>
    <w:p w14:paraId="77133CE5" w14:textId="77777777" w:rsidR="001B466B" w:rsidRDefault="001B466B" w:rsidP="001B466B">
      <w:pPr>
        <w:rPr>
          <w:rFonts w:asciiTheme="minorHAnsi" w:hAnsiTheme="minorHAnsi"/>
        </w:rPr>
      </w:pPr>
    </w:p>
    <w:p w14:paraId="5DFABF31" w14:textId="77777777" w:rsidR="001B466B" w:rsidRPr="002860E2" w:rsidRDefault="001B466B" w:rsidP="00676084">
      <w:pPr>
        <w:rPr>
          <w:rFonts w:asciiTheme="minorHAnsi" w:hAnsiTheme="minorHAnsi"/>
        </w:rPr>
      </w:pPr>
    </w:p>
    <w:sectPr w:rsidR="001B466B" w:rsidRPr="002860E2" w:rsidSect="00AA0B8D">
      <w:footerReference w:type="default" r:id="rId11"/>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035B2" w14:textId="77777777" w:rsidR="00B93B9A" w:rsidRDefault="00B93B9A" w:rsidP="00E3563F">
      <w:r>
        <w:separator/>
      </w:r>
    </w:p>
  </w:endnote>
  <w:endnote w:type="continuationSeparator" w:id="0">
    <w:p w14:paraId="66BB4B15" w14:textId="77777777" w:rsidR="00B93B9A" w:rsidRDefault="00B93B9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D965"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4134B38F"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73694" w14:textId="77777777" w:rsidR="00B93B9A" w:rsidRDefault="00B93B9A" w:rsidP="00E3563F">
      <w:r>
        <w:separator/>
      </w:r>
    </w:p>
  </w:footnote>
  <w:footnote w:type="continuationSeparator" w:id="0">
    <w:p w14:paraId="76E22350" w14:textId="77777777" w:rsidR="00B93B9A" w:rsidRDefault="00B93B9A"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33EB1"/>
    <w:multiLevelType w:val="hybridMultilevel"/>
    <w:tmpl w:val="7920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F77AA8"/>
    <w:multiLevelType w:val="hybridMultilevel"/>
    <w:tmpl w:val="94F4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E10918"/>
    <w:multiLevelType w:val="hybridMultilevel"/>
    <w:tmpl w:val="FDCA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8E73EB"/>
    <w:multiLevelType w:val="hybridMultilevel"/>
    <w:tmpl w:val="A346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D42DCE"/>
    <w:multiLevelType w:val="hybridMultilevel"/>
    <w:tmpl w:val="C3122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9149A8"/>
    <w:multiLevelType w:val="hybridMultilevel"/>
    <w:tmpl w:val="CF56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B6E31"/>
    <w:multiLevelType w:val="hybridMultilevel"/>
    <w:tmpl w:val="3480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E702A2"/>
    <w:multiLevelType w:val="hybridMultilevel"/>
    <w:tmpl w:val="D8188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27628F"/>
    <w:multiLevelType w:val="hybridMultilevel"/>
    <w:tmpl w:val="C5225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016E56"/>
    <w:multiLevelType w:val="hybridMultilevel"/>
    <w:tmpl w:val="1C821644"/>
    <w:lvl w:ilvl="0" w:tplc="E98886BA">
      <w:start w:val="1"/>
      <w:numFmt w:val="decimal"/>
      <w:lvlText w:val="%1."/>
      <w:lvlJc w:val="left"/>
      <w:pPr>
        <w:ind w:left="720" w:hanging="720"/>
      </w:pPr>
      <w:rPr>
        <w:rFonts w:hint="default"/>
      </w:rPr>
    </w:lvl>
    <w:lvl w:ilvl="1" w:tplc="7B7CD4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1"/>
  </w:num>
  <w:num w:numId="4">
    <w:abstractNumId w:val="35"/>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36"/>
  </w:num>
  <w:num w:numId="10">
    <w:abstractNumId w:val="10"/>
  </w:num>
  <w:num w:numId="11">
    <w:abstractNumId w:val="40"/>
  </w:num>
  <w:num w:numId="12">
    <w:abstractNumId w:val="30"/>
  </w:num>
  <w:num w:numId="13">
    <w:abstractNumId w:val="5"/>
  </w:num>
  <w:num w:numId="14">
    <w:abstractNumId w:val="21"/>
  </w:num>
  <w:num w:numId="15">
    <w:abstractNumId w:val="46"/>
  </w:num>
  <w:num w:numId="16">
    <w:abstractNumId w:val="41"/>
  </w:num>
  <w:num w:numId="17">
    <w:abstractNumId w:val="7"/>
  </w:num>
  <w:num w:numId="18">
    <w:abstractNumId w:val="25"/>
  </w:num>
  <w:num w:numId="19">
    <w:abstractNumId w:val="43"/>
  </w:num>
  <w:num w:numId="20">
    <w:abstractNumId w:val="2"/>
  </w:num>
  <w:num w:numId="21">
    <w:abstractNumId w:val="45"/>
  </w:num>
  <w:num w:numId="22">
    <w:abstractNumId w:val="3"/>
  </w:num>
  <w:num w:numId="23">
    <w:abstractNumId w:val="42"/>
  </w:num>
  <w:num w:numId="24">
    <w:abstractNumId w:val="23"/>
  </w:num>
  <w:num w:numId="25">
    <w:abstractNumId w:val="28"/>
  </w:num>
  <w:num w:numId="26">
    <w:abstractNumId w:val="17"/>
  </w:num>
  <w:num w:numId="27">
    <w:abstractNumId w:val="37"/>
  </w:num>
  <w:num w:numId="28">
    <w:abstractNumId w:val="33"/>
  </w:num>
  <w:num w:numId="29">
    <w:abstractNumId w:val="15"/>
  </w:num>
  <w:num w:numId="30">
    <w:abstractNumId w:val="19"/>
  </w:num>
  <w:num w:numId="31">
    <w:abstractNumId w:val="39"/>
  </w:num>
  <w:num w:numId="32">
    <w:abstractNumId w:val="22"/>
  </w:num>
  <w:num w:numId="33">
    <w:abstractNumId w:val="29"/>
  </w:num>
  <w:num w:numId="34">
    <w:abstractNumId w:val="18"/>
  </w:num>
  <w:num w:numId="35">
    <w:abstractNumId w:val="44"/>
  </w:num>
  <w:num w:numId="36">
    <w:abstractNumId w:val="9"/>
  </w:num>
  <w:num w:numId="37">
    <w:abstractNumId w:val="24"/>
  </w:num>
  <w:num w:numId="38">
    <w:abstractNumId w:val="32"/>
  </w:num>
  <w:num w:numId="39">
    <w:abstractNumId w:val="1"/>
  </w:num>
  <w:num w:numId="40">
    <w:abstractNumId w:val="8"/>
  </w:num>
  <w:num w:numId="41">
    <w:abstractNumId w:val="13"/>
  </w:num>
  <w:num w:numId="42">
    <w:abstractNumId w:val="38"/>
  </w:num>
  <w:num w:numId="43">
    <w:abstractNumId w:val="34"/>
  </w:num>
  <w:num w:numId="44">
    <w:abstractNumId w:val="14"/>
  </w:num>
  <w:num w:numId="45">
    <w:abstractNumId w:val="20"/>
  </w:num>
  <w:num w:numId="46">
    <w:abstractNumId w:val="12"/>
  </w:num>
  <w:num w:numId="47">
    <w:abstractNumId w:val="27"/>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34846"/>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D5004"/>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85735"/>
    <w:rsid w:val="00196DBB"/>
    <w:rsid w:val="00197AE1"/>
    <w:rsid w:val="001A0130"/>
    <w:rsid w:val="001B2C23"/>
    <w:rsid w:val="001B3C32"/>
    <w:rsid w:val="001B466B"/>
    <w:rsid w:val="001B4A89"/>
    <w:rsid w:val="001B4BEA"/>
    <w:rsid w:val="001B5BE1"/>
    <w:rsid w:val="001C216C"/>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332C"/>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4564C"/>
    <w:rsid w:val="003620B8"/>
    <w:rsid w:val="00365CFC"/>
    <w:rsid w:val="003664BF"/>
    <w:rsid w:val="00366703"/>
    <w:rsid w:val="00377A18"/>
    <w:rsid w:val="00377D54"/>
    <w:rsid w:val="00384A45"/>
    <w:rsid w:val="00397CCB"/>
    <w:rsid w:val="003A131D"/>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65726"/>
    <w:rsid w:val="00473E42"/>
    <w:rsid w:val="00476390"/>
    <w:rsid w:val="004834F0"/>
    <w:rsid w:val="00487888"/>
    <w:rsid w:val="00492A85"/>
    <w:rsid w:val="004A37C0"/>
    <w:rsid w:val="004B4C8A"/>
    <w:rsid w:val="004D0107"/>
    <w:rsid w:val="004D1348"/>
    <w:rsid w:val="004D377C"/>
    <w:rsid w:val="004D549B"/>
    <w:rsid w:val="004E5687"/>
    <w:rsid w:val="004E64E6"/>
    <w:rsid w:val="004F47AB"/>
    <w:rsid w:val="00501BDF"/>
    <w:rsid w:val="00504173"/>
    <w:rsid w:val="00506251"/>
    <w:rsid w:val="00521AD0"/>
    <w:rsid w:val="00523C0C"/>
    <w:rsid w:val="0052462D"/>
    <w:rsid w:val="00526F52"/>
    <w:rsid w:val="0053052E"/>
    <w:rsid w:val="00534C71"/>
    <w:rsid w:val="00540E66"/>
    <w:rsid w:val="00544355"/>
    <w:rsid w:val="0054485F"/>
    <w:rsid w:val="005453C6"/>
    <w:rsid w:val="005550E9"/>
    <w:rsid w:val="0055620F"/>
    <w:rsid w:val="00562DE0"/>
    <w:rsid w:val="00566F6B"/>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A592A"/>
    <w:rsid w:val="006B04C7"/>
    <w:rsid w:val="006B7CD8"/>
    <w:rsid w:val="006D0547"/>
    <w:rsid w:val="006D1ED1"/>
    <w:rsid w:val="006D58C3"/>
    <w:rsid w:val="006D6EF7"/>
    <w:rsid w:val="006E0C41"/>
    <w:rsid w:val="006F18EC"/>
    <w:rsid w:val="006F23CC"/>
    <w:rsid w:val="00700E7E"/>
    <w:rsid w:val="00712997"/>
    <w:rsid w:val="00713FC1"/>
    <w:rsid w:val="007160CD"/>
    <w:rsid w:val="00725830"/>
    <w:rsid w:val="0073029D"/>
    <w:rsid w:val="0073082D"/>
    <w:rsid w:val="0073280D"/>
    <w:rsid w:val="00735DB2"/>
    <w:rsid w:val="00735E1A"/>
    <w:rsid w:val="0074180B"/>
    <w:rsid w:val="007604EC"/>
    <w:rsid w:val="00761956"/>
    <w:rsid w:val="00761C50"/>
    <w:rsid w:val="007663C1"/>
    <w:rsid w:val="0077580B"/>
    <w:rsid w:val="00775F35"/>
    <w:rsid w:val="007861C8"/>
    <w:rsid w:val="00790C44"/>
    <w:rsid w:val="007A3055"/>
    <w:rsid w:val="007A63F1"/>
    <w:rsid w:val="007A7405"/>
    <w:rsid w:val="007B0793"/>
    <w:rsid w:val="007C35F0"/>
    <w:rsid w:val="007C5344"/>
    <w:rsid w:val="007C58A9"/>
    <w:rsid w:val="007C65DC"/>
    <w:rsid w:val="007C7810"/>
    <w:rsid w:val="007F3A26"/>
    <w:rsid w:val="007F6C04"/>
    <w:rsid w:val="0080405F"/>
    <w:rsid w:val="00810CE7"/>
    <w:rsid w:val="00824FEA"/>
    <w:rsid w:val="00830049"/>
    <w:rsid w:val="0083774F"/>
    <w:rsid w:val="008422A0"/>
    <w:rsid w:val="008457C9"/>
    <w:rsid w:val="00851F3A"/>
    <w:rsid w:val="008622EB"/>
    <w:rsid w:val="00864622"/>
    <w:rsid w:val="00871292"/>
    <w:rsid w:val="008A039F"/>
    <w:rsid w:val="008B3D88"/>
    <w:rsid w:val="008B7535"/>
    <w:rsid w:val="008C34A2"/>
    <w:rsid w:val="008C595F"/>
    <w:rsid w:val="008D71E5"/>
    <w:rsid w:val="008D7EE5"/>
    <w:rsid w:val="008F48C8"/>
    <w:rsid w:val="008F4FC6"/>
    <w:rsid w:val="00901A1D"/>
    <w:rsid w:val="00901F25"/>
    <w:rsid w:val="00924FAA"/>
    <w:rsid w:val="009370D8"/>
    <w:rsid w:val="00943672"/>
    <w:rsid w:val="00951235"/>
    <w:rsid w:val="009556B8"/>
    <w:rsid w:val="00956CDB"/>
    <w:rsid w:val="00962367"/>
    <w:rsid w:val="00971083"/>
    <w:rsid w:val="009711F9"/>
    <w:rsid w:val="00974330"/>
    <w:rsid w:val="009759BA"/>
    <w:rsid w:val="00981E95"/>
    <w:rsid w:val="0098665A"/>
    <w:rsid w:val="00992561"/>
    <w:rsid w:val="00992DD8"/>
    <w:rsid w:val="009A7920"/>
    <w:rsid w:val="009B0A15"/>
    <w:rsid w:val="009C09D6"/>
    <w:rsid w:val="009C6E74"/>
    <w:rsid w:val="009D186C"/>
    <w:rsid w:val="009D7D5D"/>
    <w:rsid w:val="009E1260"/>
    <w:rsid w:val="009E2B92"/>
    <w:rsid w:val="009E79DE"/>
    <w:rsid w:val="009F48F2"/>
    <w:rsid w:val="00A03109"/>
    <w:rsid w:val="00A075ED"/>
    <w:rsid w:val="00A1507F"/>
    <w:rsid w:val="00A3656B"/>
    <w:rsid w:val="00A36B8F"/>
    <w:rsid w:val="00A43FE8"/>
    <w:rsid w:val="00A443A1"/>
    <w:rsid w:val="00A60B32"/>
    <w:rsid w:val="00A651B1"/>
    <w:rsid w:val="00A66394"/>
    <w:rsid w:val="00A67AAB"/>
    <w:rsid w:val="00A724BF"/>
    <w:rsid w:val="00A736FB"/>
    <w:rsid w:val="00A76062"/>
    <w:rsid w:val="00A76F49"/>
    <w:rsid w:val="00A8654F"/>
    <w:rsid w:val="00A87960"/>
    <w:rsid w:val="00A9349A"/>
    <w:rsid w:val="00A97628"/>
    <w:rsid w:val="00AA0B8D"/>
    <w:rsid w:val="00AA1C85"/>
    <w:rsid w:val="00AA7AFD"/>
    <w:rsid w:val="00AB07A0"/>
    <w:rsid w:val="00AB0EB4"/>
    <w:rsid w:val="00AC3871"/>
    <w:rsid w:val="00AD5C8F"/>
    <w:rsid w:val="00AE05E1"/>
    <w:rsid w:val="00AE1E62"/>
    <w:rsid w:val="00AE464B"/>
    <w:rsid w:val="00AE6599"/>
    <w:rsid w:val="00AF06E9"/>
    <w:rsid w:val="00AF23B2"/>
    <w:rsid w:val="00AF25E2"/>
    <w:rsid w:val="00AF5BB6"/>
    <w:rsid w:val="00AF7D56"/>
    <w:rsid w:val="00B05323"/>
    <w:rsid w:val="00B128B5"/>
    <w:rsid w:val="00B14612"/>
    <w:rsid w:val="00B20BA4"/>
    <w:rsid w:val="00B25836"/>
    <w:rsid w:val="00B274E4"/>
    <w:rsid w:val="00B306AD"/>
    <w:rsid w:val="00B33F28"/>
    <w:rsid w:val="00B416E0"/>
    <w:rsid w:val="00B578DD"/>
    <w:rsid w:val="00B60C03"/>
    <w:rsid w:val="00B64DD0"/>
    <w:rsid w:val="00B65811"/>
    <w:rsid w:val="00B726E7"/>
    <w:rsid w:val="00B848D2"/>
    <w:rsid w:val="00B93B9A"/>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D05E2"/>
    <w:rsid w:val="00CE1A56"/>
    <w:rsid w:val="00CE5D4C"/>
    <w:rsid w:val="00CF764A"/>
    <w:rsid w:val="00D0061C"/>
    <w:rsid w:val="00D0168C"/>
    <w:rsid w:val="00D045AC"/>
    <w:rsid w:val="00D10CEF"/>
    <w:rsid w:val="00D22C5A"/>
    <w:rsid w:val="00D22D39"/>
    <w:rsid w:val="00D3005F"/>
    <w:rsid w:val="00D316D6"/>
    <w:rsid w:val="00D32791"/>
    <w:rsid w:val="00D4024E"/>
    <w:rsid w:val="00D45F9B"/>
    <w:rsid w:val="00D550AE"/>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35BCD"/>
    <w:rsid w:val="00E45785"/>
    <w:rsid w:val="00E517C0"/>
    <w:rsid w:val="00E527FF"/>
    <w:rsid w:val="00E529E0"/>
    <w:rsid w:val="00E71A99"/>
    <w:rsid w:val="00E71ABE"/>
    <w:rsid w:val="00E724A6"/>
    <w:rsid w:val="00E773EA"/>
    <w:rsid w:val="00E776CB"/>
    <w:rsid w:val="00E829A7"/>
    <w:rsid w:val="00E87E02"/>
    <w:rsid w:val="00E9365C"/>
    <w:rsid w:val="00EA0008"/>
    <w:rsid w:val="00EA3E0C"/>
    <w:rsid w:val="00EA6408"/>
    <w:rsid w:val="00EB29FF"/>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3872"/>
    <w:rsid w:val="00F96759"/>
    <w:rsid w:val="00FC0189"/>
    <w:rsid w:val="00FC785C"/>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F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5D55-4A28-A815-DD877010F042}"/>
              </c:ext>
            </c:extLst>
          </c:dPt>
          <c:dPt>
            <c:idx val="1"/>
            <c:bubble3D val="0"/>
            <c:spPr>
              <a:solidFill>
                <a:srgbClr val="92D050"/>
              </a:solidFill>
            </c:spPr>
            <c:extLst>
              <c:ext xmlns:c16="http://schemas.microsoft.com/office/drawing/2014/chart" uri="{C3380CC4-5D6E-409C-BE32-E72D297353CC}">
                <c16:uniqueId val="{00000003-5D55-4A28-A815-DD877010F042}"/>
              </c:ext>
            </c:extLst>
          </c:dPt>
          <c:dPt>
            <c:idx val="2"/>
            <c:bubble3D val="0"/>
            <c:spPr>
              <a:solidFill>
                <a:srgbClr val="FFFF00"/>
              </a:solidFill>
            </c:spPr>
            <c:extLst>
              <c:ext xmlns:c16="http://schemas.microsoft.com/office/drawing/2014/chart" uri="{C3380CC4-5D6E-409C-BE32-E72D297353CC}">
                <c16:uniqueId val="{00000005-5D55-4A28-A815-DD877010F042}"/>
              </c:ext>
            </c:extLst>
          </c:dPt>
          <c:dPt>
            <c:idx val="3"/>
            <c:bubble3D val="0"/>
            <c:spPr>
              <a:solidFill>
                <a:srgbClr val="FF0000"/>
              </a:solidFill>
            </c:spPr>
            <c:extLst>
              <c:ext xmlns:c16="http://schemas.microsoft.com/office/drawing/2014/chart" uri="{C3380CC4-5D6E-409C-BE32-E72D297353CC}">
                <c16:uniqueId val="{00000007-5D55-4A28-A815-DD877010F042}"/>
              </c:ext>
            </c:extLst>
          </c:dPt>
          <c:dPt>
            <c:idx val="4"/>
            <c:bubble3D val="0"/>
            <c:spPr>
              <a:solidFill>
                <a:schemeClr val="accent5">
                  <a:lumMod val="20000"/>
                  <a:lumOff val="80000"/>
                </a:schemeClr>
              </a:solidFill>
            </c:spPr>
            <c:extLst>
              <c:ext xmlns:c16="http://schemas.microsoft.com/office/drawing/2014/chart" uri="{C3380CC4-5D6E-409C-BE32-E72D297353CC}">
                <c16:uniqueId val="{00000009-5D55-4A28-A815-DD877010F042}"/>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Responses'!$BB$47:$BB$51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Responses'!$BC$47:$BC$51</c:f>
              <c:numCache>
                <c:formatCode>General</c:formatCode>
                <c:ptCount val="5"/>
                <c:pt idx="0">
                  <c:v>10</c:v>
                </c:pt>
                <c:pt idx="1">
                  <c:v>8</c:v>
                </c:pt>
                <c:pt idx="2">
                  <c:v>6</c:v>
                </c:pt>
                <c:pt idx="3">
                  <c:v>6</c:v>
                </c:pt>
                <c:pt idx="4">
                  <c:v>12</c:v>
                </c:pt>
              </c:numCache>
            </c:numRef>
          </c:val>
          <c:extLst>
            <c:ext xmlns:c16="http://schemas.microsoft.com/office/drawing/2014/chart" uri="{C3380CC4-5D6E-409C-BE32-E72D297353CC}">
              <c16:uniqueId val="{0000000A-5D55-4A28-A815-DD877010F04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9208-45D4-A51A-2A483B2124C5}"/>
              </c:ext>
            </c:extLst>
          </c:dPt>
          <c:dPt>
            <c:idx val="1"/>
            <c:bubble3D val="0"/>
            <c:spPr>
              <a:solidFill>
                <a:srgbClr val="FF0000"/>
              </a:solidFill>
            </c:spPr>
            <c:extLst>
              <c:ext xmlns:c16="http://schemas.microsoft.com/office/drawing/2014/chart" uri="{C3380CC4-5D6E-409C-BE32-E72D297353CC}">
                <c16:uniqueId val="{00000003-9208-45D4-A51A-2A483B2124C5}"/>
              </c:ext>
            </c:extLst>
          </c:dPt>
          <c:dPt>
            <c:idx val="2"/>
            <c:bubble3D val="0"/>
            <c:spPr>
              <a:solidFill>
                <a:srgbClr val="4BACC6">
                  <a:lumMod val="20000"/>
                  <a:lumOff val="80000"/>
                </a:srgbClr>
              </a:solidFill>
            </c:spPr>
            <c:extLst>
              <c:ext xmlns:c16="http://schemas.microsoft.com/office/drawing/2014/chart" uri="{C3380CC4-5D6E-409C-BE32-E72D297353CC}">
                <c16:uniqueId val="{00000005-9208-45D4-A51A-2A483B2124C5}"/>
              </c:ext>
            </c:extLst>
          </c:dPt>
          <c:dPt>
            <c:idx val="3"/>
            <c:bubble3D val="0"/>
            <c:spPr>
              <a:solidFill>
                <a:srgbClr val="FF0000"/>
              </a:solidFill>
            </c:spPr>
            <c:extLst>
              <c:ext xmlns:c16="http://schemas.microsoft.com/office/drawing/2014/chart" uri="{C3380CC4-5D6E-409C-BE32-E72D297353CC}">
                <c16:uniqueId val="{00000007-9208-45D4-A51A-2A483B2124C5}"/>
              </c:ext>
            </c:extLst>
          </c:dPt>
          <c:dPt>
            <c:idx val="4"/>
            <c:bubble3D val="0"/>
            <c:spPr>
              <a:solidFill>
                <a:schemeClr val="accent5">
                  <a:lumMod val="20000"/>
                  <a:lumOff val="80000"/>
                </a:schemeClr>
              </a:solidFill>
            </c:spPr>
            <c:extLst>
              <c:ext xmlns:c16="http://schemas.microsoft.com/office/drawing/2014/chart" uri="{C3380CC4-5D6E-409C-BE32-E72D297353CC}">
                <c16:uniqueId val="{00000009-9208-45D4-A51A-2A483B2124C5}"/>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Responses'!$BC$53:$BC$55</c:f>
              <c:strCache>
                <c:ptCount val="3"/>
                <c:pt idx="0">
                  <c:v>Yes</c:v>
                </c:pt>
                <c:pt idx="1">
                  <c:v>No</c:v>
                </c:pt>
                <c:pt idx="2">
                  <c:v>Not designated</c:v>
                </c:pt>
              </c:strCache>
            </c:strRef>
          </c:cat>
          <c:val>
            <c:numRef>
              <c:f>'Form Responses'!$BD$53:$BD$55</c:f>
              <c:numCache>
                <c:formatCode>General</c:formatCode>
                <c:ptCount val="3"/>
                <c:pt idx="0">
                  <c:v>15</c:v>
                </c:pt>
                <c:pt idx="1">
                  <c:v>12</c:v>
                </c:pt>
                <c:pt idx="2">
                  <c:v>15</c:v>
                </c:pt>
              </c:numCache>
            </c:numRef>
          </c:val>
          <c:extLst>
            <c:ext xmlns:c16="http://schemas.microsoft.com/office/drawing/2014/chart" uri="{C3380CC4-5D6E-409C-BE32-E72D297353CC}">
              <c16:uniqueId val="{0000000A-9208-45D4-A51A-2A483B2124C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[EPDP On the Temporary Specification for gTLD Registration Data - Public Comment Proceeding Input Form (Responses).xlsx]data elements_rec7!PivotTable1</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s>
    <c:plotArea>
      <c:layout/>
      <c:barChart>
        <c:barDir val="col"/>
        <c:grouping val="clustered"/>
        <c:varyColors val="0"/>
        <c:ser>
          <c:idx val="0"/>
          <c:order val="0"/>
          <c:tx>
            <c:strRef>
              <c:f>'data elements_rec7'!$L$4</c:f>
              <c:strCache>
                <c:ptCount val="1"/>
                <c:pt idx="0">
                  <c:v>Total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'data elements_rec7'!$K$5:$K$20</c:f>
              <c:multiLvlStrCache>
                <c:ptCount val="10"/>
                <c:lvl>
                  <c:pt idx="0">
                    <c:v>No</c:v>
                  </c:pt>
                  <c:pt idx="1">
                    <c:v>Yes</c:v>
                  </c:pt>
                  <c:pt idx="2">
                    <c:v>No</c:v>
                  </c:pt>
                  <c:pt idx="3">
                    <c:v>Yes</c:v>
                  </c:pt>
                  <c:pt idx="4">
                    <c:v>No</c:v>
                  </c:pt>
                  <c:pt idx="5">
                    <c:v>Yes</c:v>
                  </c:pt>
                  <c:pt idx="6">
                    <c:v>No</c:v>
                  </c:pt>
                  <c:pt idx="7">
                    <c:v>Yes</c:v>
                  </c:pt>
                  <c:pt idx="8">
                    <c:v>(blank)</c:v>
                  </c:pt>
                  <c:pt idx="9">
                    <c:v>(blank)</c:v>
                  </c:pt>
                </c:lvl>
                <c:lvl>
                  <c:pt idx="0">
                    <c:v>Delete</c:v>
                  </c:pt>
                  <c:pt idx="2">
                    <c:v>Intent w/ amendment</c:v>
                  </c:pt>
                  <c:pt idx="4">
                    <c:v>Intent w/ edits</c:v>
                  </c:pt>
                  <c:pt idx="6">
                    <c:v>Support as is</c:v>
                  </c:pt>
                  <c:pt idx="9">
                    <c:v>No response</c:v>
                  </c:pt>
                </c:lvl>
              </c:multiLvlStrCache>
            </c:multiLvlStrRef>
          </c:cat>
          <c:val>
            <c:numRef>
              <c:f>'data elements_rec7'!$L$5:$L$20</c:f>
              <c:numCache>
                <c:formatCode>General</c:formatCode>
                <c:ptCount val="10"/>
                <c:pt idx="0">
                  <c:v>5</c:v>
                </c:pt>
                <c:pt idx="1">
                  <c:v>1</c:v>
                </c:pt>
                <c:pt idx="2">
                  <c:v>1</c:v>
                </c:pt>
                <c:pt idx="3">
                  <c:v>5</c:v>
                </c:pt>
                <c:pt idx="4">
                  <c:v>3</c:v>
                </c:pt>
                <c:pt idx="5">
                  <c:v>5</c:v>
                </c:pt>
                <c:pt idx="6">
                  <c:v>3</c:v>
                </c:pt>
                <c:pt idx="7">
                  <c:v>4</c:v>
                </c:pt>
                <c:pt idx="8">
                  <c:v>3</c:v>
                </c:pt>
                <c:pt idx="9">
                  <c:v>12</c:v>
                </c:pt>
              </c:numCache>
            </c:numRef>
          </c:val>
          <c:extLst>
            <c:ext xmlns:c16="http://schemas.microsoft.com/office/drawing/2014/chart" uri="{C3380CC4-5D6E-409C-BE32-E72D297353CC}">
              <c16:uniqueId val="{00000000-B9A0-41C7-8A97-D851854E7EB3}"/>
            </c:ext>
          </c:extLst>
        </c:ser>
        <c:dLbls>
          <c:showLegendKey val="0"/>
          <c:showVal val="0"/>
          <c:showCatName val="0"/>
          <c:showSerName val="0"/>
          <c:showPercent val="0"/>
          <c:showBubbleSize val="0"/>
        </c:dLbls>
        <c:gapWidth val="219"/>
        <c:overlap val="-27"/>
        <c:axId val="257533112"/>
        <c:axId val="257532152"/>
      </c:barChart>
      <c:catAx>
        <c:axId val="257533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532152"/>
        <c:crosses val="autoZero"/>
        <c:auto val="1"/>
        <c:lblAlgn val="ctr"/>
        <c:lblOffset val="100"/>
        <c:noMultiLvlLbl val="0"/>
      </c:catAx>
      <c:valAx>
        <c:axId val="257532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5331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92861-530C-4986-BCB0-3A736F9A4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12</Pages>
  <Words>3438</Words>
  <Characters>19599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2018-12-31T02:50:00Z</dcterms:created>
  <dcterms:modified xsi:type="dcterms:W3CDTF">2018-12-31T18:31:00Z</dcterms:modified>
</cp:coreProperties>
</file>