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CA450"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09A87CBD" w14:textId="77777777"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1A44C3">
        <w:rPr>
          <w:rFonts w:asciiTheme="minorHAnsi" w:hAnsiTheme="minorHAnsi"/>
          <w:sz w:val="22"/>
        </w:rPr>
        <w:t>30</w:t>
      </w:r>
      <w:r w:rsidR="001A0130" w:rsidRPr="00FE7FF9">
        <w:rPr>
          <w:rFonts w:asciiTheme="minorHAnsi" w:hAnsiTheme="minorHAnsi"/>
          <w:sz w:val="22"/>
        </w:rPr>
        <w:t xml:space="preserve"> </w:t>
      </w:r>
      <w:r w:rsidR="00B65811" w:rsidRPr="00FE7FF9">
        <w:rPr>
          <w:rFonts w:asciiTheme="minorHAnsi" w:hAnsiTheme="minorHAnsi"/>
          <w:sz w:val="22"/>
        </w:rPr>
        <w:t>December</w:t>
      </w:r>
      <w:r w:rsidR="00E3563F" w:rsidRPr="00FE7FF9">
        <w:rPr>
          <w:rFonts w:asciiTheme="minorHAnsi" w:hAnsiTheme="minorHAnsi"/>
          <w:sz w:val="22"/>
        </w:rPr>
        <w:t xml:space="preserve"> 201</w:t>
      </w:r>
      <w:r w:rsidR="00B65811" w:rsidRPr="00FE7FF9">
        <w:rPr>
          <w:rFonts w:asciiTheme="minorHAnsi" w:hAnsiTheme="minorHAnsi"/>
          <w:sz w:val="22"/>
        </w:rPr>
        <w:t>8</w:t>
      </w:r>
    </w:p>
    <w:p w14:paraId="1FC612D0" w14:textId="77777777"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1A44C3">
        <w:rPr>
          <w:rFonts w:asciiTheme="minorHAnsi" w:hAnsiTheme="minorHAnsi"/>
          <w:color w:val="FFFFFF" w:themeColor="background1"/>
        </w:rPr>
        <w:t>5</w:t>
      </w:r>
      <w:r w:rsidR="00A4650C">
        <w:rPr>
          <w:rFonts w:asciiTheme="minorHAnsi" w:hAnsiTheme="minorHAnsi"/>
          <w:color w:val="FFFFFF" w:themeColor="background1"/>
        </w:rPr>
        <w:t xml:space="preserve"> – </w:t>
      </w:r>
      <w:r w:rsidR="001A44C3">
        <w:rPr>
          <w:rFonts w:asciiTheme="minorHAnsi" w:hAnsiTheme="minorHAnsi"/>
          <w:color w:val="FFFFFF" w:themeColor="background1"/>
        </w:rPr>
        <w:t>Transfer from Rr to Ry</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F6ECD90" w14:textId="77777777" w:rsidTr="002657F2">
        <w:trPr>
          <w:tblHeader/>
        </w:trPr>
        <w:tc>
          <w:tcPr>
            <w:tcW w:w="675" w:type="dxa"/>
            <w:tcBorders>
              <w:bottom w:val="single" w:sz="4" w:space="0" w:color="000000"/>
            </w:tcBorders>
            <w:shd w:val="clear" w:color="auto" w:fill="1768B1"/>
          </w:tcPr>
          <w:p w14:paraId="0CCC793A"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1B535A5F"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67BEC01B"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1BDCC498"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946B5BB" w14:textId="77777777" w:rsidTr="001A44C3">
        <w:tc>
          <w:tcPr>
            <w:tcW w:w="15390" w:type="dxa"/>
            <w:gridSpan w:val="4"/>
            <w:tcBorders>
              <w:bottom w:val="single" w:sz="4" w:space="0" w:color="000000"/>
            </w:tcBorders>
            <w:shd w:val="clear" w:color="auto" w:fill="D9D9D9" w:themeFill="background1" w:themeFillShade="D9"/>
          </w:tcPr>
          <w:p w14:paraId="58D0FF0D" w14:textId="77777777" w:rsidR="00132872" w:rsidRDefault="001A44C3" w:rsidP="00AC3871">
            <w:pPr>
              <w:contextualSpacing/>
              <w:rPr>
                <w:rFonts w:asciiTheme="minorHAnsi" w:hAnsiTheme="minorHAnsi"/>
                <w:noProof/>
                <w:sz w:val="20"/>
                <w:szCs w:val="20"/>
              </w:rPr>
            </w:pPr>
            <w:r w:rsidRPr="001A44C3">
              <w:rPr>
                <w:rFonts w:asciiTheme="minorHAnsi" w:hAnsiTheme="minorHAnsi"/>
                <w:noProof/>
                <w:sz w:val="20"/>
                <w:szCs w:val="20"/>
              </w:rPr>
              <w:t>The EPDP Team recommends that the specifically­identified data elements under “[t]ransmission of registration data from Registrar to Registry” within the data elements workbooks must be transferred from Registrar to Registry. In the aggregate, these data elements are the same as those in Recommendation #4 for the reasons stated in the Data Workbooks found in Annex D of the Initial Report.</w:t>
            </w:r>
            <w:r w:rsidRPr="001A44C3">
              <w:rPr>
                <w:rFonts w:asciiTheme="minorHAnsi" w:hAnsiTheme="minorHAnsi"/>
                <w:noProof/>
                <w:sz w:val="20"/>
                <w:szCs w:val="20"/>
              </w:rPr>
              <w:t xml:space="preserve"> </w:t>
            </w:r>
          </w:p>
          <w:p w14:paraId="64D58BBC" w14:textId="77777777" w:rsidR="001A44C3" w:rsidRDefault="001A44C3" w:rsidP="00AC3871">
            <w:pPr>
              <w:contextualSpacing/>
              <w:rPr>
                <w:rFonts w:asciiTheme="minorHAnsi" w:hAnsiTheme="minorHAnsi"/>
                <w:b/>
                <w:sz w:val="20"/>
                <w:szCs w:val="20"/>
              </w:rPr>
            </w:pPr>
          </w:p>
          <w:p w14:paraId="6F5E885B" w14:textId="77777777" w:rsidR="00132872" w:rsidRPr="00132872" w:rsidRDefault="001A44C3" w:rsidP="00AC3871">
            <w:pPr>
              <w:contextualSpacing/>
              <w:rPr>
                <w:rFonts w:asciiTheme="minorHAnsi" w:hAnsiTheme="minorHAnsi"/>
                <w:sz w:val="20"/>
                <w:szCs w:val="20"/>
              </w:rPr>
            </w:pPr>
            <w:r w:rsidRPr="001A44C3">
              <w:rPr>
                <w:rFonts w:asciiTheme="minorHAnsi" w:hAnsiTheme="minorHAnsi"/>
                <w:sz w:val="20"/>
                <w:szCs w:val="20"/>
              </w:rPr>
              <w:t>Do you agree that all these data elements should be transferred from the registrar to the registry?</w:t>
            </w:r>
          </w:p>
          <w:p w14:paraId="18A1FBD4" w14:textId="77777777" w:rsidR="004F47AB" w:rsidRPr="002860E2" w:rsidRDefault="001A44C3" w:rsidP="00AC3871">
            <w:pPr>
              <w:contextualSpacing/>
              <w:rPr>
                <w:rFonts w:asciiTheme="minorHAnsi" w:hAnsiTheme="minorHAnsi"/>
                <w:b/>
                <w:sz w:val="22"/>
              </w:rPr>
            </w:pPr>
            <w:r>
              <w:rPr>
                <w:noProof/>
              </w:rPr>
              <w:drawing>
                <wp:inline distT="0" distB="0" distL="0" distR="0" wp14:anchorId="3AC06B54" wp14:editId="0ECFA23D">
                  <wp:extent cx="4339829" cy="2824162"/>
                  <wp:effectExtent l="0" t="0" r="3810" b="0"/>
                  <wp:docPr id="1" name="Chart 1">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14:paraId="1D3AAC08" w14:textId="77777777" w:rsidTr="002E20D5">
        <w:tc>
          <w:tcPr>
            <w:tcW w:w="15390" w:type="dxa"/>
            <w:gridSpan w:val="4"/>
            <w:tcBorders>
              <w:bottom w:val="single" w:sz="4" w:space="0" w:color="000000"/>
            </w:tcBorders>
            <w:shd w:val="clear" w:color="auto" w:fill="00B050"/>
          </w:tcPr>
          <w:p w14:paraId="48B685E0" w14:textId="77777777" w:rsidR="00EC2C46" w:rsidRPr="002E20D5" w:rsidRDefault="00197D6B" w:rsidP="00AC3871">
            <w:pPr>
              <w:contextualSpacing/>
              <w:rPr>
                <w:rFonts w:asciiTheme="minorHAnsi" w:hAnsiTheme="minorHAnsi"/>
                <w:b/>
                <w:sz w:val="22"/>
              </w:rPr>
            </w:pPr>
            <w:r>
              <w:rPr>
                <w:rFonts w:asciiTheme="minorHAnsi" w:hAnsiTheme="minorHAnsi"/>
                <w:b/>
                <w:color w:val="FFFFFF" w:themeColor="background1"/>
                <w:sz w:val="22"/>
              </w:rPr>
              <w:t>Yes</w:t>
            </w:r>
          </w:p>
        </w:tc>
      </w:tr>
      <w:tr w:rsidR="00072C03" w:rsidRPr="002860E2" w14:paraId="6ED4F591" w14:textId="77777777" w:rsidTr="002657F2">
        <w:trPr>
          <w:cantSplit/>
        </w:trPr>
        <w:tc>
          <w:tcPr>
            <w:tcW w:w="675" w:type="dxa"/>
          </w:tcPr>
          <w:p w14:paraId="6EE67796" w14:textId="77777777" w:rsidR="00072C03" w:rsidRPr="002860E2" w:rsidRDefault="00072C03" w:rsidP="003D1561">
            <w:pPr>
              <w:numPr>
                <w:ilvl w:val="0"/>
                <w:numId w:val="1"/>
              </w:numPr>
              <w:contextualSpacing/>
              <w:rPr>
                <w:rFonts w:asciiTheme="minorHAnsi" w:hAnsiTheme="minorHAnsi"/>
                <w:b/>
                <w:sz w:val="20"/>
                <w:szCs w:val="20"/>
              </w:rPr>
            </w:pPr>
          </w:p>
        </w:tc>
        <w:tc>
          <w:tcPr>
            <w:tcW w:w="8055" w:type="dxa"/>
          </w:tcPr>
          <w:p w14:paraId="1A8696AD" w14:textId="39996AF2" w:rsidR="00072C03" w:rsidRPr="002860E2" w:rsidRDefault="00716069" w:rsidP="00A4650C">
            <w:pPr>
              <w:pStyle w:val="ColorfulList-Accent11"/>
              <w:ind w:left="0"/>
              <w:rPr>
                <w:rFonts w:asciiTheme="minorHAnsi" w:hAnsiTheme="minorHAnsi"/>
                <w:sz w:val="20"/>
                <w:szCs w:val="20"/>
              </w:rPr>
            </w:pPr>
            <w:r>
              <w:rPr>
                <w:rFonts w:asciiTheme="minorHAnsi" w:hAnsiTheme="minorHAnsi"/>
                <w:sz w:val="20"/>
                <w:szCs w:val="20"/>
              </w:rPr>
              <w:t>No rationale submitted</w:t>
            </w:r>
          </w:p>
        </w:tc>
        <w:tc>
          <w:tcPr>
            <w:tcW w:w="2700" w:type="dxa"/>
          </w:tcPr>
          <w:p w14:paraId="72AD8C84" w14:textId="77777777" w:rsidR="00984779" w:rsidRPr="00984779" w:rsidRDefault="00984779" w:rsidP="00984779">
            <w:pPr>
              <w:pStyle w:val="ListParagraph"/>
              <w:numPr>
                <w:ilvl w:val="0"/>
                <w:numId w:val="2"/>
              </w:numPr>
              <w:contextualSpacing/>
              <w:rPr>
                <w:rFonts w:asciiTheme="minorHAnsi" w:hAnsiTheme="minorHAnsi"/>
                <w:sz w:val="20"/>
                <w:szCs w:val="20"/>
              </w:rPr>
            </w:pPr>
            <w:proofErr w:type="spellStart"/>
            <w:r w:rsidRPr="00984779">
              <w:rPr>
                <w:rFonts w:asciiTheme="minorHAnsi" w:hAnsiTheme="minorHAnsi"/>
                <w:sz w:val="20"/>
                <w:szCs w:val="20"/>
              </w:rPr>
              <w:t>Evin</w:t>
            </w:r>
            <w:proofErr w:type="spellEnd"/>
            <w:r w:rsidRPr="00984779">
              <w:rPr>
                <w:rFonts w:asciiTheme="minorHAnsi" w:hAnsiTheme="minorHAnsi"/>
                <w:sz w:val="20"/>
                <w:szCs w:val="20"/>
              </w:rPr>
              <w:t xml:space="preserve"> </w:t>
            </w:r>
            <w:proofErr w:type="spellStart"/>
            <w:r w:rsidRPr="00984779">
              <w:rPr>
                <w:rFonts w:asciiTheme="minorHAnsi" w:hAnsiTheme="minorHAnsi"/>
                <w:sz w:val="20"/>
                <w:szCs w:val="20"/>
              </w:rPr>
              <w:t>Erdoğdu</w:t>
            </w:r>
            <w:proofErr w:type="spellEnd"/>
            <w:r w:rsidRPr="00984779">
              <w:rPr>
                <w:rFonts w:asciiTheme="minorHAnsi" w:hAnsiTheme="minorHAnsi"/>
                <w:sz w:val="20"/>
                <w:szCs w:val="20"/>
              </w:rPr>
              <w:t>; ALAC</w:t>
            </w:r>
          </w:p>
          <w:p w14:paraId="06F4A116" w14:textId="77777777" w:rsidR="00984779" w:rsidRPr="00984779"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 xml:space="preserve">Tim Chen; </w:t>
            </w:r>
            <w:proofErr w:type="spellStart"/>
            <w:r w:rsidRPr="00984779">
              <w:rPr>
                <w:rFonts w:asciiTheme="minorHAnsi" w:hAnsiTheme="minorHAnsi"/>
                <w:sz w:val="20"/>
                <w:szCs w:val="20"/>
              </w:rPr>
              <w:t>DomainTools</w:t>
            </w:r>
            <w:proofErr w:type="spellEnd"/>
          </w:p>
          <w:p w14:paraId="71D489A7" w14:textId="77777777" w:rsidR="00984779" w:rsidRPr="00984779"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 xml:space="preserve">DR. JAIDEEP KUMAR </w:t>
            </w:r>
            <w:proofErr w:type="gramStart"/>
            <w:r w:rsidRPr="00984779">
              <w:rPr>
                <w:rFonts w:asciiTheme="minorHAnsi" w:hAnsiTheme="minorHAnsi"/>
                <w:sz w:val="20"/>
                <w:szCs w:val="20"/>
              </w:rPr>
              <w:t>MISHRA ;</w:t>
            </w:r>
            <w:proofErr w:type="gramEnd"/>
            <w:r w:rsidRPr="00984779">
              <w:rPr>
                <w:rFonts w:asciiTheme="minorHAnsi" w:hAnsiTheme="minorHAnsi"/>
                <w:sz w:val="20"/>
                <w:szCs w:val="20"/>
              </w:rPr>
              <w:t xml:space="preserve"> DIRECTOR MINISTRY OF ELECTRONICS AND INFORMATION TECHNOLOGY, GOVERNMENT OF INDIA</w:t>
            </w:r>
          </w:p>
          <w:p w14:paraId="01B1C282" w14:textId="77777777" w:rsidR="00984779" w:rsidRPr="00984779"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Monica Sanders; i2Coalition</w:t>
            </w:r>
          </w:p>
          <w:p w14:paraId="1B7FAC00" w14:textId="77777777" w:rsidR="00984779" w:rsidRPr="00984779"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 xml:space="preserve">David Martel </w:t>
            </w:r>
          </w:p>
          <w:p w14:paraId="0BF64D61" w14:textId="77777777" w:rsidR="00984779" w:rsidRPr="00984779"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Etienne Laurin</w:t>
            </w:r>
          </w:p>
          <w:p w14:paraId="03033066" w14:textId="77777777" w:rsidR="00984779" w:rsidRPr="00984779"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 xml:space="preserve">Steve </w:t>
            </w:r>
            <w:proofErr w:type="spellStart"/>
            <w:r w:rsidRPr="00984779">
              <w:rPr>
                <w:rFonts w:asciiTheme="minorHAnsi" w:hAnsiTheme="minorHAnsi"/>
                <w:sz w:val="20"/>
                <w:szCs w:val="20"/>
              </w:rPr>
              <w:t>Gobin</w:t>
            </w:r>
            <w:proofErr w:type="spellEnd"/>
            <w:r w:rsidRPr="00984779">
              <w:rPr>
                <w:rFonts w:asciiTheme="minorHAnsi" w:hAnsiTheme="minorHAnsi"/>
                <w:sz w:val="20"/>
                <w:szCs w:val="20"/>
              </w:rPr>
              <w:t>; Corporate domain name management</w:t>
            </w:r>
          </w:p>
          <w:p w14:paraId="384F34F4" w14:textId="2C646856" w:rsidR="00072C03" w:rsidRPr="008922F0" w:rsidRDefault="00984779" w:rsidP="00984779">
            <w:pPr>
              <w:pStyle w:val="ListParagraph"/>
              <w:numPr>
                <w:ilvl w:val="0"/>
                <w:numId w:val="2"/>
              </w:numPr>
              <w:contextualSpacing/>
              <w:rPr>
                <w:rFonts w:asciiTheme="minorHAnsi" w:hAnsiTheme="minorHAnsi"/>
                <w:sz w:val="20"/>
                <w:szCs w:val="20"/>
              </w:rPr>
            </w:pPr>
            <w:r w:rsidRPr="00984779">
              <w:rPr>
                <w:rFonts w:asciiTheme="minorHAnsi" w:hAnsiTheme="minorHAnsi"/>
                <w:sz w:val="20"/>
                <w:szCs w:val="20"/>
              </w:rPr>
              <w:t>Ben Butler; SSAC</w:t>
            </w:r>
          </w:p>
        </w:tc>
        <w:tc>
          <w:tcPr>
            <w:tcW w:w="3960" w:type="dxa"/>
          </w:tcPr>
          <w:p w14:paraId="51AF40C4" w14:textId="77777777" w:rsidR="00072C03" w:rsidRPr="002860E2" w:rsidRDefault="008422A0"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4B548E06" w14:textId="77777777" w:rsidR="00072C03" w:rsidRPr="002B3C04"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The EPDP appreciates the support</w:t>
            </w:r>
          </w:p>
          <w:p w14:paraId="05D94876" w14:textId="77777777" w:rsidR="00072C03" w:rsidRPr="002860E2"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BBD86E5" w14:textId="77777777" w:rsidR="00072C03" w:rsidRPr="002B3C04"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14:paraId="30ECE997" w14:textId="77777777" w:rsidR="00072C03" w:rsidRPr="002860E2" w:rsidRDefault="00072C03" w:rsidP="00A4650C">
            <w:pPr>
              <w:contextualSpacing/>
              <w:rPr>
                <w:rFonts w:asciiTheme="minorHAnsi" w:hAnsiTheme="minorHAnsi"/>
                <w:sz w:val="20"/>
                <w:szCs w:val="20"/>
              </w:rPr>
            </w:pPr>
          </w:p>
          <w:p w14:paraId="0BCA1D00" w14:textId="77777777" w:rsidR="00072C03" w:rsidRPr="002860E2" w:rsidRDefault="00072C03" w:rsidP="00A4650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63C745FD" w14:textId="77777777" w:rsidR="00072C03" w:rsidRPr="002860E2" w:rsidRDefault="00072C03" w:rsidP="00A4650C">
            <w:pPr>
              <w:contextualSpacing/>
              <w:rPr>
                <w:rFonts w:asciiTheme="minorHAnsi" w:hAnsiTheme="minorHAnsi"/>
                <w:sz w:val="20"/>
                <w:szCs w:val="20"/>
              </w:rPr>
            </w:pPr>
          </w:p>
        </w:tc>
      </w:tr>
      <w:tr w:rsidR="00072C03" w:rsidRPr="002860E2" w14:paraId="6BAF59DC" w14:textId="77777777" w:rsidTr="002657F2">
        <w:trPr>
          <w:cantSplit/>
        </w:trPr>
        <w:tc>
          <w:tcPr>
            <w:tcW w:w="675" w:type="dxa"/>
          </w:tcPr>
          <w:p w14:paraId="7ADDA2C6" w14:textId="77777777" w:rsidR="00072C03" w:rsidRPr="002860E2" w:rsidRDefault="00072C03" w:rsidP="003D1561">
            <w:pPr>
              <w:numPr>
                <w:ilvl w:val="0"/>
                <w:numId w:val="1"/>
              </w:numPr>
              <w:contextualSpacing/>
              <w:rPr>
                <w:rFonts w:asciiTheme="minorHAnsi" w:hAnsiTheme="minorHAnsi"/>
                <w:b/>
                <w:sz w:val="20"/>
                <w:szCs w:val="20"/>
              </w:rPr>
            </w:pPr>
          </w:p>
        </w:tc>
        <w:tc>
          <w:tcPr>
            <w:tcW w:w="8055" w:type="dxa"/>
          </w:tcPr>
          <w:p w14:paraId="16A4AA6F"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Contractual compliance is a critical and necessary function of ICANN, and part of its obligations to ensure that registrars/registries comply with their commitments in their contracts with ICANN. As such, the proper lawful basis for contractual compliance should be Art. 6(1)(b), and ICANN should receive all information it deems reasonably necessary to satisfy its compliance function. </w:t>
            </w:r>
          </w:p>
          <w:p w14:paraId="462B1806"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 </w:t>
            </w:r>
          </w:p>
          <w:p w14:paraId="7E4584C1"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This means that Annex D, Workbook 5, to the extent incorporated by reference into the recommendation, should be modified to ensure the best legal basis is used (i.e. Art. 6(1)(b)) or it should be revised to state that the lawful basis includes both Art. 6(1)(b) and Art. 6(1)(f).  ICANN shouldn’t be subject to the risk that a rogue registrar decides to not provide personal information about a registrant to ICANN for compliance purposes under Art. 6(1)(f) because the registrar claims that the interests of the registrant outweigh the interests of ICANN just so that registrar can avoid a compliance audit.</w:t>
            </w:r>
          </w:p>
          <w:p w14:paraId="4C02D381"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 </w:t>
            </w:r>
          </w:p>
          <w:p w14:paraId="2378CB37"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In addition, Workbook 5, again to the extent incorporated by reference into the recommendation, should be modified to clarify that ICANN should receive all information that it deems reasonably necessary for compliance, not just the “minimum”, to ensure that ICANN can satisfy this important function.  </w:t>
            </w:r>
          </w:p>
          <w:p w14:paraId="6C18BE2A" w14:textId="77777777" w:rsidR="00984779" w:rsidRPr="00984779" w:rsidRDefault="00984779" w:rsidP="00984779">
            <w:pPr>
              <w:pStyle w:val="ColorfulList-Accent11"/>
              <w:rPr>
                <w:rFonts w:asciiTheme="minorHAnsi" w:hAnsiTheme="minorHAnsi"/>
                <w:sz w:val="20"/>
                <w:szCs w:val="20"/>
              </w:rPr>
            </w:pPr>
            <w:r w:rsidRPr="00984779">
              <w:rPr>
                <w:rFonts w:asciiTheme="minorHAnsi" w:hAnsiTheme="minorHAnsi"/>
                <w:sz w:val="20"/>
                <w:szCs w:val="20"/>
              </w:rPr>
              <w:t xml:space="preserve"> </w:t>
            </w:r>
          </w:p>
          <w:p w14:paraId="23BA83BD" w14:textId="0C445283" w:rsidR="00072C03" w:rsidRPr="002860E2"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This is particularly important for contractual compliance complaints, such as false </w:t>
            </w:r>
            <w:proofErr w:type="spellStart"/>
            <w:r w:rsidRPr="00984779">
              <w:rPr>
                <w:rFonts w:asciiTheme="minorHAnsi" w:hAnsiTheme="minorHAnsi"/>
                <w:sz w:val="20"/>
                <w:szCs w:val="20"/>
              </w:rPr>
              <w:t>whois</w:t>
            </w:r>
            <w:proofErr w:type="spellEnd"/>
            <w:r w:rsidRPr="00984779">
              <w:rPr>
                <w:rFonts w:asciiTheme="minorHAnsi" w:hAnsiTheme="minorHAnsi"/>
                <w:sz w:val="20"/>
                <w:szCs w:val="20"/>
              </w:rPr>
              <w:t xml:space="preserve"> concerns.  The only way ICANN can investigate these complaints is to receive or have access to all of the relevant registrant information so that it can check for compliance.  We disagree with the comment in Workbook 5 that suggests that transmission of registration data is not technically necessary to perform the registration contract (which we assume means to perform a compliance audit or compliance check).  We believe that ICANN should receive or have as much access to the data as it deems necessary for the compliance function, and that it should not be unduly limited in a manner that makes it difficult or overly burdensome for ICANN to perform this function.  </w:t>
            </w:r>
          </w:p>
        </w:tc>
        <w:tc>
          <w:tcPr>
            <w:tcW w:w="2700" w:type="dxa"/>
          </w:tcPr>
          <w:p w14:paraId="455C9C3D" w14:textId="58948297" w:rsidR="00072C03" w:rsidRPr="002860E2" w:rsidRDefault="00984779" w:rsidP="00A4650C">
            <w:pPr>
              <w:contextualSpacing/>
              <w:rPr>
                <w:rFonts w:asciiTheme="minorHAnsi" w:hAnsiTheme="minorHAnsi"/>
                <w:sz w:val="20"/>
                <w:szCs w:val="20"/>
              </w:rPr>
            </w:pPr>
            <w:r w:rsidRPr="00984779">
              <w:rPr>
                <w:rFonts w:asciiTheme="minorHAnsi" w:hAnsiTheme="minorHAnsi"/>
                <w:sz w:val="20"/>
                <w:szCs w:val="20"/>
              </w:rPr>
              <w:t>Brian King; IPC</w:t>
            </w:r>
          </w:p>
        </w:tc>
        <w:tc>
          <w:tcPr>
            <w:tcW w:w="3960" w:type="dxa"/>
          </w:tcPr>
          <w:p w14:paraId="0CE29AF1" w14:textId="77777777"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6C5ECDAA"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C04E2DB"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27F94D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37DFF87" w14:textId="77777777" w:rsidR="002B3C04" w:rsidRPr="002860E2" w:rsidRDefault="002B3C04" w:rsidP="002B3C04">
            <w:pPr>
              <w:contextualSpacing/>
              <w:rPr>
                <w:rFonts w:asciiTheme="minorHAnsi" w:hAnsiTheme="minorHAnsi"/>
                <w:sz w:val="20"/>
                <w:szCs w:val="20"/>
              </w:rPr>
            </w:pPr>
          </w:p>
          <w:p w14:paraId="73C0CECF"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6CAC333" w14:textId="77777777" w:rsidR="00072C03" w:rsidRPr="002860E2" w:rsidRDefault="00072C03" w:rsidP="00A4650C">
            <w:pPr>
              <w:contextualSpacing/>
              <w:rPr>
                <w:rFonts w:asciiTheme="minorHAnsi" w:hAnsiTheme="minorHAnsi"/>
                <w:sz w:val="20"/>
                <w:szCs w:val="20"/>
              </w:rPr>
            </w:pPr>
          </w:p>
        </w:tc>
      </w:tr>
      <w:tr w:rsidR="00072C03" w:rsidRPr="002860E2" w14:paraId="73E8AC14" w14:textId="77777777" w:rsidTr="002657F2">
        <w:trPr>
          <w:cantSplit/>
        </w:trPr>
        <w:tc>
          <w:tcPr>
            <w:tcW w:w="675" w:type="dxa"/>
          </w:tcPr>
          <w:p w14:paraId="41174110" w14:textId="77777777" w:rsidR="00072C03" w:rsidRPr="002860E2" w:rsidRDefault="00072C03" w:rsidP="003D1561">
            <w:pPr>
              <w:numPr>
                <w:ilvl w:val="0"/>
                <w:numId w:val="1"/>
              </w:numPr>
              <w:contextualSpacing/>
              <w:rPr>
                <w:rFonts w:asciiTheme="minorHAnsi" w:hAnsiTheme="minorHAnsi"/>
                <w:b/>
                <w:sz w:val="20"/>
                <w:szCs w:val="20"/>
              </w:rPr>
            </w:pPr>
          </w:p>
        </w:tc>
        <w:tc>
          <w:tcPr>
            <w:tcW w:w="8055" w:type="dxa"/>
          </w:tcPr>
          <w:p w14:paraId="3427CB45" w14:textId="4868A201" w:rsidR="00072C03" w:rsidRPr="002860E2" w:rsidRDefault="00984779" w:rsidP="00A4650C">
            <w:pPr>
              <w:pStyle w:val="ColorfulList-Accent11"/>
              <w:ind w:left="0"/>
              <w:rPr>
                <w:rFonts w:asciiTheme="minorHAnsi" w:hAnsiTheme="minorHAnsi"/>
                <w:sz w:val="20"/>
                <w:szCs w:val="20"/>
              </w:rPr>
            </w:pPr>
            <w:r w:rsidRPr="00984779">
              <w:rPr>
                <w:rFonts w:asciiTheme="minorHAnsi" w:hAnsiTheme="minorHAnsi"/>
                <w:sz w:val="20"/>
                <w:szCs w:val="20"/>
              </w:rPr>
              <w:t xml:space="preserve">All data should be transferred to the registry in compliance with ICANN consensus policy on transitioning data from thin </w:t>
            </w:r>
            <w:proofErr w:type="spellStart"/>
            <w:r w:rsidRPr="00984779">
              <w:rPr>
                <w:rFonts w:asciiTheme="minorHAnsi" w:hAnsiTheme="minorHAnsi"/>
                <w:sz w:val="20"/>
                <w:szCs w:val="20"/>
              </w:rPr>
              <w:t>to</w:t>
            </w:r>
            <w:proofErr w:type="spellEnd"/>
            <w:r w:rsidRPr="00984779">
              <w:rPr>
                <w:rFonts w:asciiTheme="minorHAnsi" w:hAnsiTheme="minorHAnsi"/>
                <w:sz w:val="20"/>
                <w:szCs w:val="20"/>
              </w:rPr>
              <w:t xml:space="preserve"> thick for the remaining thin registries, including for the .com and .net. top level domains. The GDPR should not impact the remaining transition from thin to thick and transferring data from the registrar to the registry can be readily completed in a manner that is compliant with the GDPR.</w:t>
            </w:r>
          </w:p>
        </w:tc>
        <w:tc>
          <w:tcPr>
            <w:tcW w:w="2700" w:type="dxa"/>
          </w:tcPr>
          <w:p w14:paraId="75ADE257" w14:textId="66A5ACB3" w:rsidR="008922F0" w:rsidRPr="00984779" w:rsidRDefault="00984779" w:rsidP="00984779">
            <w:pPr>
              <w:contextualSpacing/>
              <w:rPr>
                <w:rFonts w:asciiTheme="minorHAnsi" w:hAnsiTheme="minorHAnsi"/>
                <w:sz w:val="20"/>
                <w:szCs w:val="20"/>
              </w:rPr>
            </w:pPr>
            <w:r w:rsidRPr="00984779">
              <w:rPr>
                <w:rFonts w:asciiTheme="minorHAnsi" w:hAnsiTheme="minorHAnsi"/>
                <w:sz w:val="20"/>
                <w:szCs w:val="20"/>
              </w:rPr>
              <w:t>Dean S. Marks; Coalition for Online Accountability</w:t>
            </w:r>
          </w:p>
        </w:tc>
        <w:tc>
          <w:tcPr>
            <w:tcW w:w="3960" w:type="dxa"/>
          </w:tcPr>
          <w:p w14:paraId="2AD1205D" w14:textId="77777777"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33D353E5"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D46564D"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E69A735"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64070EC" w14:textId="77777777" w:rsidR="002B3C04" w:rsidRPr="002860E2" w:rsidRDefault="002B3C04" w:rsidP="002B3C04">
            <w:pPr>
              <w:contextualSpacing/>
              <w:rPr>
                <w:rFonts w:asciiTheme="minorHAnsi" w:hAnsiTheme="minorHAnsi"/>
                <w:sz w:val="20"/>
                <w:szCs w:val="20"/>
              </w:rPr>
            </w:pPr>
          </w:p>
          <w:p w14:paraId="0138F151"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08E7344" w14:textId="77777777" w:rsidR="00072C03" w:rsidRPr="002860E2" w:rsidRDefault="00072C03" w:rsidP="00A4650C">
            <w:pPr>
              <w:contextualSpacing/>
              <w:rPr>
                <w:rFonts w:asciiTheme="minorHAnsi" w:hAnsiTheme="minorHAnsi"/>
                <w:sz w:val="20"/>
                <w:szCs w:val="20"/>
              </w:rPr>
            </w:pPr>
          </w:p>
        </w:tc>
      </w:tr>
      <w:tr w:rsidR="00235D20" w:rsidRPr="002860E2" w14:paraId="24F94603" w14:textId="77777777" w:rsidTr="002657F2">
        <w:trPr>
          <w:cantSplit/>
        </w:trPr>
        <w:tc>
          <w:tcPr>
            <w:tcW w:w="675" w:type="dxa"/>
          </w:tcPr>
          <w:p w14:paraId="401E5F55" w14:textId="77777777" w:rsidR="00235D20" w:rsidRPr="002860E2" w:rsidRDefault="00235D20" w:rsidP="003D1561">
            <w:pPr>
              <w:numPr>
                <w:ilvl w:val="0"/>
                <w:numId w:val="1"/>
              </w:numPr>
              <w:contextualSpacing/>
              <w:rPr>
                <w:rFonts w:asciiTheme="minorHAnsi" w:hAnsiTheme="minorHAnsi"/>
                <w:b/>
                <w:sz w:val="20"/>
                <w:szCs w:val="20"/>
              </w:rPr>
            </w:pPr>
          </w:p>
        </w:tc>
        <w:tc>
          <w:tcPr>
            <w:tcW w:w="8055" w:type="dxa"/>
          </w:tcPr>
          <w:p w14:paraId="3A0A7BD0" w14:textId="77777777" w:rsidR="00984779" w:rsidRDefault="00984779" w:rsidP="00A4650C">
            <w:pPr>
              <w:pStyle w:val="ColorfulList-Accent11"/>
              <w:ind w:left="0"/>
              <w:rPr>
                <w:rFonts w:asciiTheme="minorHAnsi" w:hAnsiTheme="minorHAnsi"/>
                <w:sz w:val="20"/>
                <w:szCs w:val="20"/>
              </w:rPr>
            </w:pPr>
            <w:r w:rsidRPr="00984779">
              <w:rPr>
                <w:rFonts w:asciiTheme="minorHAnsi" w:hAnsiTheme="minorHAnsi"/>
                <w:sz w:val="20"/>
                <w:szCs w:val="20"/>
              </w:rPr>
              <w:t>All data should be transferred to the registry, including data for the .</w:t>
            </w:r>
            <w:proofErr w:type="gramStart"/>
            <w:r w:rsidRPr="00984779">
              <w:rPr>
                <w:rFonts w:asciiTheme="minorHAnsi" w:hAnsiTheme="minorHAnsi"/>
                <w:sz w:val="20"/>
                <w:szCs w:val="20"/>
              </w:rPr>
              <w:t>com,.net</w:t>
            </w:r>
            <w:proofErr w:type="gramEnd"/>
            <w:r w:rsidRPr="00984779">
              <w:rPr>
                <w:rFonts w:asciiTheme="minorHAnsi" w:hAnsiTheme="minorHAnsi"/>
                <w:sz w:val="20"/>
                <w:szCs w:val="20"/>
              </w:rPr>
              <w:t xml:space="preserve"> and .jobs TLDs, the only remaining “thin” registries.  Thick Whois Policy development concluded, several years ago, that we should transition data from thin </w:t>
            </w:r>
            <w:proofErr w:type="spellStart"/>
            <w:r w:rsidRPr="00984779">
              <w:rPr>
                <w:rFonts w:asciiTheme="minorHAnsi" w:hAnsiTheme="minorHAnsi"/>
                <w:sz w:val="20"/>
                <w:szCs w:val="20"/>
              </w:rPr>
              <w:t>to</w:t>
            </w:r>
            <w:proofErr w:type="spellEnd"/>
            <w:r w:rsidRPr="00984779">
              <w:rPr>
                <w:rFonts w:asciiTheme="minorHAnsi" w:hAnsiTheme="minorHAnsi"/>
                <w:sz w:val="20"/>
                <w:szCs w:val="20"/>
              </w:rPr>
              <w:t xml:space="preserve"> thick for the remaining thin registries.  GDPR should not affect the agreed upon policy.  Data transfer from registrar to registry can be completed in a manner that is compliant with GDPR. </w:t>
            </w:r>
          </w:p>
          <w:p w14:paraId="683C05EF" w14:textId="5CFEE7AB" w:rsidR="00235D20" w:rsidRPr="002860E2" w:rsidRDefault="00984779" w:rsidP="00A4650C">
            <w:pPr>
              <w:pStyle w:val="ColorfulList-Accent11"/>
              <w:ind w:left="0"/>
              <w:rPr>
                <w:rFonts w:asciiTheme="minorHAnsi" w:hAnsiTheme="minorHAnsi"/>
                <w:sz w:val="20"/>
                <w:szCs w:val="20"/>
              </w:rPr>
            </w:pPr>
            <w:r w:rsidRPr="00984779">
              <w:rPr>
                <w:rFonts w:asciiTheme="minorHAnsi" w:hAnsiTheme="minorHAnsi"/>
                <w:sz w:val="20"/>
                <w:szCs w:val="20"/>
              </w:rPr>
              <w:t xml:space="preserve"> </w:t>
            </w:r>
          </w:p>
        </w:tc>
        <w:tc>
          <w:tcPr>
            <w:tcW w:w="2700" w:type="dxa"/>
          </w:tcPr>
          <w:p w14:paraId="01B37527" w14:textId="77777777" w:rsidR="00235D20" w:rsidRPr="00984779" w:rsidRDefault="00984779" w:rsidP="00984779">
            <w:pPr>
              <w:pStyle w:val="ListParagraph"/>
              <w:numPr>
                <w:ilvl w:val="0"/>
                <w:numId w:val="18"/>
              </w:numPr>
              <w:ind w:left="336"/>
              <w:contextualSpacing/>
              <w:rPr>
                <w:rFonts w:asciiTheme="minorHAnsi" w:hAnsiTheme="minorHAnsi"/>
                <w:sz w:val="20"/>
                <w:szCs w:val="20"/>
              </w:rPr>
            </w:pPr>
            <w:r w:rsidRPr="00984779">
              <w:rPr>
                <w:rFonts w:asciiTheme="minorHAnsi" w:hAnsiTheme="minorHAnsi"/>
                <w:sz w:val="20"/>
                <w:szCs w:val="20"/>
              </w:rPr>
              <w:t>Steve DelBianco; BC</w:t>
            </w:r>
          </w:p>
          <w:p w14:paraId="61BC9BA8" w14:textId="5CA1FD95" w:rsidR="00984779" w:rsidRPr="00984779" w:rsidRDefault="00984779" w:rsidP="00984779">
            <w:pPr>
              <w:pStyle w:val="ListParagraph"/>
              <w:numPr>
                <w:ilvl w:val="0"/>
                <w:numId w:val="18"/>
              </w:numPr>
              <w:ind w:left="336"/>
              <w:contextualSpacing/>
              <w:rPr>
                <w:rFonts w:asciiTheme="minorHAnsi" w:hAnsiTheme="minorHAnsi"/>
                <w:sz w:val="20"/>
                <w:szCs w:val="20"/>
              </w:rPr>
            </w:pPr>
            <w:r w:rsidRPr="00984779">
              <w:rPr>
                <w:rFonts w:asciiTheme="minorHAnsi" w:hAnsiTheme="minorHAnsi"/>
                <w:sz w:val="20"/>
                <w:szCs w:val="20"/>
              </w:rPr>
              <w:t xml:space="preserve">Brian King; </w:t>
            </w:r>
            <w:proofErr w:type="spellStart"/>
            <w:r w:rsidRPr="00984779">
              <w:rPr>
                <w:rFonts w:asciiTheme="minorHAnsi" w:hAnsiTheme="minorHAnsi"/>
                <w:sz w:val="20"/>
                <w:szCs w:val="20"/>
              </w:rPr>
              <w:t>MarkMonitor</w:t>
            </w:r>
            <w:proofErr w:type="spellEnd"/>
            <w:r w:rsidRPr="00984779">
              <w:rPr>
                <w:rFonts w:asciiTheme="minorHAnsi" w:hAnsiTheme="minorHAnsi"/>
                <w:sz w:val="20"/>
                <w:szCs w:val="20"/>
              </w:rPr>
              <w:t>, Inc., a Clarivate Analytics company</w:t>
            </w:r>
          </w:p>
        </w:tc>
        <w:tc>
          <w:tcPr>
            <w:tcW w:w="3960" w:type="dxa"/>
          </w:tcPr>
          <w:p w14:paraId="1BAC6336" w14:textId="77777777"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3F66C6AA"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4E03C8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97DE50D"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DC8E270" w14:textId="77777777" w:rsidR="002B3C04" w:rsidRPr="002860E2" w:rsidRDefault="002B3C04" w:rsidP="002B3C04">
            <w:pPr>
              <w:contextualSpacing/>
              <w:rPr>
                <w:rFonts w:asciiTheme="minorHAnsi" w:hAnsiTheme="minorHAnsi"/>
                <w:sz w:val="20"/>
                <w:szCs w:val="20"/>
              </w:rPr>
            </w:pPr>
          </w:p>
          <w:p w14:paraId="5EA3BDCC"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AB53684" w14:textId="77777777" w:rsidR="00235D20" w:rsidRPr="002860E2" w:rsidRDefault="00235D20" w:rsidP="00A4650C">
            <w:pPr>
              <w:contextualSpacing/>
              <w:rPr>
                <w:rFonts w:asciiTheme="minorHAnsi" w:hAnsiTheme="minorHAnsi"/>
                <w:sz w:val="20"/>
                <w:szCs w:val="20"/>
              </w:rPr>
            </w:pPr>
          </w:p>
        </w:tc>
      </w:tr>
      <w:tr w:rsidR="00072C03" w:rsidRPr="002860E2" w14:paraId="06EA3896" w14:textId="77777777" w:rsidTr="002657F2">
        <w:trPr>
          <w:cantSplit/>
        </w:trPr>
        <w:tc>
          <w:tcPr>
            <w:tcW w:w="675" w:type="dxa"/>
          </w:tcPr>
          <w:p w14:paraId="09FFB5B0" w14:textId="77777777" w:rsidR="00072C03" w:rsidRPr="002860E2" w:rsidRDefault="00072C03" w:rsidP="003D1561">
            <w:pPr>
              <w:numPr>
                <w:ilvl w:val="0"/>
                <w:numId w:val="1"/>
              </w:numPr>
              <w:contextualSpacing/>
              <w:rPr>
                <w:rFonts w:asciiTheme="minorHAnsi" w:hAnsiTheme="minorHAnsi"/>
                <w:b/>
                <w:sz w:val="20"/>
                <w:szCs w:val="20"/>
              </w:rPr>
            </w:pPr>
          </w:p>
        </w:tc>
        <w:tc>
          <w:tcPr>
            <w:tcW w:w="8055" w:type="dxa"/>
          </w:tcPr>
          <w:p w14:paraId="31E9D730" w14:textId="21CB5AA7" w:rsidR="00072C03" w:rsidRPr="002860E2" w:rsidRDefault="00984779" w:rsidP="00A4650C">
            <w:pPr>
              <w:pStyle w:val="ColorfulList-Accent11"/>
              <w:ind w:left="0"/>
              <w:rPr>
                <w:rFonts w:asciiTheme="minorHAnsi" w:hAnsiTheme="minorHAnsi"/>
                <w:sz w:val="20"/>
                <w:szCs w:val="20"/>
              </w:rPr>
            </w:pPr>
            <w:r w:rsidRPr="00984779">
              <w:rPr>
                <w:rFonts w:asciiTheme="minorHAnsi" w:hAnsiTheme="minorHAnsi"/>
                <w:sz w:val="20"/>
                <w:szCs w:val="20"/>
              </w:rPr>
              <w:t>Sometimes in the course of an investigation it is more effective, or even required, to work with a registry than the registrar.   For example, registrars manage only subsets under a given extension. If the legitimate purpose involves large numbers of domains, then it is more logical to work with a Thick registry. In another example, a registrar may be nonresponsive to lawful requests from a third party. In those cases, it is better if the registry holds a copy of the data.</w:t>
            </w:r>
          </w:p>
        </w:tc>
        <w:tc>
          <w:tcPr>
            <w:tcW w:w="2700" w:type="dxa"/>
          </w:tcPr>
          <w:p w14:paraId="72F11364" w14:textId="5CA3FDB6" w:rsidR="00072C03" w:rsidRPr="002860E2" w:rsidRDefault="00984779" w:rsidP="00A4650C">
            <w:pPr>
              <w:contextualSpacing/>
              <w:rPr>
                <w:rFonts w:asciiTheme="minorHAnsi" w:hAnsiTheme="minorHAnsi"/>
                <w:sz w:val="20"/>
                <w:szCs w:val="20"/>
              </w:rPr>
            </w:pPr>
            <w:r w:rsidRPr="00984779">
              <w:rPr>
                <w:rFonts w:asciiTheme="minorHAnsi" w:hAnsiTheme="minorHAnsi"/>
                <w:sz w:val="20"/>
                <w:szCs w:val="20"/>
              </w:rPr>
              <w:t xml:space="preserve">Jeremy </w:t>
            </w:r>
            <w:proofErr w:type="spellStart"/>
            <w:r w:rsidRPr="00984779">
              <w:rPr>
                <w:rFonts w:asciiTheme="minorHAnsi" w:hAnsiTheme="minorHAnsi"/>
                <w:sz w:val="20"/>
                <w:szCs w:val="20"/>
              </w:rPr>
              <w:t>Dallman</w:t>
            </w:r>
            <w:proofErr w:type="spellEnd"/>
            <w:r w:rsidRPr="00984779">
              <w:rPr>
                <w:rFonts w:asciiTheme="minorHAnsi" w:hAnsiTheme="minorHAnsi"/>
                <w:sz w:val="20"/>
                <w:szCs w:val="20"/>
              </w:rPr>
              <w:t xml:space="preserve">, David Ladd – Microsoft Threat Intelligence Center; Amy Hogan-Burney, Richard Boscovich – Digital Crimes Unit; </w:t>
            </w:r>
            <w:proofErr w:type="spellStart"/>
            <w:r w:rsidRPr="00984779">
              <w:rPr>
                <w:rFonts w:asciiTheme="minorHAnsi" w:hAnsiTheme="minorHAnsi"/>
                <w:sz w:val="20"/>
                <w:szCs w:val="20"/>
              </w:rPr>
              <w:t>Makalika</w:t>
            </w:r>
            <w:proofErr w:type="spellEnd"/>
            <w:r w:rsidRPr="00984779">
              <w:rPr>
                <w:rFonts w:asciiTheme="minorHAnsi" w:hAnsiTheme="minorHAnsi"/>
                <w:sz w:val="20"/>
                <w:szCs w:val="20"/>
              </w:rPr>
              <w:t xml:space="preserve"> </w:t>
            </w:r>
            <w:proofErr w:type="spellStart"/>
            <w:r w:rsidRPr="00984779">
              <w:rPr>
                <w:rFonts w:asciiTheme="minorHAnsi" w:hAnsiTheme="minorHAnsi"/>
                <w:sz w:val="20"/>
                <w:szCs w:val="20"/>
              </w:rPr>
              <w:t>Naholowaa</w:t>
            </w:r>
            <w:proofErr w:type="spellEnd"/>
            <w:r w:rsidRPr="00984779">
              <w:rPr>
                <w:rFonts w:asciiTheme="minorHAnsi" w:hAnsiTheme="minorHAnsi"/>
                <w:sz w:val="20"/>
                <w:szCs w:val="20"/>
              </w:rPr>
              <w:t xml:space="preserve">, Teresa </w:t>
            </w:r>
            <w:proofErr w:type="spellStart"/>
            <w:r w:rsidRPr="00984779">
              <w:rPr>
                <w:rFonts w:asciiTheme="minorHAnsi" w:hAnsiTheme="minorHAnsi"/>
                <w:sz w:val="20"/>
                <w:szCs w:val="20"/>
              </w:rPr>
              <w:t>Rodewald</w:t>
            </w:r>
            <w:proofErr w:type="spellEnd"/>
            <w:r w:rsidRPr="00984779">
              <w:rPr>
                <w:rFonts w:asciiTheme="minorHAnsi" w:hAnsiTheme="minorHAnsi"/>
                <w:sz w:val="20"/>
                <w:szCs w:val="20"/>
              </w:rPr>
              <w:t xml:space="preserve">, Cam </w:t>
            </w:r>
            <w:proofErr w:type="spellStart"/>
            <w:r w:rsidRPr="00984779">
              <w:rPr>
                <w:rFonts w:asciiTheme="minorHAnsi" w:hAnsiTheme="minorHAnsi"/>
                <w:sz w:val="20"/>
                <w:szCs w:val="20"/>
              </w:rPr>
              <w:t>Gatta</w:t>
            </w:r>
            <w:proofErr w:type="spellEnd"/>
            <w:r w:rsidRPr="00984779">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2581E40F" w14:textId="77777777" w:rsidR="0025639A" w:rsidRPr="002860E2"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0316C954" w14:textId="77777777" w:rsidR="0025639A" w:rsidRPr="002B3C04"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C363FA2" w14:textId="77777777" w:rsidR="0025639A" w:rsidRPr="002860E2"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833F275" w14:textId="77777777" w:rsidR="0025639A" w:rsidRPr="002B3C04"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BE963B9" w14:textId="77777777" w:rsidR="0025639A" w:rsidRPr="002860E2" w:rsidRDefault="0025639A" w:rsidP="0025639A">
            <w:pPr>
              <w:contextualSpacing/>
              <w:rPr>
                <w:rFonts w:asciiTheme="minorHAnsi" w:hAnsiTheme="minorHAnsi"/>
                <w:sz w:val="20"/>
                <w:szCs w:val="20"/>
              </w:rPr>
            </w:pPr>
          </w:p>
          <w:p w14:paraId="33A3754B" w14:textId="77777777" w:rsidR="0025639A" w:rsidRPr="002860E2" w:rsidRDefault="0025639A" w:rsidP="0025639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0D783DB" w14:textId="77777777" w:rsidR="00072C03" w:rsidRPr="002860E2" w:rsidRDefault="00072C03" w:rsidP="00A4650C">
            <w:pPr>
              <w:contextualSpacing/>
              <w:rPr>
                <w:rFonts w:asciiTheme="minorHAnsi" w:hAnsiTheme="minorHAnsi"/>
                <w:sz w:val="20"/>
                <w:szCs w:val="20"/>
              </w:rPr>
            </w:pPr>
          </w:p>
        </w:tc>
      </w:tr>
      <w:tr w:rsidR="00984779" w:rsidRPr="002860E2" w14:paraId="3A6A80F7" w14:textId="77777777" w:rsidTr="002657F2">
        <w:trPr>
          <w:cantSplit/>
        </w:trPr>
        <w:tc>
          <w:tcPr>
            <w:tcW w:w="675" w:type="dxa"/>
          </w:tcPr>
          <w:p w14:paraId="31CAC1F3" w14:textId="77777777" w:rsidR="00984779" w:rsidRPr="002860E2" w:rsidRDefault="00984779" w:rsidP="003D1561">
            <w:pPr>
              <w:numPr>
                <w:ilvl w:val="0"/>
                <w:numId w:val="1"/>
              </w:numPr>
              <w:contextualSpacing/>
              <w:rPr>
                <w:rFonts w:asciiTheme="minorHAnsi" w:hAnsiTheme="minorHAnsi"/>
                <w:b/>
                <w:sz w:val="20"/>
                <w:szCs w:val="20"/>
              </w:rPr>
            </w:pPr>
          </w:p>
        </w:tc>
        <w:tc>
          <w:tcPr>
            <w:tcW w:w="8055" w:type="dxa"/>
          </w:tcPr>
          <w:p w14:paraId="6D35421D"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ALL data elements are to automatically transferred or better REPLICATED for the</w:t>
            </w:r>
          </w:p>
          <w:p w14:paraId="2F364C72"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Registry. The Registry is to be deemed the ultimate custodian and broadly accountable for any data collected by the Registrar / Reseller by a system of Data Control agreements initiated by the Registry, binding on the Registrar and through the Registrar on the Reseller. The method of Registrant Data collection could also change. As in credit card transactions, where the card holder submits card information directly to the card company even though the form for card information is in the merchant's website, Domain Name registrations could have system of gathering Registrant Data by a similar Registry's form directly connected to the Registry Database, from where the essential data elements</w:t>
            </w:r>
          </w:p>
          <w:p w14:paraId="4A7F5B1F" w14:textId="511F7945" w:rsidR="00984779" w:rsidRPr="002860E2"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necessary for the Registrar / Reseller's future commercial correspondence be transferred back to the Registrar / Reseller.</w:t>
            </w:r>
          </w:p>
        </w:tc>
        <w:tc>
          <w:tcPr>
            <w:tcW w:w="2700" w:type="dxa"/>
          </w:tcPr>
          <w:p w14:paraId="12D797EB" w14:textId="0F9C1A4A" w:rsidR="00984779" w:rsidRPr="002860E2" w:rsidRDefault="00984779" w:rsidP="00A4650C">
            <w:pPr>
              <w:contextualSpacing/>
              <w:rPr>
                <w:rFonts w:asciiTheme="minorHAnsi" w:hAnsiTheme="minorHAnsi"/>
                <w:sz w:val="20"/>
                <w:szCs w:val="20"/>
              </w:rPr>
            </w:pPr>
            <w:proofErr w:type="spellStart"/>
            <w:r w:rsidRPr="00984779">
              <w:rPr>
                <w:rFonts w:asciiTheme="minorHAnsi" w:hAnsiTheme="minorHAnsi"/>
                <w:sz w:val="20"/>
                <w:szCs w:val="20"/>
              </w:rPr>
              <w:t>Sivasubramanian</w:t>
            </w:r>
            <w:proofErr w:type="spellEnd"/>
            <w:r w:rsidRPr="00984779">
              <w:rPr>
                <w:rFonts w:asciiTheme="minorHAnsi" w:hAnsiTheme="minorHAnsi"/>
                <w:sz w:val="20"/>
                <w:szCs w:val="20"/>
              </w:rPr>
              <w:t xml:space="preserve"> Muthusamy; Internet Society India Chennai</w:t>
            </w:r>
          </w:p>
        </w:tc>
        <w:tc>
          <w:tcPr>
            <w:tcW w:w="3960" w:type="dxa"/>
          </w:tcPr>
          <w:p w14:paraId="3A5F4F5C"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75744074"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7D99FA6"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CE605F"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253F7C7" w14:textId="77777777" w:rsidR="00984779" w:rsidRPr="002860E2" w:rsidRDefault="00984779" w:rsidP="00984779">
            <w:pPr>
              <w:contextualSpacing/>
              <w:rPr>
                <w:rFonts w:asciiTheme="minorHAnsi" w:hAnsiTheme="minorHAnsi"/>
                <w:sz w:val="20"/>
                <w:szCs w:val="20"/>
              </w:rPr>
            </w:pPr>
          </w:p>
          <w:p w14:paraId="6A5549E8" w14:textId="77777777" w:rsidR="00984779" w:rsidRPr="002860E2" w:rsidRDefault="00984779" w:rsidP="0098477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3EBDC2C" w14:textId="77777777" w:rsidR="00984779" w:rsidRDefault="00984779"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984779" w:rsidRPr="002860E2" w14:paraId="0A7E5878" w14:textId="77777777" w:rsidTr="002657F2">
        <w:trPr>
          <w:cantSplit/>
        </w:trPr>
        <w:tc>
          <w:tcPr>
            <w:tcW w:w="675" w:type="dxa"/>
          </w:tcPr>
          <w:p w14:paraId="22E25CAC" w14:textId="77777777" w:rsidR="00984779" w:rsidRPr="002860E2" w:rsidRDefault="00984779" w:rsidP="003D1561">
            <w:pPr>
              <w:numPr>
                <w:ilvl w:val="0"/>
                <w:numId w:val="1"/>
              </w:numPr>
              <w:contextualSpacing/>
              <w:rPr>
                <w:rFonts w:asciiTheme="minorHAnsi" w:hAnsiTheme="minorHAnsi"/>
                <w:b/>
                <w:sz w:val="20"/>
                <w:szCs w:val="20"/>
              </w:rPr>
            </w:pPr>
          </w:p>
        </w:tc>
        <w:tc>
          <w:tcPr>
            <w:tcW w:w="8055" w:type="dxa"/>
          </w:tcPr>
          <w:p w14:paraId="6109FD43" w14:textId="68281C5E" w:rsidR="00984779" w:rsidRPr="002860E2" w:rsidRDefault="00984779" w:rsidP="00A4650C">
            <w:pPr>
              <w:pStyle w:val="ColorfulList-Accent11"/>
              <w:ind w:left="0"/>
              <w:rPr>
                <w:rFonts w:asciiTheme="minorHAnsi" w:hAnsiTheme="minorHAnsi"/>
                <w:sz w:val="20"/>
                <w:szCs w:val="20"/>
              </w:rPr>
            </w:pPr>
            <w:r w:rsidRPr="00984779">
              <w:rPr>
                <w:rFonts w:asciiTheme="minorHAnsi" w:hAnsiTheme="minorHAnsi"/>
                <w:sz w:val="20"/>
                <w:szCs w:val="20"/>
              </w:rPr>
              <w:t>Transfer of these data elements is appropriate and legal under GDPR</w:t>
            </w:r>
          </w:p>
        </w:tc>
        <w:tc>
          <w:tcPr>
            <w:tcW w:w="2700" w:type="dxa"/>
          </w:tcPr>
          <w:p w14:paraId="5745D7D1" w14:textId="5D6CF475" w:rsidR="00984779" w:rsidRPr="002860E2" w:rsidRDefault="00984779" w:rsidP="00A4650C">
            <w:pPr>
              <w:contextualSpacing/>
              <w:rPr>
                <w:rFonts w:asciiTheme="minorHAnsi" w:hAnsiTheme="minorHAnsi"/>
                <w:sz w:val="20"/>
                <w:szCs w:val="20"/>
              </w:rPr>
            </w:pPr>
            <w:proofErr w:type="spellStart"/>
            <w:r w:rsidRPr="00984779">
              <w:rPr>
                <w:rFonts w:asciiTheme="minorHAnsi" w:hAnsiTheme="minorHAnsi"/>
                <w:sz w:val="20"/>
                <w:szCs w:val="20"/>
              </w:rPr>
              <w:t>Farzaneh</w:t>
            </w:r>
            <w:proofErr w:type="spellEnd"/>
            <w:r w:rsidRPr="00984779">
              <w:rPr>
                <w:rFonts w:asciiTheme="minorHAnsi" w:hAnsiTheme="minorHAnsi"/>
                <w:sz w:val="20"/>
                <w:szCs w:val="20"/>
              </w:rPr>
              <w:t xml:space="preserve"> </w:t>
            </w:r>
            <w:proofErr w:type="spellStart"/>
            <w:r w:rsidRPr="00984779">
              <w:rPr>
                <w:rFonts w:asciiTheme="minorHAnsi" w:hAnsiTheme="minorHAnsi"/>
                <w:sz w:val="20"/>
                <w:szCs w:val="20"/>
              </w:rPr>
              <w:t>Badii</w:t>
            </w:r>
            <w:proofErr w:type="spellEnd"/>
            <w:r w:rsidRPr="00984779">
              <w:rPr>
                <w:rFonts w:asciiTheme="minorHAnsi" w:hAnsiTheme="minorHAnsi"/>
                <w:sz w:val="20"/>
                <w:szCs w:val="20"/>
              </w:rPr>
              <w:t>; Internet Governance Project</w:t>
            </w:r>
          </w:p>
        </w:tc>
        <w:tc>
          <w:tcPr>
            <w:tcW w:w="3960" w:type="dxa"/>
          </w:tcPr>
          <w:p w14:paraId="65014776"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7D1F6636"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8A1187C"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735120F"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A028816" w14:textId="77777777" w:rsidR="00984779" w:rsidRPr="002860E2" w:rsidRDefault="00984779" w:rsidP="00984779">
            <w:pPr>
              <w:contextualSpacing/>
              <w:rPr>
                <w:rFonts w:asciiTheme="minorHAnsi" w:hAnsiTheme="minorHAnsi"/>
                <w:sz w:val="20"/>
                <w:szCs w:val="20"/>
              </w:rPr>
            </w:pPr>
          </w:p>
          <w:p w14:paraId="7E2BAE7F" w14:textId="77777777" w:rsidR="00984779" w:rsidRPr="002860E2" w:rsidRDefault="00984779" w:rsidP="0098477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D755D05" w14:textId="77777777" w:rsidR="00984779" w:rsidRDefault="00984779"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984779" w:rsidRPr="002860E2" w14:paraId="3744CE8B" w14:textId="77777777" w:rsidTr="002657F2">
        <w:trPr>
          <w:cantSplit/>
        </w:trPr>
        <w:tc>
          <w:tcPr>
            <w:tcW w:w="675" w:type="dxa"/>
          </w:tcPr>
          <w:p w14:paraId="6C9DAFB2" w14:textId="77777777" w:rsidR="00984779" w:rsidRPr="002860E2" w:rsidRDefault="00984779" w:rsidP="003D1561">
            <w:pPr>
              <w:numPr>
                <w:ilvl w:val="0"/>
                <w:numId w:val="1"/>
              </w:numPr>
              <w:contextualSpacing/>
              <w:rPr>
                <w:rFonts w:asciiTheme="minorHAnsi" w:hAnsiTheme="minorHAnsi"/>
                <w:b/>
                <w:sz w:val="20"/>
                <w:szCs w:val="20"/>
              </w:rPr>
            </w:pPr>
          </w:p>
        </w:tc>
        <w:tc>
          <w:tcPr>
            <w:tcW w:w="8055" w:type="dxa"/>
          </w:tcPr>
          <w:p w14:paraId="2FDB4241"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Once registration records have been appropriately redacted, then the transmission of the redacted data elements to the registry may be appropriate and legal under the GDPR. </w:t>
            </w:r>
          </w:p>
          <w:p w14:paraId="0989950D" w14:textId="77777777" w:rsidR="00984779" w:rsidRPr="00984779" w:rsidRDefault="00984779" w:rsidP="00984779">
            <w:pPr>
              <w:pStyle w:val="ColorfulList-Accent11"/>
              <w:ind w:left="0"/>
              <w:rPr>
                <w:rFonts w:asciiTheme="minorHAnsi" w:hAnsiTheme="minorHAnsi"/>
                <w:sz w:val="20"/>
                <w:szCs w:val="20"/>
              </w:rPr>
            </w:pPr>
          </w:p>
          <w:p w14:paraId="7E27DA9A"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 xml:space="preserve">However, we note that the registries of ICANN are expressly not required to be in the member states of the European Union or in territories declared “adequate” by the relevant authorities. We have seen many new gTLD registries incorporated in countries which do not have comprehensive data protection laws (and do have strong laws requiring the sharing of data with law enforcement), including the United States. </w:t>
            </w:r>
          </w:p>
          <w:p w14:paraId="59FA3FB4" w14:textId="77777777" w:rsidR="00984779" w:rsidRPr="00984779" w:rsidRDefault="00984779" w:rsidP="00984779">
            <w:pPr>
              <w:pStyle w:val="ColorfulList-Accent11"/>
              <w:ind w:left="0"/>
              <w:rPr>
                <w:rFonts w:asciiTheme="minorHAnsi" w:hAnsiTheme="minorHAnsi"/>
                <w:sz w:val="20"/>
                <w:szCs w:val="20"/>
              </w:rPr>
            </w:pPr>
          </w:p>
          <w:p w14:paraId="706ABCAC" w14:textId="77777777" w:rsidR="00984779" w:rsidRPr="00984779"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We note that the use of the data of a domain name registration for the prosecution of content, including for moral, ethnic, religious, and especially gender and sexual orientation speech, is growing. The GDPR does not allow us to collect and transmit data elements that will endanger data subjects in jurisdictions to which their personal data and sensitive data could be weaponized against them.</w:t>
            </w:r>
          </w:p>
          <w:p w14:paraId="49D4FBFC" w14:textId="77777777" w:rsidR="00984779" w:rsidRPr="00984779" w:rsidRDefault="00984779" w:rsidP="00984779">
            <w:pPr>
              <w:pStyle w:val="ColorfulList-Accent11"/>
              <w:rPr>
                <w:rFonts w:asciiTheme="minorHAnsi" w:hAnsiTheme="minorHAnsi"/>
                <w:sz w:val="20"/>
                <w:szCs w:val="20"/>
              </w:rPr>
            </w:pPr>
          </w:p>
          <w:p w14:paraId="786A25F0" w14:textId="0AD3C2CC" w:rsidR="00984779" w:rsidRPr="002860E2" w:rsidRDefault="00984779" w:rsidP="00984779">
            <w:pPr>
              <w:pStyle w:val="ColorfulList-Accent11"/>
              <w:ind w:left="0"/>
              <w:rPr>
                <w:rFonts w:asciiTheme="minorHAnsi" w:hAnsiTheme="minorHAnsi"/>
                <w:sz w:val="20"/>
                <w:szCs w:val="20"/>
              </w:rPr>
            </w:pPr>
            <w:r w:rsidRPr="00984779">
              <w:rPr>
                <w:rFonts w:asciiTheme="minorHAnsi" w:hAnsiTheme="minorHAnsi"/>
                <w:sz w:val="20"/>
                <w:szCs w:val="20"/>
              </w:rPr>
              <w:t>Such power over registrant freedoms cannot be delegated to ICANN or ICANN-accredited registries who are not bound by the GDPR, and cannot (even by contract) waive their local obligations to respond to law enforcement demands. Accordingly, the GDPR prohibits the processing of this registrant data -- and similarly, transmission of this registrant data to registries who cannot possibly comply with the GDPR requirements.</w:t>
            </w:r>
          </w:p>
        </w:tc>
        <w:tc>
          <w:tcPr>
            <w:tcW w:w="2700" w:type="dxa"/>
          </w:tcPr>
          <w:p w14:paraId="1B3E6625" w14:textId="046C68A6" w:rsidR="00984779" w:rsidRPr="00984779" w:rsidRDefault="00984779" w:rsidP="00A4650C">
            <w:pPr>
              <w:contextualSpacing/>
              <w:rPr>
                <w:rFonts w:asciiTheme="minorHAnsi" w:hAnsiTheme="minorHAnsi"/>
                <w:sz w:val="20"/>
                <w:szCs w:val="20"/>
              </w:rPr>
            </w:pPr>
            <w:r w:rsidRPr="00984779">
              <w:rPr>
                <w:rFonts w:asciiTheme="minorHAnsi" w:hAnsiTheme="minorHAnsi"/>
                <w:sz w:val="20"/>
                <w:szCs w:val="20"/>
              </w:rPr>
              <w:t xml:space="preserve">Ayden </w:t>
            </w:r>
            <w:proofErr w:type="spellStart"/>
            <w:r w:rsidRPr="00984779">
              <w:rPr>
                <w:rFonts w:asciiTheme="minorHAnsi" w:hAnsiTheme="minorHAnsi"/>
                <w:sz w:val="20"/>
                <w:szCs w:val="20"/>
              </w:rPr>
              <w:t>Férdeline</w:t>
            </w:r>
            <w:proofErr w:type="spellEnd"/>
            <w:r w:rsidRPr="00984779">
              <w:rPr>
                <w:rFonts w:asciiTheme="minorHAnsi" w:hAnsiTheme="minorHAnsi"/>
                <w:sz w:val="20"/>
                <w:szCs w:val="20"/>
              </w:rPr>
              <w:t>; NCSG</w:t>
            </w:r>
          </w:p>
        </w:tc>
        <w:tc>
          <w:tcPr>
            <w:tcW w:w="3960" w:type="dxa"/>
          </w:tcPr>
          <w:p w14:paraId="389D5C25"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07E4C90B"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01570D"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175866F"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4B31BC7" w14:textId="77777777" w:rsidR="00984779" w:rsidRPr="002860E2" w:rsidRDefault="00984779" w:rsidP="00984779">
            <w:pPr>
              <w:contextualSpacing/>
              <w:rPr>
                <w:rFonts w:asciiTheme="minorHAnsi" w:hAnsiTheme="minorHAnsi"/>
                <w:sz w:val="20"/>
                <w:szCs w:val="20"/>
              </w:rPr>
            </w:pPr>
          </w:p>
          <w:p w14:paraId="563D77C2" w14:textId="77777777" w:rsidR="00984779" w:rsidRPr="002860E2" w:rsidRDefault="00984779" w:rsidP="0098477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3E159F4" w14:textId="77777777" w:rsidR="00984779"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984779" w:rsidRPr="002860E2" w14:paraId="4D85401F" w14:textId="77777777" w:rsidTr="002657F2">
        <w:trPr>
          <w:cantSplit/>
        </w:trPr>
        <w:tc>
          <w:tcPr>
            <w:tcW w:w="675" w:type="dxa"/>
          </w:tcPr>
          <w:p w14:paraId="6E2EBDA1" w14:textId="77777777" w:rsidR="00984779" w:rsidRPr="002860E2" w:rsidRDefault="00984779" w:rsidP="003D1561">
            <w:pPr>
              <w:numPr>
                <w:ilvl w:val="0"/>
                <w:numId w:val="1"/>
              </w:numPr>
              <w:contextualSpacing/>
              <w:rPr>
                <w:rFonts w:asciiTheme="minorHAnsi" w:hAnsiTheme="minorHAnsi"/>
                <w:b/>
                <w:sz w:val="20"/>
                <w:szCs w:val="20"/>
              </w:rPr>
            </w:pPr>
          </w:p>
        </w:tc>
        <w:tc>
          <w:tcPr>
            <w:tcW w:w="8055" w:type="dxa"/>
          </w:tcPr>
          <w:p w14:paraId="122DBFEF" w14:textId="53209F63" w:rsidR="00984779" w:rsidRPr="002860E2" w:rsidRDefault="00984779" w:rsidP="00A4650C">
            <w:pPr>
              <w:pStyle w:val="ColorfulList-Accent11"/>
              <w:ind w:left="0"/>
              <w:rPr>
                <w:rFonts w:asciiTheme="minorHAnsi" w:hAnsiTheme="minorHAnsi"/>
                <w:sz w:val="20"/>
                <w:szCs w:val="20"/>
              </w:rPr>
            </w:pPr>
            <w:r w:rsidRPr="00984779">
              <w:rPr>
                <w:rFonts w:asciiTheme="minorHAnsi" w:hAnsiTheme="minorHAnsi"/>
                <w:sz w:val="20"/>
                <w:szCs w:val="20"/>
              </w:rPr>
              <w:t>The transfer of data from registrar to registry can only take place based on different purposes and different legal grounds. Where the processing is based on Art. 6 I b GDPR to perform the contract, it can unconditionally be transferred. Where the processing takes place based on Art. 6 I f GDPR, it can only take place if the registry actually asserts to have a legitimate interest in such processing. Absent the assertion of such interest, no data shall be transferred based on Art. 6 I f GDPR.</w:t>
            </w:r>
          </w:p>
        </w:tc>
        <w:tc>
          <w:tcPr>
            <w:tcW w:w="2700" w:type="dxa"/>
          </w:tcPr>
          <w:p w14:paraId="1AB7039E" w14:textId="77777777" w:rsidR="00984779" w:rsidRPr="00984779" w:rsidRDefault="00984779" w:rsidP="00984779">
            <w:pPr>
              <w:pStyle w:val="ListParagraph"/>
              <w:numPr>
                <w:ilvl w:val="0"/>
                <w:numId w:val="19"/>
              </w:numPr>
              <w:ind w:left="336"/>
              <w:contextualSpacing/>
              <w:rPr>
                <w:rFonts w:asciiTheme="minorHAnsi" w:hAnsiTheme="minorHAnsi"/>
                <w:sz w:val="20"/>
                <w:szCs w:val="20"/>
              </w:rPr>
            </w:pPr>
            <w:r w:rsidRPr="00984779">
              <w:rPr>
                <w:rFonts w:asciiTheme="minorHAnsi" w:hAnsiTheme="minorHAnsi"/>
                <w:sz w:val="20"/>
                <w:szCs w:val="20"/>
              </w:rPr>
              <w:t>Lars Steffen; eco – Association of the Internet Industry</w:t>
            </w:r>
          </w:p>
          <w:p w14:paraId="0028F5D7" w14:textId="7A128668" w:rsidR="00984779" w:rsidRPr="00984779" w:rsidRDefault="00984779" w:rsidP="00984779">
            <w:pPr>
              <w:pStyle w:val="ListParagraph"/>
              <w:numPr>
                <w:ilvl w:val="0"/>
                <w:numId w:val="19"/>
              </w:numPr>
              <w:ind w:left="336"/>
              <w:contextualSpacing/>
              <w:rPr>
                <w:rFonts w:asciiTheme="minorHAnsi" w:hAnsiTheme="minorHAnsi"/>
                <w:sz w:val="20"/>
                <w:szCs w:val="20"/>
              </w:rPr>
            </w:pPr>
            <w:r w:rsidRPr="00984779">
              <w:rPr>
                <w:rFonts w:asciiTheme="minorHAnsi" w:hAnsiTheme="minorHAnsi"/>
                <w:sz w:val="20"/>
                <w:szCs w:val="20"/>
              </w:rPr>
              <w:t xml:space="preserve">Wolf-Ulrich </w:t>
            </w:r>
            <w:proofErr w:type="spellStart"/>
            <w:r w:rsidRPr="00984779">
              <w:rPr>
                <w:rFonts w:asciiTheme="minorHAnsi" w:hAnsiTheme="minorHAnsi"/>
                <w:sz w:val="20"/>
                <w:szCs w:val="20"/>
              </w:rPr>
              <w:t>Knoben</w:t>
            </w:r>
            <w:proofErr w:type="spellEnd"/>
            <w:r w:rsidRPr="00984779">
              <w:rPr>
                <w:rFonts w:asciiTheme="minorHAnsi" w:hAnsiTheme="minorHAnsi"/>
                <w:sz w:val="20"/>
                <w:szCs w:val="20"/>
              </w:rPr>
              <w:t>; ISPCP Constituency</w:t>
            </w:r>
          </w:p>
        </w:tc>
        <w:tc>
          <w:tcPr>
            <w:tcW w:w="3960" w:type="dxa"/>
          </w:tcPr>
          <w:p w14:paraId="37395FA8"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F177FFB"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39592C1"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C2BD666"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8CCCA32" w14:textId="77777777" w:rsidR="00984779" w:rsidRPr="002860E2" w:rsidRDefault="00984779" w:rsidP="00984779">
            <w:pPr>
              <w:contextualSpacing/>
              <w:rPr>
                <w:rFonts w:asciiTheme="minorHAnsi" w:hAnsiTheme="minorHAnsi"/>
                <w:sz w:val="20"/>
                <w:szCs w:val="20"/>
              </w:rPr>
            </w:pPr>
          </w:p>
          <w:p w14:paraId="33758A0D" w14:textId="77777777" w:rsidR="00984779" w:rsidRPr="002860E2" w:rsidRDefault="00984779" w:rsidP="0098477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E6BED8E" w14:textId="77777777" w:rsidR="00984779"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8D7EE5" w:rsidRPr="002860E2" w14:paraId="50D9CD48" w14:textId="77777777" w:rsidTr="008D7EE5">
        <w:trPr>
          <w:cantSplit/>
        </w:trPr>
        <w:tc>
          <w:tcPr>
            <w:tcW w:w="15390" w:type="dxa"/>
            <w:gridSpan w:val="4"/>
            <w:shd w:val="clear" w:color="auto" w:fill="FF0000"/>
          </w:tcPr>
          <w:p w14:paraId="628985AB" w14:textId="77777777" w:rsidR="008D7EE5" w:rsidRPr="008D7EE5" w:rsidRDefault="00D26553" w:rsidP="008D7EE5">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No</w:t>
            </w:r>
          </w:p>
        </w:tc>
      </w:tr>
      <w:tr w:rsidR="008D7EE5" w:rsidRPr="002860E2" w14:paraId="669CE6A5" w14:textId="77777777" w:rsidTr="002657F2">
        <w:trPr>
          <w:cantSplit/>
        </w:trPr>
        <w:tc>
          <w:tcPr>
            <w:tcW w:w="675" w:type="dxa"/>
          </w:tcPr>
          <w:p w14:paraId="4EA52D08" w14:textId="77777777" w:rsidR="008D7EE5" w:rsidRPr="002860E2" w:rsidRDefault="008D7EE5" w:rsidP="003D1561">
            <w:pPr>
              <w:numPr>
                <w:ilvl w:val="0"/>
                <w:numId w:val="1"/>
              </w:numPr>
              <w:contextualSpacing/>
              <w:rPr>
                <w:rFonts w:asciiTheme="minorHAnsi" w:hAnsiTheme="minorHAnsi"/>
                <w:b/>
                <w:sz w:val="20"/>
                <w:szCs w:val="20"/>
              </w:rPr>
            </w:pPr>
          </w:p>
        </w:tc>
        <w:tc>
          <w:tcPr>
            <w:tcW w:w="8055" w:type="dxa"/>
          </w:tcPr>
          <w:p w14:paraId="31BD58A2" w14:textId="5F60852E" w:rsidR="008D7EE5" w:rsidRPr="002860E2" w:rsidRDefault="00984779" w:rsidP="00E754E3">
            <w:pPr>
              <w:pStyle w:val="ColorfulList-Accent11"/>
              <w:ind w:left="0"/>
              <w:rPr>
                <w:rFonts w:asciiTheme="minorHAnsi" w:hAnsiTheme="minorHAnsi"/>
                <w:sz w:val="20"/>
                <w:szCs w:val="20"/>
              </w:rPr>
            </w:pPr>
            <w:r>
              <w:rPr>
                <w:rFonts w:asciiTheme="minorHAnsi" w:hAnsiTheme="minorHAnsi"/>
                <w:sz w:val="20"/>
                <w:szCs w:val="20"/>
              </w:rPr>
              <w:t>No follow-on response or rationale provided.</w:t>
            </w:r>
          </w:p>
        </w:tc>
        <w:tc>
          <w:tcPr>
            <w:tcW w:w="2700" w:type="dxa"/>
          </w:tcPr>
          <w:p w14:paraId="47FE18B1" w14:textId="0F1FC7D2" w:rsidR="008D7EE5" w:rsidRPr="002860E2" w:rsidRDefault="00984779" w:rsidP="00A4650C">
            <w:pPr>
              <w:contextualSpacing/>
              <w:rPr>
                <w:rFonts w:asciiTheme="minorHAnsi" w:hAnsiTheme="minorHAnsi"/>
                <w:sz w:val="20"/>
                <w:szCs w:val="20"/>
              </w:rPr>
            </w:pPr>
            <w:r w:rsidRPr="00984779">
              <w:rPr>
                <w:rFonts w:asciiTheme="minorHAnsi" w:hAnsiTheme="minorHAnsi"/>
                <w:sz w:val="20"/>
                <w:szCs w:val="20"/>
              </w:rPr>
              <w:t>Domain.com, LLC &amp; affiliates</w:t>
            </w:r>
          </w:p>
        </w:tc>
        <w:tc>
          <w:tcPr>
            <w:tcW w:w="3960" w:type="dxa"/>
          </w:tcPr>
          <w:p w14:paraId="7A060FF8"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797448BF" w14:textId="221E4E9A"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w:t>
            </w:r>
            <w:r>
              <w:rPr>
                <w:rFonts w:asciiTheme="minorHAnsi" w:eastAsia="Times New Roman" w:hAnsiTheme="minorHAnsi"/>
                <w:color w:val="000000"/>
                <w:sz w:val="20"/>
                <w:szCs w:val="20"/>
              </w:rPr>
              <w:t>notes the “No” designation</w:t>
            </w:r>
          </w:p>
          <w:p w14:paraId="7D17BA40" w14:textId="77777777" w:rsidR="00984779" w:rsidRPr="002860E2"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5114A0" w14:textId="77777777" w:rsidR="00984779" w:rsidRPr="002B3C04" w:rsidRDefault="00984779" w:rsidP="0098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4B90FCD7" w14:textId="77777777" w:rsidR="00984779" w:rsidRPr="002860E2" w:rsidRDefault="00984779" w:rsidP="00984779">
            <w:pPr>
              <w:contextualSpacing/>
              <w:rPr>
                <w:rFonts w:asciiTheme="minorHAnsi" w:hAnsiTheme="minorHAnsi"/>
                <w:sz w:val="20"/>
                <w:szCs w:val="20"/>
              </w:rPr>
            </w:pPr>
          </w:p>
          <w:p w14:paraId="14409F39" w14:textId="77777777" w:rsidR="00984779" w:rsidRPr="002860E2" w:rsidRDefault="00984779" w:rsidP="0098477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6387AA4B" w14:textId="77777777" w:rsidR="008D7EE5" w:rsidRPr="002860E2" w:rsidRDefault="008D7EE5" w:rsidP="00A4650C">
            <w:pPr>
              <w:contextualSpacing/>
              <w:rPr>
                <w:rFonts w:asciiTheme="minorHAnsi" w:hAnsiTheme="minorHAnsi"/>
                <w:sz w:val="20"/>
                <w:szCs w:val="20"/>
              </w:rPr>
            </w:pPr>
          </w:p>
        </w:tc>
      </w:tr>
      <w:tr w:rsidR="006605C9" w:rsidRPr="002860E2" w14:paraId="57A41744" w14:textId="77777777" w:rsidTr="002657F2">
        <w:trPr>
          <w:cantSplit/>
        </w:trPr>
        <w:tc>
          <w:tcPr>
            <w:tcW w:w="675" w:type="dxa"/>
          </w:tcPr>
          <w:p w14:paraId="2C493B42" w14:textId="77777777" w:rsidR="006605C9" w:rsidRPr="002860E2" w:rsidRDefault="006605C9" w:rsidP="003D1561">
            <w:pPr>
              <w:numPr>
                <w:ilvl w:val="0"/>
                <w:numId w:val="1"/>
              </w:numPr>
              <w:contextualSpacing/>
              <w:rPr>
                <w:rFonts w:asciiTheme="minorHAnsi" w:hAnsiTheme="minorHAnsi"/>
                <w:b/>
                <w:sz w:val="20"/>
                <w:szCs w:val="20"/>
              </w:rPr>
            </w:pPr>
          </w:p>
        </w:tc>
        <w:tc>
          <w:tcPr>
            <w:tcW w:w="8055" w:type="dxa"/>
          </w:tcPr>
          <w:p w14:paraId="145D0703" w14:textId="77777777" w:rsidR="006605C9"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 xml:space="preserve">Domain Name, Updated </w:t>
            </w:r>
            <w:proofErr w:type="gramStart"/>
            <w:r w:rsidRPr="00355922">
              <w:rPr>
                <w:rFonts w:asciiTheme="minorHAnsi" w:hAnsiTheme="minorHAnsi"/>
                <w:sz w:val="20"/>
                <w:szCs w:val="20"/>
              </w:rPr>
              <w:t>Date,  Creation</w:t>
            </w:r>
            <w:proofErr w:type="gramEnd"/>
            <w:r w:rsidRPr="00355922">
              <w:rPr>
                <w:rFonts w:asciiTheme="minorHAnsi" w:hAnsiTheme="minorHAnsi"/>
                <w:sz w:val="20"/>
                <w:szCs w:val="20"/>
              </w:rPr>
              <w:t xml:space="preserve"> Date,  Registry Expiry Date,  Registrar,   Name Servers (plural for nameservers!)</w:t>
            </w:r>
          </w:p>
          <w:p w14:paraId="487D856E" w14:textId="77777777" w:rsidR="00355922" w:rsidRDefault="00355922" w:rsidP="00A4650C">
            <w:pPr>
              <w:pStyle w:val="ColorfulList-Accent11"/>
              <w:ind w:left="0"/>
              <w:rPr>
                <w:rFonts w:asciiTheme="minorHAnsi" w:hAnsiTheme="minorHAnsi"/>
                <w:sz w:val="20"/>
                <w:szCs w:val="20"/>
              </w:rPr>
            </w:pPr>
          </w:p>
          <w:p w14:paraId="10731B5C" w14:textId="5BB313D5" w:rsidR="00355922" w:rsidRPr="002860E2"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 xml:space="preserve">To accommodate privacy concerns in a multinational contact, I'd be supportive of returning to the "Thin WHOIS" model, just like .com, so most of these fields are not necessary (just the obvious ones like nameservers, registrar </w:t>
            </w:r>
            <w:proofErr w:type="gramStart"/>
            <w:r w:rsidRPr="00355922">
              <w:rPr>
                <w:rFonts w:asciiTheme="minorHAnsi" w:hAnsiTheme="minorHAnsi"/>
                <w:sz w:val="20"/>
                <w:szCs w:val="20"/>
              </w:rPr>
              <w:t>are</w:t>
            </w:r>
            <w:proofErr w:type="gramEnd"/>
            <w:r w:rsidRPr="00355922">
              <w:rPr>
                <w:rFonts w:asciiTheme="minorHAnsi" w:hAnsiTheme="minorHAnsi"/>
                <w:sz w:val="20"/>
                <w:szCs w:val="20"/>
              </w:rPr>
              <w:t xml:space="preserve"> needed, as per the current output of Internic.net for WHOIS of .com domains).</w:t>
            </w:r>
          </w:p>
        </w:tc>
        <w:tc>
          <w:tcPr>
            <w:tcW w:w="2700" w:type="dxa"/>
          </w:tcPr>
          <w:p w14:paraId="2AED5DBB" w14:textId="528C4098" w:rsidR="006605C9" w:rsidRPr="002860E2" w:rsidRDefault="00355922" w:rsidP="00A4650C">
            <w:pPr>
              <w:contextualSpacing/>
              <w:rPr>
                <w:rFonts w:asciiTheme="minorHAnsi" w:hAnsiTheme="minorHAnsi"/>
                <w:sz w:val="20"/>
                <w:szCs w:val="20"/>
              </w:rPr>
            </w:pPr>
            <w:r w:rsidRPr="00355922">
              <w:rPr>
                <w:rFonts w:asciiTheme="minorHAnsi" w:hAnsiTheme="minorHAnsi"/>
                <w:sz w:val="20"/>
                <w:szCs w:val="20"/>
              </w:rPr>
              <w:t xml:space="preserve">George </w:t>
            </w:r>
            <w:proofErr w:type="spellStart"/>
            <w:r w:rsidRPr="00355922">
              <w:rPr>
                <w:rFonts w:asciiTheme="minorHAnsi" w:hAnsiTheme="minorHAnsi"/>
                <w:sz w:val="20"/>
                <w:szCs w:val="20"/>
              </w:rPr>
              <w:t>Kirikos</w:t>
            </w:r>
            <w:proofErr w:type="spellEnd"/>
            <w:r w:rsidRPr="00355922">
              <w:rPr>
                <w:rFonts w:asciiTheme="minorHAnsi" w:hAnsiTheme="minorHAnsi"/>
                <w:sz w:val="20"/>
                <w:szCs w:val="20"/>
              </w:rPr>
              <w:t>; Leap of Faith Financial Services Inc.</w:t>
            </w:r>
          </w:p>
        </w:tc>
        <w:tc>
          <w:tcPr>
            <w:tcW w:w="3960" w:type="dxa"/>
          </w:tcPr>
          <w:p w14:paraId="6F31A972"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5F3E6470"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79FF76C"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EE3E92A"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874BEB6" w14:textId="77777777" w:rsidR="00E754E3" w:rsidRPr="002860E2" w:rsidRDefault="00E754E3" w:rsidP="00E754E3">
            <w:pPr>
              <w:contextualSpacing/>
              <w:rPr>
                <w:rFonts w:asciiTheme="minorHAnsi" w:hAnsiTheme="minorHAnsi"/>
                <w:sz w:val="20"/>
                <w:szCs w:val="20"/>
              </w:rPr>
            </w:pPr>
          </w:p>
          <w:p w14:paraId="51C50669"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E93D020" w14:textId="77777777" w:rsidR="006605C9" w:rsidRPr="002860E2" w:rsidRDefault="006605C9" w:rsidP="00A4650C">
            <w:pPr>
              <w:contextualSpacing/>
              <w:rPr>
                <w:rFonts w:asciiTheme="minorHAnsi" w:hAnsiTheme="minorHAnsi"/>
                <w:sz w:val="20"/>
                <w:szCs w:val="20"/>
              </w:rPr>
            </w:pPr>
          </w:p>
        </w:tc>
      </w:tr>
      <w:tr w:rsidR="006605C9" w:rsidRPr="002860E2" w14:paraId="4E717D05" w14:textId="77777777" w:rsidTr="002657F2">
        <w:trPr>
          <w:cantSplit/>
        </w:trPr>
        <w:tc>
          <w:tcPr>
            <w:tcW w:w="675" w:type="dxa"/>
          </w:tcPr>
          <w:p w14:paraId="4D1D7C05" w14:textId="77777777" w:rsidR="006605C9" w:rsidRPr="002860E2" w:rsidRDefault="006605C9" w:rsidP="003D1561">
            <w:pPr>
              <w:numPr>
                <w:ilvl w:val="0"/>
                <w:numId w:val="1"/>
              </w:numPr>
              <w:contextualSpacing/>
              <w:rPr>
                <w:rFonts w:asciiTheme="minorHAnsi" w:hAnsiTheme="minorHAnsi"/>
                <w:b/>
                <w:sz w:val="20"/>
                <w:szCs w:val="20"/>
              </w:rPr>
            </w:pPr>
          </w:p>
        </w:tc>
        <w:tc>
          <w:tcPr>
            <w:tcW w:w="8055" w:type="dxa"/>
          </w:tcPr>
          <w:p w14:paraId="7B322DAA" w14:textId="77777777" w:rsidR="006605C9"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None, except where the transfer is necessary and reasonable--see rationale below.</w:t>
            </w:r>
          </w:p>
          <w:p w14:paraId="04C60FE1" w14:textId="77777777" w:rsidR="00355922" w:rsidRDefault="00355922" w:rsidP="00A4650C">
            <w:pPr>
              <w:pStyle w:val="ColorfulList-Accent11"/>
              <w:ind w:left="0"/>
              <w:rPr>
                <w:rFonts w:asciiTheme="minorHAnsi" w:hAnsiTheme="minorHAnsi"/>
                <w:sz w:val="20"/>
                <w:szCs w:val="20"/>
              </w:rPr>
            </w:pPr>
          </w:p>
          <w:p w14:paraId="7F2BB05E" w14:textId="0A88C296" w:rsidR="00355922" w:rsidRPr="002860E2"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Rationale: "Personal Data Transfer to a Registry - ICANN’s continuing requirement that registrars transmit all data collected to the relevant registry is counter to the GDPR’s principle of use of data only when a legitimate legal basis applies .... " read more at https://www.epag.de/en/tucows-statement-on-icann-legal-action/</w:t>
            </w:r>
          </w:p>
        </w:tc>
        <w:tc>
          <w:tcPr>
            <w:tcW w:w="2700" w:type="dxa"/>
          </w:tcPr>
          <w:p w14:paraId="4A19FD36" w14:textId="3F16F53E" w:rsidR="006605C9" w:rsidRPr="002860E2" w:rsidRDefault="00355922" w:rsidP="00A4650C">
            <w:pPr>
              <w:contextualSpacing/>
              <w:rPr>
                <w:rFonts w:asciiTheme="minorHAnsi" w:hAnsiTheme="minorHAnsi"/>
                <w:sz w:val="20"/>
                <w:szCs w:val="20"/>
              </w:rPr>
            </w:pPr>
            <w:r w:rsidRPr="00355922">
              <w:rPr>
                <w:rFonts w:asciiTheme="minorHAnsi" w:hAnsiTheme="minorHAnsi"/>
                <w:sz w:val="20"/>
                <w:szCs w:val="20"/>
              </w:rPr>
              <w:t>John Poole; Domain Name Registrant</w:t>
            </w:r>
          </w:p>
        </w:tc>
        <w:tc>
          <w:tcPr>
            <w:tcW w:w="3960" w:type="dxa"/>
          </w:tcPr>
          <w:p w14:paraId="6213CC38"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2C8E64C0"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DBBDC82"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B07615C"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52EE342" w14:textId="77777777" w:rsidR="00E754E3" w:rsidRPr="002860E2" w:rsidRDefault="00E754E3" w:rsidP="00E754E3">
            <w:pPr>
              <w:contextualSpacing/>
              <w:rPr>
                <w:rFonts w:asciiTheme="minorHAnsi" w:hAnsiTheme="minorHAnsi"/>
                <w:sz w:val="20"/>
                <w:szCs w:val="20"/>
              </w:rPr>
            </w:pPr>
          </w:p>
          <w:p w14:paraId="32D136D7"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F31A41C" w14:textId="77777777" w:rsidR="006605C9" w:rsidRPr="002860E2" w:rsidRDefault="006605C9" w:rsidP="00A4650C">
            <w:pPr>
              <w:contextualSpacing/>
              <w:rPr>
                <w:rFonts w:asciiTheme="minorHAnsi" w:hAnsiTheme="minorHAnsi"/>
                <w:sz w:val="20"/>
                <w:szCs w:val="20"/>
              </w:rPr>
            </w:pPr>
          </w:p>
        </w:tc>
      </w:tr>
      <w:tr w:rsidR="006605C9" w:rsidRPr="002860E2" w14:paraId="43F384FF" w14:textId="77777777" w:rsidTr="002657F2">
        <w:trPr>
          <w:cantSplit/>
        </w:trPr>
        <w:tc>
          <w:tcPr>
            <w:tcW w:w="675" w:type="dxa"/>
          </w:tcPr>
          <w:p w14:paraId="72D60127" w14:textId="77777777" w:rsidR="006605C9" w:rsidRPr="002860E2" w:rsidRDefault="006605C9" w:rsidP="003D1561">
            <w:pPr>
              <w:numPr>
                <w:ilvl w:val="0"/>
                <w:numId w:val="1"/>
              </w:numPr>
              <w:contextualSpacing/>
              <w:rPr>
                <w:rFonts w:asciiTheme="minorHAnsi" w:hAnsiTheme="minorHAnsi"/>
                <w:b/>
                <w:sz w:val="20"/>
                <w:szCs w:val="20"/>
              </w:rPr>
            </w:pPr>
          </w:p>
        </w:tc>
        <w:tc>
          <w:tcPr>
            <w:tcW w:w="8055" w:type="dxa"/>
          </w:tcPr>
          <w:p w14:paraId="7E32380E" w14:textId="77777777" w:rsidR="006605C9"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No personal or sensitive data elements should be transmitted from registrar to registry.</w:t>
            </w:r>
          </w:p>
          <w:p w14:paraId="1DB3F9C5" w14:textId="77777777" w:rsidR="00355922" w:rsidRDefault="00355922" w:rsidP="00A4650C">
            <w:pPr>
              <w:pStyle w:val="ColorfulList-Accent11"/>
              <w:ind w:left="0"/>
              <w:rPr>
                <w:rFonts w:asciiTheme="minorHAnsi" w:hAnsiTheme="minorHAnsi"/>
                <w:sz w:val="20"/>
                <w:szCs w:val="20"/>
              </w:rPr>
            </w:pPr>
          </w:p>
          <w:p w14:paraId="1C81C559" w14:textId="77777777" w:rsidR="00355922" w:rsidRPr="00355922" w:rsidRDefault="00355922" w:rsidP="00355922">
            <w:pPr>
              <w:pStyle w:val="ColorfulList-Accent11"/>
              <w:ind w:left="30"/>
              <w:rPr>
                <w:rFonts w:asciiTheme="minorHAnsi" w:hAnsiTheme="minorHAnsi"/>
                <w:sz w:val="20"/>
                <w:szCs w:val="20"/>
              </w:rPr>
            </w:pPr>
            <w:r w:rsidRPr="00355922">
              <w:rPr>
                <w:rFonts w:asciiTheme="minorHAnsi" w:hAnsiTheme="minorHAnsi"/>
                <w:sz w:val="20"/>
                <w:szCs w:val="20"/>
              </w:rPr>
              <w:t xml:space="preserve">No, these data elements should not be transferred from gTLD registrar to gTLD registry.  The registries of ICANN are expressly not required to be in countries of the EU or countries declared “adequate” by the Data Protection Commissioners, and we have seen many new gTLD registries incorporated in countries which do not have comprehensive data protection laws (and do have strong laws requiring shared of data with law enforcement), including the US. </w:t>
            </w:r>
          </w:p>
          <w:p w14:paraId="16F73B4B" w14:textId="679D6EE3" w:rsidR="00355922" w:rsidRPr="002860E2" w:rsidRDefault="00355922" w:rsidP="00A4650C">
            <w:pPr>
              <w:pStyle w:val="ColorfulList-Accent11"/>
              <w:ind w:left="0"/>
              <w:rPr>
                <w:rFonts w:asciiTheme="minorHAnsi" w:hAnsiTheme="minorHAnsi"/>
                <w:sz w:val="20"/>
                <w:szCs w:val="20"/>
              </w:rPr>
            </w:pPr>
          </w:p>
        </w:tc>
        <w:tc>
          <w:tcPr>
            <w:tcW w:w="2700" w:type="dxa"/>
          </w:tcPr>
          <w:p w14:paraId="25AA651E" w14:textId="51BC59E5" w:rsidR="006605C9" w:rsidRPr="002860E2" w:rsidRDefault="00355922" w:rsidP="00A4650C">
            <w:pPr>
              <w:contextualSpacing/>
              <w:rPr>
                <w:rFonts w:asciiTheme="minorHAnsi" w:hAnsiTheme="minorHAnsi"/>
                <w:sz w:val="20"/>
                <w:szCs w:val="20"/>
              </w:rPr>
            </w:pPr>
            <w:r w:rsidRPr="00355922">
              <w:rPr>
                <w:rFonts w:asciiTheme="minorHAnsi" w:hAnsiTheme="minorHAnsi"/>
                <w:sz w:val="20"/>
                <w:szCs w:val="20"/>
              </w:rPr>
              <w:t>A. Mark Massey; Domain Name Rights Coalition</w:t>
            </w:r>
          </w:p>
        </w:tc>
        <w:tc>
          <w:tcPr>
            <w:tcW w:w="3960" w:type="dxa"/>
          </w:tcPr>
          <w:p w14:paraId="14F60492"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3D1A1242"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C3B30D0"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CC764C"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FE3408A" w14:textId="77777777" w:rsidR="00E754E3" w:rsidRPr="002860E2" w:rsidRDefault="00E754E3" w:rsidP="00E754E3">
            <w:pPr>
              <w:contextualSpacing/>
              <w:rPr>
                <w:rFonts w:asciiTheme="minorHAnsi" w:hAnsiTheme="minorHAnsi"/>
                <w:sz w:val="20"/>
                <w:szCs w:val="20"/>
              </w:rPr>
            </w:pPr>
          </w:p>
          <w:p w14:paraId="0C2FBC96"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E6280CA" w14:textId="77777777" w:rsidR="006605C9" w:rsidRPr="002860E2" w:rsidRDefault="006605C9" w:rsidP="00A4650C">
            <w:pPr>
              <w:contextualSpacing/>
              <w:rPr>
                <w:rFonts w:asciiTheme="minorHAnsi" w:hAnsiTheme="minorHAnsi"/>
                <w:sz w:val="20"/>
                <w:szCs w:val="20"/>
              </w:rPr>
            </w:pPr>
          </w:p>
        </w:tc>
      </w:tr>
      <w:tr w:rsidR="00E754E3" w:rsidRPr="002860E2" w14:paraId="0206FD54" w14:textId="77777777" w:rsidTr="002657F2">
        <w:trPr>
          <w:cantSplit/>
        </w:trPr>
        <w:tc>
          <w:tcPr>
            <w:tcW w:w="675" w:type="dxa"/>
          </w:tcPr>
          <w:p w14:paraId="70420CA4" w14:textId="77777777" w:rsidR="00E754E3" w:rsidRPr="002860E2" w:rsidRDefault="00E754E3" w:rsidP="003D1561">
            <w:pPr>
              <w:numPr>
                <w:ilvl w:val="0"/>
                <w:numId w:val="1"/>
              </w:numPr>
              <w:contextualSpacing/>
              <w:rPr>
                <w:rFonts w:asciiTheme="minorHAnsi" w:hAnsiTheme="minorHAnsi"/>
                <w:b/>
                <w:sz w:val="20"/>
                <w:szCs w:val="20"/>
              </w:rPr>
            </w:pPr>
          </w:p>
        </w:tc>
        <w:tc>
          <w:tcPr>
            <w:tcW w:w="8055" w:type="dxa"/>
          </w:tcPr>
          <w:p w14:paraId="7DE3F681" w14:textId="77777777" w:rsidR="00355922" w:rsidRDefault="00355922" w:rsidP="00355922">
            <w:pPr>
              <w:pStyle w:val="ColorfulList-Accent11"/>
              <w:ind w:left="0"/>
              <w:rPr>
                <w:rFonts w:asciiTheme="minorHAnsi" w:hAnsiTheme="minorHAnsi"/>
                <w:sz w:val="20"/>
                <w:szCs w:val="20"/>
              </w:rPr>
            </w:pPr>
            <w:r w:rsidRPr="00355922">
              <w:rPr>
                <w:rFonts w:asciiTheme="minorHAnsi" w:hAnsiTheme="minorHAnsi"/>
                <w:sz w:val="20"/>
                <w:szCs w:val="20"/>
              </w:rPr>
              <w:t>None of the data elements which the registrar is required to collect should be transferred to the registry operator, with the exception of any elements required to fulfill the registry’s validation requirements.</w:t>
            </w:r>
          </w:p>
          <w:p w14:paraId="41381830" w14:textId="77777777" w:rsidR="00355922" w:rsidRPr="00355922" w:rsidRDefault="00355922" w:rsidP="00355922">
            <w:pPr>
              <w:pStyle w:val="ColorfulList-Accent11"/>
              <w:ind w:left="30"/>
              <w:rPr>
                <w:rFonts w:asciiTheme="minorHAnsi" w:hAnsiTheme="minorHAnsi"/>
                <w:sz w:val="20"/>
                <w:szCs w:val="20"/>
              </w:rPr>
            </w:pPr>
          </w:p>
          <w:p w14:paraId="30EBDFE6" w14:textId="7618D165" w:rsidR="00DB59EA" w:rsidRPr="002860E2" w:rsidRDefault="00355922" w:rsidP="00355922">
            <w:pPr>
              <w:pStyle w:val="ColorfulList-Accent11"/>
              <w:ind w:left="0"/>
              <w:rPr>
                <w:rFonts w:asciiTheme="minorHAnsi" w:hAnsiTheme="minorHAnsi"/>
                <w:sz w:val="20"/>
                <w:szCs w:val="20"/>
              </w:rPr>
            </w:pPr>
            <w:r w:rsidRPr="00355922">
              <w:rPr>
                <w:rFonts w:asciiTheme="minorHAnsi" w:hAnsiTheme="minorHAnsi"/>
                <w:sz w:val="20"/>
                <w:szCs w:val="20"/>
              </w:rPr>
              <w:t>There’s no reason to transfer registration contact data to the registry, since the registrar holds the data and can identify who the RNH is. The additional optional elements may be transferred in order to fulfill the registry’s validation requirements in certain cases but need not be required per ICANN policy.</w:t>
            </w:r>
          </w:p>
        </w:tc>
        <w:tc>
          <w:tcPr>
            <w:tcW w:w="2700" w:type="dxa"/>
          </w:tcPr>
          <w:p w14:paraId="63F938D1" w14:textId="3718938D" w:rsidR="00E754E3" w:rsidRPr="002860E2" w:rsidRDefault="00355922" w:rsidP="00A4650C">
            <w:pPr>
              <w:contextualSpacing/>
              <w:rPr>
                <w:rFonts w:asciiTheme="minorHAnsi" w:hAnsiTheme="minorHAnsi"/>
                <w:sz w:val="20"/>
                <w:szCs w:val="20"/>
              </w:rPr>
            </w:pPr>
            <w:proofErr w:type="spellStart"/>
            <w:r w:rsidRPr="00355922">
              <w:rPr>
                <w:rFonts w:asciiTheme="minorHAnsi" w:hAnsiTheme="minorHAnsi"/>
                <w:sz w:val="20"/>
                <w:szCs w:val="20"/>
              </w:rPr>
              <w:t>Tucows</w:t>
            </w:r>
            <w:proofErr w:type="spellEnd"/>
            <w:r w:rsidRPr="00355922">
              <w:rPr>
                <w:rFonts w:asciiTheme="minorHAnsi" w:hAnsiTheme="minorHAnsi"/>
                <w:sz w:val="20"/>
                <w:szCs w:val="20"/>
              </w:rPr>
              <w:t xml:space="preserve"> Domains Inc.</w:t>
            </w:r>
          </w:p>
        </w:tc>
        <w:tc>
          <w:tcPr>
            <w:tcW w:w="3960" w:type="dxa"/>
          </w:tcPr>
          <w:p w14:paraId="6B05A7F4"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53092969"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1867F08"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FC4203C"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2157ED4" w14:textId="77777777" w:rsidR="00E754E3" w:rsidRPr="002860E2" w:rsidRDefault="00E754E3" w:rsidP="00E754E3">
            <w:pPr>
              <w:contextualSpacing/>
              <w:rPr>
                <w:rFonts w:asciiTheme="minorHAnsi" w:hAnsiTheme="minorHAnsi"/>
                <w:sz w:val="20"/>
                <w:szCs w:val="20"/>
              </w:rPr>
            </w:pPr>
          </w:p>
          <w:p w14:paraId="6DAF6D78"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E07885B" w14:textId="77777777"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14:paraId="3A1CFEDA" w14:textId="77777777" w:rsidTr="002657F2">
        <w:trPr>
          <w:cantSplit/>
        </w:trPr>
        <w:tc>
          <w:tcPr>
            <w:tcW w:w="675" w:type="dxa"/>
          </w:tcPr>
          <w:p w14:paraId="61313324" w14:textId="77777777" w:rsidR="00E754E3" w:rsidRPr="002860E2" w:rsidRDefault="00E754E3" w:rsidP="003D1561">
            <w:pPr>
              <w:numPr>
                <w:ilvl w:val="0"/>
                <w:numId w:val="1"/>
              </w:numPr>
              <w:contextualSpacing/>
              <w:rPr>
                <w:rFonts w:asciiTheme="minorHAnsi" w:hAnsiTheme="minorHAnsi"/>
                <w:b/>
                <w:sz w:val="20"/>
                <w:szCs w:val="20"/>
              </w:rPr>
            </w:pPr>
          </w:p>
        </w:tc>
        <w:tc>
          <w:tcPr>
            <w:tcW w:w="8055" w:type="dxa"/>
          </w:tcPr>
          <w:p w14:paraId="65D5E90C" w14:textId="5DD481EE" w:rsidR="00355922"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None of the registrant data is required by the registry. The only exception being registries with very specific policies around who can register in their TLD</w:t>
            </w:r>
          </w:p>
          <w:p w14:paraId="3C8978D4" w14:textId="00ED300A" w:rsidR="00355922" w:rsidRDefault="00355922" w:rsidP="00A4650C">
            <w:pPr>
              <w:pStyle w:val="ColorfulList-Accent11"/>
              <w:ind w:left="0"/>
              <w:rPr>
                <w:rFonts w:asciiTheme="minorHAnsi" w:hAnsiTheme="minorHAnsi"/>
                <w:sz w:val="20"/>
                <w:szCs w:val="20"/>
              </w:rPr>
            </w:pPr>
          </w:p>
          <w:p w14:paraId="2658AD00" w14:textId="33F94785" w:rsidR="00355922"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The .com registry (and others) work just fine without having any of the registrant data. All they need is the nameservers, registrar and other fundamental technical data. ICANN is meant to co-ordinate technical identifiers, not act as some goldmine for data collection and mining.</w:t>
            </w:r>
          </w:p>
          <w:p w14:paraId="3783CBB1" w14:textId="6F7F7682" w:rsidR="00355922" w:rsidRPr="002860E2" w:rsidRDefault="00355922" w:rsidP="00A4650C">
            <w:pPr>
              <w:pStyle w:val="ColorfulList-Accent11"/>
              <w:ind w:left="0"/>
              <w:rPr>
                <w:rFonts w:asciiTheme="minorHAnsi" w:hAnsiTheme="minorHAnsi"/>
                <w:sz w:val="20"/>
                <w:szCs w:val="20"/>
              </w:rPr>
            </w:pPr>
          </w:p>
        </w:tc>
        <w:tc>
          <w:tcPr>
            <w:tcW w:w="2700" w:type="dxa"/>
          </w:tcPr>
          <w:p w14:paraId="562A0716" w14:textId="3C157059" w:rsidR="00E754E3" w:rsidRPr="002860E2" w:rsidRDefault="00355922" w:rsidP="00A4650C">
            <w:pPr>
              <w:contextualSpacing/>
              <w:rPr>
                <w:rFonts w:asciiTheme="minorHAnsi" w:hAnsiTheme="minorHAnsi"/>
                <w:sz w:val="20"/>
                <w:szCs w:val="20"/>
              </w:rPr>
            </w:pPr>
            <w:r w:rsidRPr="00355922">
              <w:rPr>
                <w:rFonts w:asciiTheme="minorHAnsi" w:hAnsiTheme="minorHAnsi"/>
                <w:sz w:val="20"/>
                <w:szCs w:val="20"/>
              </w:rPr>
              <w:t>Michele Neylon; Blacknight Internet Solutions Ltd</w:t>
            </w:r>
          </w:p>
        </w:tc>
        <w:tc>
          <w:tcPr>
            <w:tcW w:w="3960" w:type="dxa"/>
          </w:tcPr>
          <w:p w14:paraId="255EC344"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3F75CD3D"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54F6638"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21129A3"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777545E" w14:textId="77777777" w:rsidR="00E754E3" w:rsidRPr="002860E2" w:rsidRDefault="00E754E3" w:rsidP="00E754E3">
            <w:pPr>
              <w:contextualSpacing/>
              <w:rPr>
                <w:rFonts w:asciiTheme="minorHAnsi" w:hAnsiTheme="minorHAnsi"/>
                <w:sz w:val="20"/>
                <w:szCs w:val="20"/>
              </w:rPr>
            </w:pPr>
          </w:p>
          <w:p w14:paraId="57EC6141"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25BE2EA" w14:textId="77777777"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14:paraId="0C5FA856" w14:textId="77777777" w:rsidTr="002657F2">
        <w:trPr>
          <w:cantSplit/>
        </w:trPr>
        <w:tc>
          <w:tcPr>
            <w:tcW w:w="675" w:type="dxa"/>
          </w:tcPr>
          <w:p w14:paraId="0569D4DB" w14:textId="77777777" w:rsidR="00E754E3" w:rsidRPr="002860E2" w:rsidRDefault="00E754E3" w:rsidP="003D1561">
            <w:pPr>
              <w:numPr>
                <w:ilvl w:val="0"/>
                <w:numId w:val="1"/>
              </w:numPr>
              <w:contextualSpacing/>
              <w:rPr>
                <w:rFonts w:asciiTheme="minorHAnsi" w:hAnsiTheme="minorHAnsi"/>
                <w:b/>
                <w:sz w:val="20"/>
                <w:szCs w:val="20"/>
              </w:rPr>
            </w:pPr>
          </w:p>
        </w:tc>
        <w:tc>
          <w:tcPr>
            <w:tcW w:w="8055" w:type="dxa"/>
          </w:tcPr>
          <w:p w14:paraId="6D27C324" w14:textId="77777777" w:rsidR="00DB59EA" w:rsidRDefault="00355922" w:rsidP="00DB59EA">
            <w:pPr>
              <w:pStyle w:val="ColorfulList-Accent11"/>
              <w:ind w:left="27"/>
              <w:rPr>
                <w:rFonts w:asciiTheme="minorHAnsi" w:hAnsiTheme="minorHAnsi"/>
                <w:sz w:val="20"/>
                <w:szCs w:val="20"/>
              </w:rPr>
            </w:pPr>
            <w:r w:rsidRPr="00355922">
              <w:rPr>
                <w:rFonts w:asciiTheme="minorHAnsi" w:hAnsiTheme="minorHAnsi"/>
                <w:sz w:val="20"/>
                <w:szCs w:val="20"/>
              </w:rPr>
              <w:t>All contact records that are currently redacted under the Temp Spec.</w:t>
            </w:r>
          </w:p>
          <w:p w14:paraId="345E7116" w14:textId="77777777" w:rsidR="00355922" w:rsidRDefault="00355922" w:rsidP="00DB59EA">
            <w:pPr>
              <w:pStyle w:val="ColorfulList-Accent11"/>
              <w:ind w:left="27"/>
              <w:rPr>
                <w:rFonts w:asciiTheme="minorHAnsi" w:hAnsiTheme="minorHAnsi"/>
                <w:sz w:val="20"/>
                <w:szCs w:val="20"/>
              </w:rPr>
            </w:pPr>
          </w:p>
          <w:p w14:paraId="48177900" w14:textId="1D994482" w:rsidR="00355922" w:rsidRPr="002860E2" w:rsidRDefault="00355922" w:rsidP="00DB59EA">
            <w:pPr>
              <w:pStyle w:val="ColorfulList-Accent11"/>
              <w:ind w:left="27"/>
              <w:rPr>
                <w:rFonts w:asciiTheme="minorHAnsi" w:hAnsiTheme="minorHAnsi"/>
                <w:sz w:val="20"/>
                <w:szCs w:val="20"/>
              </w:rPr>
            </w:pPr>
            <w:r w:rsidRPr="00355922">
              <w:rPr>
                <w:rFonts w:asciiTheme="minorHAnsi" w:hAnsiTheme="minorHAnsi"/>
                <w:sz w:val="20"/>
                <w:szCs w:val="20"/>
              </w:rPr>
              <w:t>Registries have not demonstrated that they need full WHOIS data for the DNS to function.  Furthermore, they have not provided the legal justification for their potential use of this data that is not already covered by other purposes.  If and when these conditions are satisfied, we are not opposed to sharing this data with registries.</w:t>
            </w:r>
          </w:p>
        </w:tc>
        <w:tc>
          <w:tcPr>
            <w:tcW w:w="2700" w:type="dxa"/>
          </w:tcPr>
          <w:p w14:paraId="4789CB9E" w14:textId="64078EE7" w:rsidR="00E754E3" w:rsidRPr="002860E2" w:rsidRDefault="00355922" w:rsidP="00A4650C">
            <w:pPr>
              <w:contextualSpacing/>
              <w:rPr>
                <w:rFonts w:asciiTheme="minorHAnsi" w:hAnsiTheme="minorHAnsi"/>
                <w:sz w:val="20"/>
                <w:szCs w:val="20"/>
              </w:rPr>
            </w:pPr>
            <w:r w:rsidRPr="00355922">
              <w:rPr>
                <w:rFonts w:asciiTheme="minorHAnsi" w:hAnsiTheme="minorHAnsi"/>
                <w:sz w:val="20"/>
                <w:szCs w:val="20"/>
              </w:rPr>
              <w:t xml:space="preserve">Sara </w:t>
            </w:r>
            <w:proofErr w:type="spellStart"/>
            <w:r w:rsidRPr="00355922">
              <w:rPr>
                <w:rFonts w:asciiTheme="minorHAnsi" w:hAnsiTheme="minorHAnsi"/>
                <w:sz w:val="20"/>
                <w:szCs w:val="20"/>
              </w:rPr>
              <w:t>Bockey</w:t>
            </w:r>
            <w:proofErr w:type="spellEnd"/>
            <w:r w:rsidRPr="00355922">
              <w:rPr>
                <w:rFonts w:asciiTheme="minorHAnsi" w:hAnsiTheme="minorHAnsi"/>
                <w:sz w:val="20"/>
                <w:szCs w:val="20"/>
              </w:rPr>
              <w:t>; GoDaddy</w:t>
            </w:r>
          </w:p>
        </w:tc>
        <w:tc>
          <w:tcPr>
            <w:tcW w:w="3960" w:type="dxa"/>
          </w:tcPr>
          <w:p w14:paraId="0C554558"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3E51E562"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6D9C514"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B6A805C"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FCB1912" w14:textId="77777777" w:rsidR="00E754E3" w:rsidRPr="002860E2" w:rsidRDefault="00E754E3" w:rsidP="00E754E3">
            <w:pPr>
              <w:contextualSpacing/>
              <w:rPr>
                <w:rFonts w:asciiTheme="minorHAnsi" w:hAnsiTheme="minorHAnsi"/>
                <w:sz w:val="20"/>
                <w:szCs w:val="20"/>
              </w:rPr>
            </w:pPr>
          </w:p>
          <w:p w14:paraId="3D8DA49A"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DF07258" w14:textId="77777777"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14:paraId="608440BF" w14:textId="77777777" w:rsidTr="002657F2">
        <w:trPr>
          <w:cantSplit/>
        </w:trPr>
        <w:tc>
          <w:tcPr>
            <w:tcW w:w="675" w:type="dxa"/>
          </w:tcPr>
          <w:p w14:paraId="4CC9A337" w14:textId="77777777" w:rsidR="00E754E3" w:rsidRPr="002860E2" w:rsidRDefault="00E754E3" w:rsidP="003D1561">
            <w:pPr>
              <w:numPr>
                <w:ilvl w:val="0"/>
                <w:numId w:val="1"/>
              </w:numPr>
              <w:contextualSpacing/>
              <w:rPr>
                <w:rFonts w:asciiTheme="minorHAnsi" w:hAnsiTheme="minorHAnsi"/>
                <w:b/>
                <w:sz w:val="20"/>
                <w:szCs w:val="20"/>
              </w:rPr>
            </w:pPr>
          </w:p>
        </w:tc>
        <w:tc>
          <w:tcPr>
            <w:tcW w:w="8055" w:type="dxa"/>
          </w:tcPr>
          <w:p w14:paraId="031E736A" w14:textId="77777777" w:rsidR="00DB59EA" w:rsidRDefault="00355922" w:rsidP="00DB59EA">
            <w:pPr>
              <w:pStyle w:val="ColorfulList-Accent11"/>
              <w:ind w:left="0"/>
              <w:rPr>
                <w:rFonts w:asciiTheme="minorHAnsi" w:hAnsiTheme="minorHAnsi"/>
                <w:sz w:val="20"/>
                <w:szCs w:val="20"/>
              </w:rPr>
            </w:pPr>
            <w:r w:rsidRPr="00355922">
              <w:rPr>
                <w:rFonts w:asciiTheme="minorHAnsi" w:hAnsiTheme="minorHAnsi"/>
                <w:sz w:val="20"/>
                <w:szCs w:val="20"/>
              </w:rPr>
              <w:t>Only those elements where a valid purpose of Ry exists and a valid data controller-processor agreement is in place. For such transfers, Ry is sole controller, Rr is processor of transferred data.</w:t>
            </w:r>
          </w:p>
          <w:p w14:paraId="6B31DBDC" w14:textId="77777777" w:rsidR="00355922" w:rsidRDefault="00355922" w:rsidP="00DB59EA">
            <w:pPr>
              <w:pStyle w:val="ColorfulList-Accent11"/>
              <w:ind w:left="0"/>
              <w:rPr>
                <w:rFonts w:asciiTheme="minorHAnsi" w:hAnsiTheme="minorHAnsi"/>
                <w:sz w:val="20"/>
                <w:szCs w:val="20"/>
              </w:rPr>
            </w:pPr>
          </w:p>
          <w:p w14:paraId="6E8742C1" w14:textId="73310AAB" w:rsidR="00355922" w:rsidRPr="002860E2" w:rsidRDefault="00355922" w:rsidP="00DB59EA">
            <w:pPr>
              <w:pStyle w:val="ColorfulList-Accent11"/>
              <w:ind w:left="0"/>
              <w:rPr>
                <w:rFonts w:asciiTheme="minorHAnsi" w:hAnsiTheme="minorHAnsi"/>
                <w:sz w:val="20"/>
                <w:szCs w:val="20"/>
              </w:rPr>
            </w:pPr>
            <w:r w:rsidRPr="00355922">
              <w:rPr>
                <w:rFonts w:asciiTheme="minorHAnsi" w:hAnsiTheme="minorHAnsi"/>
                <w:sz w:val="20"/>
                <w:szCs w:val="20"/>
              </w:rPr>
              <w:t>Data transfers should only occur for valid purposes, not on general principle. Any transfer must meet the requirements for international transfer of personal data applicable to either party.</w:t>
            </w:r>
          </w:p>
        </w:tc>
        <w:tc>
          <w:tcPr>
            <w:tcW w:w="2700" w:type="dxa"/>
          </w:tcPr>
          <w:p w14:paraId="5618D4C8" w14:textId="142AD097" w:rsidR="00E754E3" w:rsidRPr="002860E2" w:rsidRDefault="00355922" w:rsidP="00A4650C">
            <w:pPr>
              <w:contextualSpacing/>
              <w:rPr>
                <w:rFonts w:asciiTheme="minorHAnsi" w:hAnsiTheme="minorHAnsi"/>
                <w:sz w:val="20"/>
                <w:szCs w:val="20"/>
              </w:rPr>
            </w:pPr>
            <w:r w:rsidRPr="00355922">
              <w:rPr>
                <w:rFonts w:asciiTheme="minorHAnsi" w:hAnsiTheme="minorHAnsi"/>
                <w:sz w:val="20"/>
                <w:szCs w:val="20"/>
              </w:rPr>
              <w:t xml:space="preserve">Volker </w:t>
            </w:r>
            <w:proofErr w:type="spellStart"/>
            <w:r w:rsidRPr="00355922">
              <w:rPr>
                <w:rFonts w:asciiTheme="minorHAnsi" w:hAnsiTheme="minorHAnsi"/>
                <w:sz w:val="20"/>
                <w:szCs w:val="20"/>
              </w:rPr>
              <w:t>Greimann</w:t>
            </w:r>
            <w:proofErr w:type="spellEnd"/>
            <w:r w:rsidRPr="00355922">
              <w:rPr>
                <w:rFonts w:asciiTheme="minorHAnsi" w:hAnsiTheme="minorHAnsi"/>
                <w:sz w:val="20"/>
                <w:szCs w:val="20"/>
              </w:rPr>
              <w:t>; Key-Systems GmbH</w:t>
            </w:r>
          </w:p>
        </w:tc>
        <w:tc>
          <w:tcPr>
            <w:tcW w:w="3960" w:type="dxa"/>
          </w:tcPr>
          <w:p w14:paraId="11A7E170"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708044ED"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3E11DA1"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E3A61C2"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0C53920" w14:textId="77777777" w:rsidR="00E754E3" w:rsidRPr="002860E2" w:rsidRDefault="00E754E3" w:rsidP="00E754E3">
            <w:pPr>
              <w:contextualSpacing/>
              <w:rPr>
                <w:rFonts w:asciiTheme="minorHAnsi" w:hAnsiTheme="minorHAnsi"/>
                <w:sz w:val="20"/>
                <w:szCs w:val="20"/>
              </w:rPr>
            </w:pPr>
          </w:p>
          <w:p w14:paraId="392D5EF6"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CA0D125" w14:textId="77777777"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14:paraId="09BB92E4" w14:textId="77777777" w:rsidTr="002657F2">
        <w:trPr>
          <w:cantSplit/>
        </w:trPr>
        <w:tc>
          <w:tcPr>
            <w:tcW w:w="675" w:type="dxa"/>
          </w:tcPr>
          <w:p w14:paraId="4CB4C417" w14:textId="77777777" w:rsidR="00E754E3" w:rsidRPr="002860E2" w:rsidRDefault="00E754E3" w:rsidP="003D1561">
            <w:pPr>
              <w:numPr>
                <w:ilvl w:val="0"/>
                <w:numId w:val="1"/>
              </w:numPr>
              <w:contextualSpacing/>
              <w:rPr>
                <w:rFonts w:asciiTheme="minorHAnsi" w:hAnsiTheme="minorHAnsi"/>
                <w:b/>
                <w:sz w:val="20"/>
                <w:szCs w:val="20"/>
              </w:rPr>
            </w:pPr>
          </w:p>
        </w:tc>
        <w:tc>
          <w:tcPr>
            <w:tcW w:w="8055" w:type="dxa"/>
          </w:tcPr>
          <w:p w14:paraId="5EA65F9A" w14:textId="77777777" w:rsidR="00DB59EA"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Registries must provide legal justification/purpose for receiving personal data.  Simply wanting the data is not sufficient.  If the requirements are met, and there is a data protection addendum or other similar contractual protections in place, we would be happy to share the personal data. Transfer of data from registrar to registry would also expose that data to access requirements that may be unlawful in the jurisdiction that the registrar is based.</w:t>
            </w:r>
          </w:p>
          <w:p w14:paraId="55AA7857" w14:textId="77777777" w:rsidR="00355922" w:rsidRDefault="00355922" w:rsidP="00A4650C">
            <w:pPr>
              <w:pStyle w:val="ColorfulList-Accent11"/>
              <w:ind w:left="0"/>
              <w:rPr>
                <w:rFonts w:asciiTheme="minorHAnsi" w:hAnsiTheme="minorHAnsi"/>
                <w:sz w:val="20"/>
                <w:szCs w:val="20"/>
              </w:rPr>
            </w:pPr>
          </w:p>
          <w:p w14:paraId="4DD384FD" w14:textId="2FAE882A" w:rsidR="00355922" w:rsidRPr="002860E2" w:rsidRDefault="00355922" w:rsidP="00A4650C">
            <w:pPr>
              <w:pStyle w:val="ColorfulList-Accent11"/>
              <w:ind w:left="0"/>
              <w:rPr>
                <w:rFonts w:asciiTheme="minorHAnsi" w:hAnsiTheme="minorHAnsi"/>
                <w:sz w:val="20"/>
                <w:szCs w:val="20"/>
              </w:rPr>
            </w:pPr>
          </w:p>
        </w:tc>
        <w:tc>
          <w:tcPr>
            <w:tcW w:w="2700" w:type="dxa"/>
          </w:tcPr>
          <w:p w14:paraId="46A1C78F" w14:textId="36C48572" w:rsidR="00E754E3" w:rsidRPr="002860E2" w:rsidRDefault="00355922" w:rsidP="00A4650C">
            <w:pPr>
              <w:contextualSpacing/>
              <w:rPr>
                <w:rFonts w:asciiTheme="minorHAnsi" w:hAnsiTheme="minorHAnsi"/>
                <w:sz w:val="20"/>
                <w:szCs w:val="20"/>
              </w:rPr>
            </w:pPr>
            <w:r w:rsidRPr="00355922">
              <w:rPr>
                <w:rFonts w:asciiTheme="minorHAnsi" w:hAnsiTheme="minorHAnsi"/>
                <w:sz w:val="20"/>
                <w:szCs w:val="20"/>
              </w:rPr>
              <w:t xml:space="preserve">Zoe Bonython; </w:t>
            </w:r>
            <w:proofErr w:type="spellStart"/>
            <w:r w:rsidRPr="00355922">
              <w:rPr>
                <w:rFonts w:asciiTheme="minorHAnsi" w:hAnsiTheme="minorHAnsi"/>
                <w:sz w:val="20"/>
                <w:szCs w:val="20"/>
              </w:rPr>
              <w:t>RrSG</w:t>
            </w:r>
            <w:proofErr w:type="spellEnd"/>
          </w:p>
        </w:tc>
        <w:tc>
          <w:tcPr>
            <w:tcW w:w="3960" w:type="dxa"/>
          </w:tcPr>
          <w:p w14:paraId="47719722"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6BBFD98D"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A09ED22" w14:textId="77777777"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9DB1562" w14:textId="77777777"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4D016E2" w14:textId="77777777" w:rsidR="00E754E3" w:rsidRPr="002860E2" w:rsidRDefault="00E754E3" w:rsidP="00E754E3">
            <w:pPr>
              <w:contextualSpacing/>
              <w:rPr>
                <w:rFonts w:asciiTheme="minorHAnsi" w:hAnsiTheme="minorHAnsi"/>
                <w:sz w:val="20"/>
                <w:szCs w:val="20"/>
              </w:rPr>
            </w:pPr>
          </w:p>
          <w:p w14:paraId="4E0AC47A" w14:textId="77777777"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E205723" w14:textId="77777777"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55922" w:rsidRPr="002860E2" w14:paraId="3591151A" w14:textId="77777777" w:rsidTr="002657F2">
        <w:trPr>
          <w:cantSplit/>
        </w:trPr>
        <w:tc>
          <w:tcPr>
            <w:tcW w:w="675" w:type="dxa"/>
          </w:tcPr>
          <w:p w14:paraId="55396BEF" w14:textId="77777777" w:rsidR="00355922" w:rsidRPr="002860E2" w:rsidRDefault="00355922" w:rsidP="003D1561">
            <w:pPr>
              <w:numPr>
                <w:ilvl w:val="0"/>
                <w:numId w:val="1"/>
              </w:numPr>
              <w:contextualSpacing/>
              <w:rPr>
                <w:rFonts w:asciiTheme="minorHAnsi" w:hAnsiTheme="minorHAnsi"/>
                <w:b/>
                <w:sz w:val="20"/>
                <w:szCs w:val="20"/>
              </w:rPr>
            </w:pPr>
          </w:p>
        </w:tc>
        <w:tc>
          <w:tcPr>
            <w:tcW w:w="8055" w:type="dxa"/>
          </w:tcPr>
          <w:p w14:paraId="16D582D7" w14:textId="77777777" w:rsidR="00355922"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 xml:space="preserve">The </w:t>
            </w:r>
            <w:proofErr w:type="spellStart"/>
            <w:r w:rsidRPr="00355922">
              <w:rPr>
                <w:rFonts w:asciiTheme="minorHAnsi" w:hAnsiTheme="minorHAnsi"/>
                <w:sz w:val="20"/>
                <w:szCs w:val="20"/>
              </w:rPr>
              <w:t>RySG</w:t>
            </w:r>
            <w:proofErr w:type="spellEnd"/>
            <w:r w:rsidRPr="00355922">
              <w:rPr>
                <w:rFonts w:asciiTheme="minorHAnsi" w:hAnsiTheme="minorHAnsi"/>
                <w:sz w:val="20"/>
                <w:szCs w:val="20"/>
              </w:rPr>
              <w:t xml:space="preserve"> notes that the EPDP Team did not engage in a thorough discussion about the individual data elements that are required to be transferred from the registrar to the registry to fulfill the identified Purposes. The </w:t>
            </w:r>
            <w:proofErr w:type="spellStart"/>
            <w:r w:rsidRPr="00355922">
              <w:rPr>
                <w:rFonts w:asciiTheme="minorHAnsi" w:hAnsiTheme="minorHAnsi"/>
                <w:sz w:val="20"/>
                <w:szCs w:val="20"/>
              </w:rPr>
              <w:t>RySG</w:t>
            </w:r>
            <w:proofErr w:type="spellEnd"/>
            <w:r w:rsidRPr="00355922">
              <w:rPr>
                <w:rFonts w:asciiTheme="minorHAnsi" w:hAnsiTheme="minorHAnsi"/>
                <w:sz w:val="20"/>
                <w:szCs w:val="20"/>
              </w:rPr>
              <w:t xml:space="preserve"> defers comment on this recommendation, pending EPDP WG discussion and analysis of all individual data elements identified in Preliminary Recommendation 5.</w:t>
            </w:r>
          </w:p>
          <w:p w14:paraId="313B9F14" w14:textId="77777777" w:rsidR="00355922" w:rsidRDefault="00355922" w:rsidP="00A4650C">
            <w:pPr>
              <w:pStyle w:val="ColorfulList-Accent11"/>
              <w:ind w:left="0"/>
              <w:rPr>
                <w:rFonts w:asciiTheme="minorHAnsi" w:hAnsiTheme="minorHAnsi"/>
                <w:sz w:val="20"/>
                <w:szCs w:val="20"/>
              </w:rPr>
            </w:pPr>
          </w:p>
          <w:p w14:paraId="16EE9ECC" w14:textId="1C2271F0" w:rsidR="00355922" w:rsidRPr="00355922" w:rsidRDefault="00355922" w:rsidP="00A4650C">
            <w:pPr>
              <w:pStyle w:val="ColorfulList-Accent11"/>
              <w:ind w:left="0"/>
              <w:rPr>
                <w:rFonts w:asciiTheme="minorHAnsi" w:hAnsiTheme="minorHAnsi"/>
                <w:sz w:val="20"/>
                <w:szCs w:val="20"/>
              </w:rPr>
            </w:pPr>
            <w:r w:rsidRPr="00355922">
              <w:rPr>
                <w:rFonts w:asciiTheme="minorHAnsi" w:hAnsiTheme="minorHAnsi"/>
                <w:sz w:val="20"/>
                <w:szCs w:val="20"/>
              </w:rPr>
              <w:t xml:space="preserve">The EPDP Team did not specifically discuss and analyze each of the individual data elements identified in Preliminary Recommendation 5. It must do so, and revise the recommendation as appropriate. The </w:t>
            </w:r>
            <w:proofErr w:type="spellStart"/>
            <w:r w:rsidRPr="00355922">
              <w:rPr>
                <w:rFonts w:asciiTheme="minorHAnsi" w:hAnsiTheme="minorHAnsi"/>
                <w:sz w:val="20"/>
                <w:szCs w:val="20"/>
              </w:rPr>
              <w:t>RySG</w:t>
            </w:r>
            <w:proofErr w:type="spellEnd"/>
            <w:r w:rsidRPr="00355922">
              <w:rPr>
                <w:rFonts w:asciiTheme="minorHAnsi" w:hAnsiTheme="minorHAnsi"/>
                <w:sz w:val="20"/>
                <w:szCs w:val="20"/>
              </w:rPr>
              <w:t xml:space="preserve"> is willing and available to contribute to this analysis as the EPDP Team needs.</w:t>
            </w:r>
          </w:p>
        </w:tc>
        <w:tc>
          <w:tcPr>
            <w:tcW w:w="2700" w:type="dxa"/>
          </w:tcPr>
          <w:p w14:paraId="5B4EABF5" w14:textId="4814AC12" w:rsidR="00355922" w:rsidRPr="00355922" w:rsidRDefault="00355922" w:rsidP="00A4650C">
            <w:pPr>
              <w:contextualSpacing/>
              <w:rPr>
                <w:rFonts w:asciiTheme="minorHAnsi" w:hAnsiTheme="minorHAnsi"/>
                <w:sz w:val="20"/>
                <w:szCs w:val="20"/>
              </w:rPr>
            </w:pPr>
            <w:r w:rsidRPr="00355922">
              <w:rPr>
                <w:rFonts w:asciiTheme="minorHAnsi" w:hAnsiTheme="minorHAnsi"/>
                <w:sz w:val="20"/>
                <w:szCs w:val="20"/>
              </w:rPr>
              <w:t xml:space="preserve">Wim </w:t>
            </w:r>
            <w:proofErr w:type="spellStart"/>
            <w:r w:rsidRPr="00355922">
              <w:rPr>
                <w:rFonts w:asciiTheme="minorHAnsi" w:hAnsiTheme="minorHAnsi"/>
                <w:sz w:val="20"/>
                <w:szCs w:val="20"/>
              </w:rPr>
              <w:t>Degezelle</w:t>
            </w:r>
            <w:proofErr w:type="spellEnd"/>
            <w:r w:rsidRPr="00355922">
              <w:rPr>
                <w:rFonts w:asciiTheme="minorHAnsi" w:hAnsiTheme="minorHAnsi"/>
                <w:sz w:val="20"/>
                <w:szCs w:val="20"/>
              </w:rPr>
              <w:t xml:space="preserve"> ; RySG</w:t>
            </w:r>
            <w:bookmarkStart w:id="1" w:name="_GoBack"/>
            <w:bookmarkEnd w:id="1"/>
          </w:p>
        </w:tc>
        <w:tc>
          <w:tcPr>
            <w:tcW w:w="3960" w:type="dxa"/>
          </w:tcPr>
          <w:p w14:paraId="71FCE3FA"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14:paraId="0DC2D7FF"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6E513F4"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D3B219A"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084E000" w14:textId="77777777" w:rsidR="00355922" w:rsidRPr="002860E2" w:rsidRDefault="00355922" w:rsidP="00355922">
            <w:pPr>
              <w:contextualSpacing/>
              <w:rPr>
                <w:rFonts w:asciiTheme="minorHAnsi" w:hAnsiTheme="minorHAnsi"/>
                <w:sz w:val="20"/>
                <w:szCs w:val="20"/>
              </w:rPr>
            </w:pPr>
          </w:p>
          <w:p w14:paraId="04920551" w14:textId="77777777" w:rsidR="00355922" w:rsidRPr="002860E2" w:rsidRDefault="00355922" w:rsidP="0035592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27CA84" w14:textId="77777777" w:rsidR="00355922" w:rsidRPr="002860E2" w:rsidRDefault="00355922"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0000"/>
              </w:rPr>
            </w:pPr>
          </w:p>
        </w:tc>
      </w:tr>
      <w:tr w:rsidR="000B5015" w:rsidRPr="002860E2" w14:paraId="4131B00E" w14:textId="77777777" w:rsidTr="000B5015">
        <w:trPr>
          <w:cantSplit/>
        </w:trPr>
        <w:tc>
          <w:tcPr>
            <w:tcW w:w="15390" w:type="dxa"/>
            <w:gridSpan w:val="4"/>
            <w:shd w:val="clear" w:color="auto" w:fill="DAEEF3" w:themeFill="accent5" w:themeFillTint="33"/>
          </w:tcPr>
          <w:p w14:paraId="4EDAF68F" w14:textId="77777777" w:rsidR="000B5015" w:rsidRPr="002860E2" w:rsidRDefault="000B5015"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14:paraId="2C4C98CF" w14:textId="77777777" w:rsidTr="002657F2">
        <w:trPr>
          <w:cantSplit/>
        </w:trPr>
        <w:tc>
          <w:tcPr>
            <w:tcW w:w="675" w:type="dxa"/>
          </w:tcPr>
          <w:p w14:paraId="2A3BD657" w14:textId="77777777" w:rsidR="006605C9" w:rsidRPr="002860E2" w:rsidRDefault="006605C9" w:rsidP="003D1561">
            <w:pPr>
              <w:numPr>
                <w:ilvl w:val="0"/>
                <w:numId w:val="1"/>
              </w:numPr>
              <w:contextualSpacing/>
              <w:rPr>
                <w:rFonts w:asciiTheme="minorHAnsi" w:hAnsiTheme="minorHAnsi"/>
                <w:b/>
                <w:sz w:val="20"/>
                <w:szCs w:val="20"/>
              </w:rPr>
            </w:pPr>
          </w:p>
        </w:tc>
        <w:tc>
          <w:tcPr>
            <w:tcW w:w="8055" w:type="dxa"/>
          </w:tcPr>
          <w:p w14:paraId="549A857F" w14:textId="4C78F90E" w:rsidR="006605C9" w:rsidRPr="002860E2" w:rsidRDefault="00355922" w:rsidP="00A4650C">
            <w:pPr>
              <w:pStyle w:val="ColorfulList-Accent11"/>
              <w:ind w:left="0"/>
              <w:rPr>
                <w:rFonts w:asciiTheme="minorHAnsi" w:hAnsiTheme="minorHAnsi"/>
                <w:sz w:val="20"/>
                <w:szCs w:val="20"/>
              </w:rPr>
            </w:pPr>
            <w:r>
              <w:rPr>
                <w:rFonts w:asciiTheme="minorHAnsi" w:hAnsiTheme="minorHAnsi"/>
                <w:sz w:val="20"/>
                <w:szCs w:val="20"/>
              </w:rPr>
              <w:t>No designation or rationale provided.</w:t>
            </w:r>
          </w:p>
        </w:tc>
        <w:tc>
          <w:tcPr>
            <w:tcW w:w="2700" w:type="dxa"/>
          </w:tcPr>
          <w:p w14:paraId="5AB28E45"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Lori Schulman Senior Director, Internet Policy; International Trademark Association (INTA)</w:t>
            </w:r>
          </w:p>
          <w:p w14:paraId="5DD20ED1"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Ashley Heineman; NTIA</w:t>
            </w:r>
          </w:p>
          <w:p w14:paraId="5E8F4236"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Neil Fried; The Motion Picture Association of America</w:t>
            </w:r>
          </w:p>
          <w:p w14:paraId="38EC0D1A" w14:textId="77777777" w:rsidR="00716069" w:rsidRPr="00716069" w:rsidRDefault="00716069" w:rsidP="00716069">
            <w:pPr>
              <w:pStyle w:val="ListParagraph"/>
              <w:numPr>
                <w:ilvl w:val="0"/>
                <w:numId w:val="4"/>
              </w:numPr>
              <w:contextualSpacing/>
              <w:rPr>
                <w:rFonts w:asciiTheme="minorHAnsi" w:hAnsiTheme="minorHAnsi"/>
                <w:sz w:val="20"/>
                <w:szCs w:val="20"/>
              </w:rPr>
            </w:pPr>
            <w:proofErr w:type="spellStart"/>
            <w:r w:rsidRPr="00716069">
              <w:rPr>
                <w:rFonts w:asciiTheme="minorHAnsi" w:hAnsiTheme="minorHAnsi"/>
                <w:sz w:val="20"/>
                <w:szCs w:val="20"/>
              </w:rPr>
              <w:t>Sajda</w:t>
            </w:r>
            <w:proofErr w:type="spellEnd"/>
            <w:r w:rsidRPr="00716069">
              <w:rPr>
                <w:rFonts w:asciiTheme="minorHAnsi" w:hAnsiTheme="minorHAnsi"/>
                <w:sz w:val="20"/>
                <w:szCs w:val="20"/>
              </w:rPr>
              <w:t xml:space="preserve"> </w:t>
            </w:r>
            <w:proofErr w:type="spellStart"/>
            <w:r w:rsidRPr="00716069">
              <w:rPr>
                <w:rFonts w:asciiTheme="minorHAnsi" w:hAnsiTheme="minorHAnsi"/>
                <w:sz w:val="20"/>
                <w:szCs w:val="20"/>
              </w:rPr>
              <w:t>Ouachtouki</w:t>
            </w:r>
            <w:proofErr w:type="spellEnd"/>
            <w:r w:rsidRPr="00716069">
              <w:rPr>
                <w:rFonts w:asciiTheme="minorHAnsi" w:hAnsiTheme="minorHAnsi"/>
                <w:sz w:val="20"/>
                <w:szCs w:val="20"/>
              </w:rPr>
              <w:t>; The Walt Disney Company</w:t>
            </w:r>
          </w:p>
          <w:p w14:paraId="52BF5F1C"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 xml:space="preserve">Greg </w:t>
            </w:r>
            <w:proofErr w:type="spellStart"/>
            <w:r w:rsidRPr="00716069">
              <w:rPr>
                <w:rFonts w:asciiTheme="minorHAnsi" w:hAnsiTheme="minorHAnsi"/>
                <w:sz w:val="20"/>
                <w:szCs w:val="20"/>
              </w:rPr>
              <w:t>Mounier</w:t>
            </w:r>
            <w:proofErr w:type="spellEnd"/>
            <w:r w:rsidRPr="00716069">
              <w:rPr>
                <w:rFonts w:asciiTheme="minorHAnsi" w:hAnsiTheme="minorHAnsi"/>
                <w:sz w:val="20"/>
                <w:szCs w:val="20"/>
              </w:rPr>
              <w:t xml:space="preserve"> on behalf of Europol AGIS; Europol Advisory Group on Internet Security</w:t>
            </w:r>
          </w:p>
          <w:p w14:paraId="12B085A6"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 xml:space="preserve">Monique A. </w:t>
            </w:r>
            <w:proofErr w:type="spellStart"/>
            <w:r w:rsidRPr="00716069">
              <w:rPr>
                <w:rFonts w:asciiTheme="minorHAnsi" w:hAnsiTheme="minorHAnsi"/>
                <w:sz w:val="20"/>
                <w:szCs w:val="20"/>
              </w:rPr>
              <w:t>Goeschl</w:t>
            </w:r>
            <w:proofErr w:type="spellEnd"/>
            <w:r w:rsidRPr="00716069">
              <w:rPr>
                <w:rFonts w:asciiTheme="minorHAnsi" w:hAnsiTheme="minorHAnsi"/>
                <w:sz w:val="20"/>
                <w:szCs w:val="20"/>
              </w:rPr>
              <w:t xml:space="preserve">; Verein </w:t>
            </w:r>
            <w:proofErr w:type="spellStart"/>
            <w:r w:rsidRPr="00716069">
              <w:rPr>
                <w:rFonts w:asciiTheme="minorHAnsi" w:hAnsiTheme="minorHAnsi"/>
                <w:sz w:val="20"/>
                <w:szCs w:val="20"/>
              </w:rPr>
              <w:t>für</w:t>
            </w:r>
            <w:proofErr w:type="spellEnd"/>
            <w:r w:rsidRPr="00716069">
              <w:rPr>
                <w:rFonts w:asciiTheme="minorHAnsi" w:hAnsiTheme="minorHAnsi"/>
                <w:sz w:val="20"/>
                <w:szCs w:val="20"/>
              </w:rPr>
              <w:t xml:space="preserve"> Anti-</w:t>
            </w:r>
            <w:proofErr w:type="spellStart"/>
            <w:r w:rsidRPr="00716069">
              <w:rPr>
                <w:rFonts w:asciiTheme="minorHAnsi" w:hAnsiTheme="minorHAnsi"/>
                <w:sz w:val="20"/>
                <w:szCs w:val="20"/>
              </w:rPr>
              <w:t>Piraterie</w:t>
            </w:r>
            <w:proofErr w:type="spellEnd"/>
            <w:r w:rsidRPr="00716069">
              <w:rPr>
                <w:rFonts w:asciiTheme="minorHAnsi" w:hAnsiTheme="minorHAnsi"/>
                <w:sz w:val="20"/>
                <w:szCs w:val="20"/>
              </w:rPr>
              <w:t xml:space="preserve"> der Film- und </w:t>
            </w:r>
            <w:proofErr w:type="spellStart"/>
            <w:r w:rsidRPr="00716069">
              <w:rPr>
                <w:rFonts w:asciiTheme="minorHAnsi" w:hAnsiTheme="minorHAnsi"/>
                <w:sz w:val="20"/>
                <w:szCs w:val="20"/>
              </w:rPr>
              <w:t>Videobranche</w:t>
            </w:r>
            <w:proofErr w:type="spellEnd"/>
            <w:r w:rsidRPr="00716069">
              <w:rPr>
                <w:rFonts w:asciiTheme="minorHAnsi" w:hAnsiTheme="minorHAnsi"/>
                <w:sz w:val="20"/>
                <w:szCs w:val="20"/>
              </w:rPr>
              <w:t xml:space="preserve"> (VAP)</w:t>
            </w:r>
          </w:p>
          <w:p w14:paraId="1903E7EE"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 xml:space="preserve">Fabien </w:t>
            </w:r>
            <w:proofErr w:type="spellStart"/>
            <w:r w:rsidRPr="00716069">
              <w:rPr>
                <w:rFonts w:asciiTheme="minorHAnsi" w:hAnsiTheme="minorHAnsi"/>
                <w:sz w:val="20"/>
                <w:szCs w:val="20"/>
              </w:rPr>
              <w:t>Betremieux</w:t>
            </w:r>
            <w:proofErr w:type="spellEnd"/>
            <w:r w:rsidRPr="00716069">
              <w:rPr>
                <w:rFonts w:asciiTheme="minorHAnsi" w:hAnsiTheme="minorHAnsi"/>
                <w:sz w:val="20"/>
                <w:szCs w:val="20"/>
              </w:rPr>
              <w:t>; GAC</w:t>
            </w:r>
          </w:p>
          <w:p w14:paraId="45E558E5"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Brian Beckham; Head, Internet Dispute Resolution Section at WIPO</w:t>
            </w:r>
          </w:p>
          <w:p w14:paraId="0A903551"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 xml:space="preserve">Theo </w:t>
            </w:r>
            <w:proofErr w:type="spellStart"/>
            <w:r w:rsidRPr="00716069">
              <w:rPr>
                <w:rFonts w:asciiTheme="minorHAnsi" w:hAnsiTheme="minorHAnsi"/>
                <w:sz w:val="20"/>
                <w:szCs w:val="20"/>
              </w:rPr>
              <w:t>Geurts</w:t>
            </w:r>
            <w:proofErr w:type="spellEnd"/>
          </w:p>
          <w:p w14:paraId="595A1C05" w14:textId="77777777" w:rsidR="00716069" w:rsidRPr="00716069" w:rsidRDefault="00716069" w:rsidP="00716069">
            <w:pPr>
              <w:pStyle w:val="ListParagraph"/>
              <w:numPr>
                <w:ilvl w:val="0"/>
                <w:numId w:val="4"/>
              </w:numPr>
              <w:contextualSpacing/>
              <w:rPr>
                <w:rFonts w:asciiTheme="minorHAnsi" w:hAnsiTheme="minorHAnsi"/>
                <w:sz w:val="20"/>
                <w:szCs w:val="20"/>
              </w:rPr>
            </w:pPr>
            <w:proofErr w:type="spellStart"/>
            <w:r w:rsidRPr="00716069">
              <w:rPr>
                <w:rFonts w:asciiTheme="minorHAnsi" w:hAnsiTheme="minorHAnsi"/>
                <w:sz w:val="20"/>
                <w:szCs w:val="20"/>
              </w:rPr>
              <w:t>Ivett</w:t>
            </w:r>
            <w:proofErr w:type="spellEnd"/>
            <w:r w:rsidRPr="00716069">
              <w:rPr>
                <w:rFonts w:asciiTheme="minorHAnsi" w:hAnsiTheme="minorHAnsi"/>
                <w:sz w:val="20"/>
                <w:szCs w:val="20"/>
              </w:rPr>
              <w:t xml:space="preserve"> </w:t>
            </w:r>
            <w:proofErr w:type="spellStart"/>
            <w:r w:rsidRPr="00716069">
              <w:rPr>
                <w:rFonts w:asciiTheme="minorHAnsi" w:hAnsiTheme="minorHAnsi"/>
                <w:sz w:val="20"/>
                <w:szCs w:val="20"/>
              </w:rPr>
              <w:t>Paulovics</w:t>
            </w:r>
            <w:proofErr w:type="spellEnd"/>
            <w:r w:rsidRPr="00716069">
              <w:rPr>
                <w:rFonts w:asciiTheme="minorHAnsi" w:hAnsiTheme="minorHAnsi"/>
                <w:sz w:val="20"/>
                <w:szCs w:val="20"/>
              </w:rPr>
              <w:t xml:space="preserve">; MFSD </w:t>
            </w:r>
            <w:proofErr w:type="spellStart"/>
            <w:r w:rsidRPr="00716069">
              <w:rPr>
                <w:rFonts w:asciiTheme="minorHAnsi" w:hAnsiTheme="minorHAnsi"/>
                <w:sz w:val="20"/>
                <w:szCs w:val="20"/>
              </w:rPr>
              <w:t>Srl</w:t>
            </w:r>
            <w:proofErr w:type="spellEnd"/>
            <w:r w:rsidRPr="00716069">
              <w:rPr>
                <w:rFonts w:asciiTheme="minorHAnsi" w:hAnsiTheme="minorHAnsi"/>
                <w:sz w:val="20"/>
                <w:szCs w:val="20"/>
              </w:rPr>
              <w:t xml:space="preserve"> URS Provider</w:t>
            </w:r>
          </w:p>
          <w:p w14:paraId="70F1E379"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 xml:space="preserve">Ashley Roberts; </w:t>
            </w:r>
            <w:proofErr w:type="spellStart"/>
            <w:r w:rsidRPr="00716069">
              <w:rPr>
                <w:rFonts w:asciiTheme="minorHAnsi" w:hAnsiTheme="minorHAnsi"/>
                <w:sz w:val="20"/>
                <w:szCs w:val="20"/>
              </w:rPr>
              <w:t>Valideus</w:t>
            </w:r>
            <w:proofErr w:type="spellEnd"/>
          </w:p>
          <w:p w14:paraId="0AB09C3C" w14:textId="77777777" w:rsidR="00716069" w:rsidRPr="00716069"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Renee Fossen; Forum - URS and UDRP Provider</w:t>
            </w:r>
          </w:p>
          <w:p w14:paraId="47003453" w14:textId="34666644" w:rsidR="006605C9" w:rsidRPr="00E754E3" w:rsidRDefault="00716069" w:rsidP="00716069">
            <w:pPr>
              <w:pStyle w:val="ListParagraph"/>
              <w:numPr>
                <w:ilvl w:val="0"/>
                <w:numId w:val="4"/>
              </w:numPr>
              <w:contextualSpacing/>
              <w:rPr>
                <w:rFonts w:asciiTheme="minorHAnsi" w:hAnsiTheme="minorHAnsi"/>
                <w:sz w:val="20"/>
                <w:szCs w:val="20"/>
              </w:rPr>
            </w:pPr>
            <w:r w:rsidRPr="00716069">
              <w:rPr>
                <w:rFonts w:asciiTheme="minorHAnsi" w:hAnsiTheme="minorHAnsi"/>
                <w:sz w:val="20"/>
                <w:szCs w:val="20"/>
              </w:rPr>
              <w:t>Stephanie Perrin</w:t>
            </w:r>
          </w:p>
        </w:tc>
        <w:tc>
          <w:tcPr>
            <w:tcW w:w="3960" w:type="dxa"/>
          </w:tcPr>
          <w:p w14:paraId="6DE43029"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66189731"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14:paraId="586D2E35"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F92874F"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14:paraId="635DDCA8" w14:textId="77777777" w:rsidR="002B3C04" w:rsidRPr="002860E2" w:rsidRDefault="002B3C04" w:rsidP="002B3C04">
            <w:pPr>
              <w:contextualSpacing/>
              <w:rPr>
                <w:rFonts w:asciiTheme="minorHAnsi" w:hAnsiTheme="minorHAnsi"/>
                <w:sz w:val="20"/>
                <w:szCs w:val="20"/>
              </w:rPr>
            </w:pPr>
          </w:p>
          <w:p w14:paraId="22E6F5B8"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116D61C6" w14:textId="77777777" w:rsidR="006605C9" w:rsidRPr="002860E2" w:rsidRDefault="006605C9" w:rsidP="00A4650C">
            <w:pPr>
              <w:contextualSpacing/>
              <w:rPr>
                <w:rFonts w:asciiTheme="minorHAnsi" w:hAnsiTheme="minorHAnsi"/>
                <w:sz w:val="20"/>
                <w:szCs w:val="20"/>
              </w:rPr>
            </w:pPr>
          </w:p>
        </w:tc>
      </w:tr>
    </w:tbl>
    <w:p w14:paraId="118F19AA" w14:textId="77777777" w:rsidR="00676084" w:rsidRDefault="00676084" w:rsidP="00676084">
      <w:pPr>
        <w:rPr>
          <w:rFonts w:asciiTheme="minorHAnsi" w:hAnsiTheme="minorHAnsi"/>
        </w:rPr>
      </w:pPr>
    </w:p>
    <w:p w14:paraId="46A895C7" w14:textId="77777777" w:rsidR="00EC4CEE" w:rsidRPr="002860E2" w:rsidRDefault="00EC4CEE" w:rsidP="00EC4CEE">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t>RECOMMENDATION</w:t>
      </w:r>
      <w:r w:rsidRPr="002860E2">
        <w:rPr>
          <w:rFonts w:asciiTheme="minorHAnsi" w:hAnsiTheme="minorHAnsi"/>
          <w:color w:val="FFFFFF" w:themeColor="background1"/>
        </w:rPr>
        <w:t xml:space="preserve"> </w:t>
      </w:r>
      <w:r w:rsidR="001A44C3">
        <w:rPr>
          <w:rFonts w:asciiTheme="minorHAnsi" w:hAnsiTheme="minorHAnsi"/>
          <w:color w:val="FFFFFF" w:themeColor="background1"/>
        </w:rPr>
        <w:t>5</w:t>
      </w:r>
      <w:r>
        <w:rPr>
          <w:rFonts w:asciiTheme="minorHAnsi" w:hAnsiTheme="minorHAnsi"/>
          <w:color w:val="FFFFFF" w:themeColor="background1"/>
        </w:rPr>
        <w:t xml:space="preserve">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EC4CEE" w:rsidRPr="002860E2" w14:paraId="1CA57933" w14:textId="77777777" w:rsidTr="00FD7E70">
        <w:trPr>
          <w:tblHeader/>
        </w:trPr>
        <w:tc>
          <w:tcPr>
            <w:tcW w:w="675" w:type="dxa"/>
            <w:tcBorders>
              <w:bottom w:val="single" w:sz="4" w:space="0" w:color="000000"/>
            </w:tcBorders>
            <w:shd w:val="clear" w:color="auto" w:fill="1768B1"/>
          </w:tcPr>
          <w:p w14:paraId="4C86C6FD" w14:textId="77777777"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698CADA0" w14:textId="77777777"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4EDCB89" w14:textId="77777777"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41A61CA3" w14:textId="77777777" w:rsidR="00EC4CEE" w:rsidRPr="002860E2" w:rsidRDefault="00EC4CEE" w:rsidP="00FD7E70">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716069" w:rsidRPr="002860E2" w14:paraId="76BE073F" w14:textId="77777777" w:rsidTr="00FD7E70">
        <w:trPr>
          <w:cantSplit/>
        </w:trPr>
        <w:tc>
          <w:tcPr>
            <w:tcW w:w="675" w:type="dxa"/>
          </w:tcPr>
          <w:p w14:paraId="5BFC1AD2" w14:textId="77777777" w:rsidR="00716069" w:rsidRPr="002860E2" w:rsidRDefault="00716069" w:rsidP="003D1561">
            <w:pPr>
              <w:numPr>
                <w:ilvl w:val="0"/>
                <w:numId w:val="1"/>
              </w:numPr>
              <w:contextualSpacing/>
              <w:rPr>
                <w:rFonts w:asciiTheme="minorHAnsi" w:hAnsiTheme="minorHAnsi"/>
                <w:b/>
                <w:sz w:val="20"/>
                <w:szCs w:val="20"/>
              </w:rPr>
            </w:pPr>
          </w:p>
        </w:tc>
        <w:tc>
          <w:tcPr>
            <w:tcW w:w="8055" w:type="dxa"/>
          </w:tcPr>
          <w:p w14:paraId="719DC9AC" w14:textId="2AA51C50" w:rsidR="00716069" w:rsidRPr="00716069" w:rsidRDefault="00716069" w:rsidP="00716069">
            <w:pPr>
              <w:pStyle w:val="ColorfulList-Accent11"/>
              <w:ind w:left="0"/>
              <w:rPr>
                <w:rFonts w:asciiTheme="minorHAnsi" w:hAnsiTheme="minorHAnsi"/>
                <w:sz w:val="20"/>
                <w:szCs w:val="20"/>
              </w:rPr>
            </w:pPr>
            <w:r w:rsidRPr="00716069">
              <w:rPr>
                <w:rFonts w:asciiTheme="minorHAnsi" w:hAnsiTheme="minorHAnsi"/>
                <w:sz w:val="20"/>
                <w:szCs w:val="20"/>
              </w:rPr>
              <w:t xml:space="preserve">By returning to the "Thin WHOIS" model, this would permit registrars to comply with their national obligations, and reduce compliance issues for registries. A European registrant can pick a European registrar, for example. Registrars with clients from multiple countries can get a separate registrar accreditation located in Europe, to serve European customers, and not have to impose GDPR on North Americans (many of whom don't want it!). Registries don't really need this data, in most cases (as the success of .com has illustrated!). A subset might be needed by registries in a few special cases (e.g. </w:t>
            </w:r>
            <w:proofErr w:type="gramStart"/>
            <w:r w:rsidRPr="00716069">
              <w:rPr>
                <w:rFonts w:asciiTheme="minorHAnsi" w:hAnsiTheme="minorHAnsi"/>
                <w:sz w:val="20"/>
                <w:szCs w:val="20"/>
              </w:rPr>
              <w:t>for .bank</w:t>
            </w:r>
            <w:proofErr w:type="gramEnd"/>
            <w:r w:rsidRPr="00716069">
              <w:rPr>
                <w:rFonts w:asciiTheme="minorHAnsi" w:hAnsiTheme="minorHAnsi"/>
                <w:sz w:val="20"/>
                <w:szCs w:val="20"/>
              </w:rPr>
              <w:t>, proof that one is a financial institution, etc.).</w:t>
            </w:r>
          </w:p>
        </w:tc>
        <w:tc>
          <w:tcPr>
            <w:tcW w:w="2700" w:type="dxa"/>
          </w:tcPr>
          <w:p w14:paraId="4D4EAE17" w14:textId="650D93A8" w:rsidR="00716069" w:rsidRPr="00716069" w:rsidRDefault="00716069" w:rsidP="00FD7E70">
            <w:pPr>
              <w:contextualSpacing/>
              <w:rPr>
                <w:rFonts w:asciiTheme="minorHAnsi" w:hAnsiTheme="minorHAnsi"/>
                <w:sz w:val="20"/>
                <w:szCs w:val="20"/>
              </w:rPr>
            </w:pPr>
            <w:r w:rsidRPr="00716069">
              <w:rPr>
                <w:rFonts w:asciiTheme="minorHAnsi" w:hAnsiTheme="minorHAnsi"/>
                <w:sz w:val="20"/>
                <w:szCs w:val="20"/>
              </w:rPr>
              <w:t xml:space="preserve">George </w:t>
            </w:r>
            <w:proofErr w:type="spellStart"/>
            <w:r w:rsidRPr="00716069">
              <w:rPr>
                <w:rFonts w:asciiTheme="minorHAnsi" w:hAnsiTheme="minorHAnsi"/>
                <w:sz w:val="20"/>
                <w:szCs w:val="20"/>
              </w:rPr>
              <w:t>Kirikos</w:t>
            </w:r>
            <w:proofErr w:type="spellEnd"/>
            <w:r w:rsidRPr="00716069">
              <w:rPr>
                <w:rFonts w:asciiTheme="minorHAnsi" w:hAnsiTheme="minorHAnsi"/>
                <w:sz w:val="20"/>
                <w:szCs w:val="20"/>
              </w:rPr>
              <w:t>; Leap of Faith Financial Services Inc.</w:t>
            </w:r>
          </w:p>
        </w:tc>
        <w:tc>
          <w:tcPr>
            <w:tcW w:w="3960" w:type="dxa"/>
          </w:tcPr>
          <w:p w14:paraId="2AF17D9C"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D6C8E3C"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8994EFE"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C782CC8"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95ACB93" w14:textId="77777777" w:rsidR="00355922" w:rsidRPr="002860E2" w:rsidRDefault="00355922" w:rsidP="00355922">
            <w:pPr>
              <w:contextualSpacing/>
              <w:rPr>
                <w:rFonts w:asciiTheme="minorHAnsi" w:hAnsiTheme="minorHAnsi"/>
                <w:sz w:val="20"/>
                <w:szCs w:val="20"/>
              </w:rPr>
            </w:pPr>
          </w:p>
          <w:p w14:paraId="6B4094DA" w14:textId="77777777" w:rsidR="00355922" w:rsidRPr="002860E2" w:rsidRDefault="00355922" w:rsidP="0035592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E7983B1" w14:textId="77777777" w:rsidR="00716069" w:rsidRPr="002860E2" w:rsidRDefault="00716069"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716069" w:rsidRPr="002860E2" w14:paraId="159083CE" w14:textId="77777777" w:rsidTr="00FD7E70">
        <w:trPr>
          <w:cantSplit/>
        </w:trPr>
        <w:tc>
          <w:tcPr>
            <w:tcW w:w="675" w:type="dxa"/>
          </w:tcPr>
          <w:p w14:paraId="65865959" w14:textId="77777777" w:rsidR="00716069" w:rsidRPr="002860E2" w:rsidRDefault="00716069" w:rsidP="003D1561">
            <w:pPr>
              <w:numPr>
                <w:ilvl w:val="0"/>
                <w:numId w:val="1"/>
              </w:numPr>
              <w:contextualSpacing/>
              <w:rPr>
                <w:rFonts w:asciiTheme="minorHAnsi" w:hAnsiTheme="minorHAnsi"/>
                <w:b/>
                <w:sz w:val="20"/>
                <w:szCs w:val="20"/>
              </w:rPr>
            </w:pPr>
          </w:p>
        </w:tc>
        <w:tc>
          <w:tcPr>
            <w:tcW w:w="8055" w:type="dxa"/>
          </w:tcPr>
          <w:p w14:paraId="6E1E8A90" w14:textId="1CBED64B" w:rsidR="00716069" w:rsidRPr="00716069" w:rsidRDefault="00716069" w:rsidP="00716069">
            <w:pPr>
              <w:pStyle w:val="ColorfulList-Accent11"/>
              <w:ind w:left="0"/>
              <w:rPr>
                <w:rFonts w:asciiTheme="minorHAnsi" w:hAnsiTheme="minorHAnsi"/>
                <w:sz w:val="20"/>
                <w:szCs w:val="20"/>
              </w:rPr>
            </w:pPr>
            <w:r w:rsidRPr="00716069">
              <w:rPr>
                <w:rFonts w:asciiTheme="minorHAnsi" w:hAnsiTheme="minorHAnsi"/>
                <w:sz w:val="20"/>
                <w:szCs w:val="20"/>
              </w:rPr>
              <w:t xml:space="preserve">In conducting its analysis of the data elements required to be transferred from the registrar to the registry, the </w:t>
            </w:r>
            <w:proofErr w:type="spellStart"/>
            <w:r w:rsidRPr="00716069">
              <w:rPr>
                <w:rFonts w:asciiTheme="minorHAnsi" w:hAnsiTheme="minorHAnsi"/>
                <w:sz w:val="20"/>
                <w:szCs w:val="20"/>
              </w:rPr>
              <w:t>RySG</w:t>
            </w:r>
            <w:proofErr w:type="spellEnd"/>
            <w:r w:rsidRPr="00716069">
              <w:rPr>
                <w:rFonts w:asciiTheme="minorHAnsi" w:hAnsiTheme="minorHAnsi"/>
                <w:sz w:val="20"/>
                <w:szCs w:val="20"/>
              </w:rPr>
              <w:t xml:space="preserve"> urges the EPDP Team to bear in mind that gTLDs are operated in diverse and varied ways. The ultimate recommendation that becomes part of the consensus policy should focus on establishing minimum requirements that are flexible enough to account for those different business and operating models.</w:t>
            </w:r>
          </w:p>
        </w:tc>
        <w:tc>
          <w:tcPr>
            <w:tcW w:w="2700" w:type="dxa"/>
          </w:tcPr>
          <w:p w14:paraId="24B6B159" w14:textId="3CDB81EC" w:rsidR="00716069" w:rsidRPr="00716069" w:rsidRDefault="00716069" w:rsidP="00FD7E70">
            <w:pPr>
              <w:contextualSpacing/>
              <w:rPr>
                <w:rFonts w:asciiTheme="minorHAnsi" w:hAnsiTheme="minorHAnsi"/>
                <w:sz w:val="20"/>
                <w:szCs w:val="20"/>
              </w:rPr>
            </w:pPr>
            <w:r w:rsidRPr="00716069">
              <w:rPr>
                <w:rFonts w:asciiTheme="minorHAnsi" w:hAnsiTheme="minorHAnsi"/>
                <w:sz w:val="20"/>
                <w:szCs w:val="20"/>
              </w:rPr>
              <w:t xml:space="preserve">Wim </w:t>
            </w:r>
            <w:proofErr w:type="spellStart"/>
            <w:proofErr w:type="gramStart"/>
            <w:r w:rsidRPr="00716069">
              <w:rPr>
                <w:rFonts w:asciiTheme="minorHAnsi" w:hAnsiTheme="minorHAnsi"/>
                <w:sz w:val="20"/>
                <w:szCs w:val="20"/>
              </w:rPr>
              <w:t>Degezelle</w:t>
            </w:r>
            <w:proofErr w:type="spellEnd"/>
            <w:r w:rsidRPr="00716069">
              <w:rPr>
                <w:rFonts w:asciiTheme="minorHAnsi" w:hAnsiTheme="minorHAnsi"/>
                <w:sz w:val="20"/>
                <w:szCs w:val="20"/>
              </w:rPr>
              <w:t xml:space="preserve"> ;</w:t>
            </w:r>
            <w:proofErr w:type="gramEnd"/>
            <w:r w:rsidRPr="00716069">
              <w:rPr>
                <w:rFonts w:asciiTheme="minorHAnsi" w:hAnsiTheme="minorHAnsi"/>
                <w:sz w:val="20"/>
                <w:szCs w:val="20"/>
              </w:rPr>
              <w:t xml:space="preserve"> </w:t>
            </w:r>
            <w:proofErr w:type="spellStart"/>
            <w:r w:rsidRPr="00716069">
              <w:rPr>
                <w:rFonts w:asciiTheme="minorHAnsi" w:hAnsiTheme="minorHAnsi"/>
                <w:sz w:val="20"/>
                <w:szCs w:val="20"/>
              </w:rPr>
              <w:t>RySG</w:t>
            </w:r>
            <w:proofErr w:type="spellEnd"/>
          </w:p>
        </w:tc>
        <w:tc>
          <w:tcPr>
            <w:tcW w:w="3960" w:type="dxa"/>
          </w:tcPr>
          <w:p w14:paraId="5A90C61F"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F0D800E"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3F68F66"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4E80EB3"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588D048" w14:textId="77777777" w:rsidR="00355922" w:rsidRPr="002860E2" w:rsidRDefault="00355922" w:rsidP="00355922">
            <w:pPr>
              <w:contextualSpacing/>
              <w:rPr>
                <w:rFonts w:asciiTheme="minorHAnsi" w:hAnsiTheme="minorHAnsi"/>
                <w:sz w:val="20"/>
                <w:szCs w:val="20"/>
              </w:rPr>
            </w:pPr>
          </w:p>
          <w:p w14:paraId="5CAB192B" w14:textId="77777777" w:rsidR="00355922" w:rsidRPr="002860E2" w:rsidRDefault="00355922" w:rsidP="0035592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FBE60B4" w14:textId="77777777" w:rsidR="00716069" w:rsidRPr="002860E2" w:rsidRDefault="00716069"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716069" w:rsidRPr="002860E2" w14:paraId="35FCAFCB" w14:textId="77777777" w:rsidTr="00FD7E70">
        <w:trPr>
          <w:cantSplit/>
        </w:trPr>
        <w:tc>
          <w:tcPr>
            <w:tcW w:w="675" w:type="dxa"/>
          </w:tcPr>
          <w:p w14:paraId="78A72798" w14:textId="77777777" w:rsidR="00716069" w:rsidRPr="002860E2" w:rsidRDefault="00716069" w:rsidP="003D1561">
            <w:pPr>
              <w:numPr>
                <w:ilvl w:val="0"/>
                <w:numId w:val="1"/>
              </w:numPr>
              <w:contextualSpacing/>
              <w:rPr>
                <w:rFonts w:asciiTheme="minorHAnsi" w:hAnsiTheme="minorHAnsi"/>
                <w:b/>
                <w:sz w:val="20"/>
                <w:szCs w:val="20"/>
              </w:rPr>
            </w:pPr>
          </w:p>
        </w:tc>
        <w:tc>
          <w:tcPr>
            <w:tcW w:w="8055" w:type="dxa"/>
          </w:tcPr>
          <w:p w14:paraId="2296DD32" w14:textId="77777777" w:rsidR="00716069" w:rsidRPr="00716069" w:rsidRDefault="00716069" w:rsidP="00716069">
            <w:pPr>
              <w:pStyle w:val="ColorfulList-Accent11"/>
              <w:ind w:left="0"/>
              <w:rPr>
                <w:rFonts w:asciiTheme="minorHAnsi" w:hAnsiTheme="minorHAnsi"/>
                <w:sz w:val="20"/>
                <w:szCs w:val="20"/>
              </w:rPr>
            </w:pPr>
            <w:r w:rsidRPr="00716069">
              <w:rPr>
                <w:rFonts w:asciiTheme="minorHAnsi" w:hAnsiTheme="minorHAnsi"/>
                <w:sz w:val="20"/>
                <w:szCs w:val="20"/>
              </w:rPr>
              <w:t>All data should be transferred to the registry, including data for the .</w:t>
            </w:r>
            <w:proofErr w:type="gramStart"/>
            <w:r w:rsidRPr="00716069">
              <w:rPr>
                <w:rFonts w:asciiTheme="minorHAnsi" w:hAnsiTheme="minorHAnsi"/>
                <w:sz w:val="20"/>
                <w:szCs w:val="20"/>
              </w:rPr>
              <w:t>com,.net</w:t>
            </w:r>
            <w:proofErr w:type="gramEnd"/>
            <w:r w:rsidRPr="00716069">
              <w:rPr>
                <w:rFonts w:asciiTheme="minorHAnsi" w:hAnsiTheme="minorHAnsi"/>
                <w:sz w:val="20"/>
                <w:szCs w:val="20"/>
              </w:rPr>
              <w:t xml:space="preserve"> and .jobs TLDs, the only remaining “thin” registries.  Thick Whois Policy development concluded, several years ago, that we should transition data from thin </w:t>
            </w:r>
            <w:proofErr w:type="spellStart"/>
            <w:r w:rsidRPr="00716069">
              <w:rPr>
                <w:rFonts w:asciiTheme="minorHAnsi" w:hAnsiTheme="minorHAnsi"/>
                <w:sz w:val="20"/>
                <w:szCs w:val="20"/>
              </w:rPr>
              <w:t>to</w:t>
            </w:r>
            <w:proofErr w:type="spellEnd"/>
            <w:r w:rsidRPr="00716069">
              <w:rPr>
                <w:rFonts w:asciiTheme="minorHAnsi" w:hAnsiTheme="minorHAnsi"/>
                <w:sz w:val="20"/>
                <w:szCs w:val="20"/>
              </w:rPr>
              <w:t xml:space="preserve"> thick for the remaining thin registries.  GDPR should not affect the agreed upon policy.  </w:t>
            </w:r>
          </w:p>
          <w:p w14:paraId="3FA6F7AB" w14:textId="10B0825C" w:rsidR="00716069" w:rsidRPr="00716069" w:rsidRDefault="00716069" w:rsidP="00716069">
            <w:pPr>
              <w:pStyle w:val="ColorfulList-Accent11"/>
              <w:ind w:left="0"/>
              <w:rPr>
                <w:rFonts w:asciiTheme="minorHAnsi" w:hAnsiTheme="minorHAnsi"/>
                <w:sz w:val="20"/>
                <w:szCs w:val="20"/>
              </w:rPr>
            </w:pPr>
            <w:r w:rsidRPr="00716069">
              <w:rPr>
                <w:rFonts w:asciiTheme="minorHAnsi" w:hAnsiTheme="minorHAnsi"/>
                <w:sz w:val="20"/>
                <w:szCs w:val="20"/>
              </w:rPr>
              <w:t xml:space="preserve">Data transfer from registrar to registry can be completed in a manner that is compliant with GDPR.  </w:t>
            </w:r>
          </w:p>
        </w:tc>
        <w:tc>
          <w:tcPr>
            <w:tcW w:w="2700" w:type="dxa"/>
          </w:tcPr>
          <w:p w14:paraId="037821EF" w14:textId="63441BAD" w:rsidR="00716069" w:rsidRPr="00716069" w:rsidRDefault="00716069" w:rsidP="00FD7E70">
            <w:pPr>
              <w:contextualSpacing/>
              <w:rPr>
                <w:rFonts w:asciiTheme="minorHAnsi" w:hAnsiTheme="minorHAnsi"/>
                <w:sz w:val="20"/>
                <w:szCs w:val="20"/>
              </w:rPr>
            </w:pPr>
            <w:r w:rsidRPr="00716069">
              <w:rPr>
                <w:rFonts w:asciiTheme="minorHAnsi" w:hAnsiTheme="minorHAnsi"/>
                <w:sz w:val="20"/>
                <w:szCs w:val="20"/>
              </w:rPr>
              <w:t>Brian King; IPC</w:t>
            </w:r>
          </w:p>
        </w:tc>
        <w:tc>
          <w:tcPr>
            <w:tcW w:w="3960" w:type="dxa"/>
          </w:tcPr>
          <w:p w14:paraId="4F7F6C48"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6669E6E3" w14:textId="5476E75E"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rPr>
              <w:t>refer to like comments above in the “yes/no” sections</w:t>
            </w:r>
          </w:p>
          <w:p w14:paraId="07CB7F6A"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4E3BD08" w14:textId="2DAC4112"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Pr>
                <w:rFonts w:asciiTheme="minorHAnsi" w:eastAsia="Times New Roman" w:hAnsiTheme="minorHAnsi"/>
                <w:color w:val="000000"/>
                <w:sz w:val="20"/>
                <w:szCs w:val="20"/>
              </w:rPr>
              <w:t>none</w:t>
            </w:r>
          </w:p>
          <w:p w14:paraId="4FD7A63C" w14:textId="77777777" w:rsidR="00355922" w:rsidRPr="002860E2" w:rsidRDefault="00355922" w:rsidP="00355922">
            <w:pPr>
              <w:contextualSpacing/>
              <w:rPr>
                <w:rFonts w:asciiTheme="minorHAnsi" w:hAnsiTheme="minorHAnsi"/>
                <w:sz w:val="20"/>
                <w:szCs w:val="20"/>
              </w:rPr>
            </w:pPr>
          </w:p>
          <w:p w14:paraId="1F112CD5" w14:textId="69EB2495" w:rsidR="00355922" w:rsidRPr="002860E2" w:rsidRDefault="00355922" w:rsidP="0035592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32BA73E4" w14:textId="77777777" w:rsidR="00716069" w:rsidRPr="002860E2" w:rsidRDefault="00716069"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716069" w:rsidRPr="002860E2" w14:paraId="40A7F2B1" w14:textId="77777777" w:rsidTr="00FD7E70">
        <w:trPr>
          <w:cantSplit/>
        </w:trPr>
        <w:tc>
          <w:tcPr>
            <w:tcW w:w="675" w:type="dxa"/>
          </w:tcPr>
          <w:p w14:paraId="1AFA17DD" w14:textId="77777777" w:rsidR="00716069" w:rsidRPr="002860E2" w:rsidRDefault="00716069" w:rsidP="003D1561">
            <w:pPr>
              <w:numPr>
                <w:ilvl w:val="0"/>
                <w:numId w:val="1"/>
              </w:numPr>
              <w:contextualSpacing/>
              <w:rPr>
                <w:rFonts w:asciiTheme="minorHAnsi" w:hAnsiTheme="minorHAnsi"/>
                <w:b/>
                <w:sz w:val="20"/>
                <w:szCs w:val="20"/>
              </w:rPr>
            </w:pPr>
          </w:p>
        </w:tc>
        <w:tc>
          <w:tcPr>
            <w:tcW w:w="8055" w:type="dxa"/>
          </w:tcPr>
          <w:p w14:paraId="07724A10" w14:textId="4C5853AE" w:rsidR="00716069" w:rsidRPr="00716069" w:rsidRDefault="00716069" w:rsidP="00FD7E70">
            <w:pPr>
              <w:pStyle w:val="ColorfulList-Accent11"/>
              <w:ind w:left="0"/>
              <w:rPr>
                <w:rFonts w:asciiTheme="minorHAnsi" w:hAnsiTheme="minorHAnsi"/>
                <w:sz w:val="20"/>
                <w:szCs w:val="20"/>
              </w:rPr>
            </w:pPr>
            <w:r w:rsidRPr="00716069">
              <w:rPr>
                <w:rFonts w:asciiTheme="minorHAnsi" w:hAnsiTheme="minorHAnsi"/>
                <w:sz w:val="20"/>
                <w:szCs w:val="20"/>
              </w:rPr>
              <w:t xml:space="preserve">A Thick Registry is the ultimate authority and repository for storing Registrant data. </w:t>
            </w:r>
            <w:proofErr w:type="gramStart"/>
            <w:r w:rsidRPr="00716069">
              <w:rPr>
                <w:rFonts w:asciiTheme="minorHAnsi" w:hAnsiTheme="minorHAnsi"/>
                <w:sz w:val="20"/>
                <w:szCs w:val="20"/>
              </w:rPr>
              <w:t>So</w:t>
            </w:r>
            <w:proofErr w:type="gramEnd"/>
            <w:r w:rsidRPr="00716069">
              <w:rPr>
                <w:rFonts w:asciiTheme="minorHAnsi" w:hAnsiTheme="minorHAnsi"/>
                <w:sz w:val="20"/>
                <w:szCs w:val="20"/>
              </w:rPr>
              <w:t xml:space="preserve"> all WHOIS data fields mentioned here should be transferred from Registrar to Registry.</w:t>
            </w:r>
          </w:p>
        </w:tc>
        <w:tc>
          <w:tcPr>
            <w:tcW w:w="2700" w:type="dxa"/>
          </w:tcPr>
          <w:p w14:paraId="468FF3F2" w14:textId="49C845ED" w:rsidR="00716069" w:rsidRPr="00716069" w:rsidRDefault="00716069" w:rsidP="00FD7E70">
            <w:pPr>
              <w:contextualSpacing/>
              <w:rPr>
                <w:rFonts w:asciiTheme="minorHAnsi" w:hAnsiTheme="minorHAnsi"/>
                <w:sz w:val="20"/>
                <w:szCs w:val="20"/>
              </w:rPr>
            </w:pPr>
            <w:r w:rsidRPr="00716069">
              <w:rPr>
                <w:rFonts w:asciiTheme="minorHAnsi" w:hAnsiTheme="minorHAnsi"/>
                <w:sz w:val="20"/>
                <w:szCs w:val="20"/>
              </w:rPr>
              <w:t xml:space="preserve">DR. JAIDEEP KUMAR </w:t>
            </w:r>
            <w:proofErr w:type="gramStart"/>
            <w:r w:rsidRPr="00716069">
              <w:rPr>
                <w:rFonts w:asciiTheme="minorHAnsi" w:hAnsiTheme="minorHAnsi"/>
                <w:sz w:val="20"/>
                <w:szCs w:val="20"/>
              </w:rPr>
              <w:t>MISHRA ;</w:t>
            </w:r>
            <w:proofErr w:type="gramEnd"/>
            <w:r w:rsidRPr="00716069">
              <w:rPr>
                <w:rFonts w:asciiTheme="minorHAnsi" w:hAnsiTheme="minorHAnsi"/>
                <w:sz w:val="20"/>
                <w:szCs w:val="20"/>
              </w:rPr>
              <w:t xml:space="preserve"> DIRECTOR MINISTRY OF ELECTRONICS AND INFORMATION TECHNOLOGY, GOVERNMENT OF INDIA</w:t>
            </w:r>
          </w:p>
        </w:tc>
        <w:tc>
          <w:tcPr>
            <w:tcW w:w="3960" w:type="dxa"/>
          </w:tcPr>
          <w:p w14:paraId="02211D00"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B62446B"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3E7984A" w14:textId="77777777" w:rsidR="00355922" w:rsidRPr="002860E2"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6CA0A14" w14:textId="77777777" w:rsidR="00355922" w:rsidRPr="002B3C04" w:rsidRDefault="00355922" w:rsidP="00355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FF167C5" w14:textId="77777777" w:rsidR="00355922" w:rsidRPr="002860E2" w:rsidRDefault="00355922" w:rsidP="00355922">
            <w:pPr>
              <w:contextualSpacing/>
              <w:rPr>
                <w:rFonts w:asciiTheme="minorHAnsi" w:hAnsiTheme="minorHAnsi"/>
                <w:sz w:val="20"/>
                <w:szCs w:val="20"/>
              </w:rPr>
            </w:pPr>
          </w:p>
          <w:p w14:paraId="6B26EDD8" w14:textId="77777777" w:rsidR="00355922" w:rsidRPr="002860E2" w:rsidRDefault="00355922" w:rsidP="0035592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8E643B" w14:textId="77777777" w:rsidR="00716069" w:rsidRPr="002860E2" w:rsidRDefault="00716069"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EC4CEE" w:rsidRPr="002860E2" w14:paraId="66722A63" w14:textId="77777777" w:rsidTr="00FD7E70">
        <w:trPr>
          <w:cantSplit/>
        </w:trPr>
        <w:tc>
          <w:tcPr>
            <w:tcW w:w="675" w:type="dxa"/>
          </w:tcPr>
          <w:p w14:paraId="13276728" w14:textId="77777777" w:rsidR="00EC4CEE" w:rsidRPr="002860E2" w:rsidRDefault="00EC4CEE" w:rsidP="003D1561">
            <w:pPr>
              <w:numPr>
                <w:ilvl w:val="0"/>
                <w:numId w:val="1"/>
              </w:numPr>
              <w:contextualSpacing/>
              <w:rPr>
                <w:rFonts w:asciiTheme="minorHAnsi" w:hAnsiTheme="minorHAnsi"/>
                <w:b/>
                <w:sz w:val="20"/>
                <w:szCs w:val="20"/>
              </w:rPr>
            </w:pPr>
          </w:p>
        </w:tc>
        <w:tc>
          <w:tcPr>
            <w:tcW w:w="8055" w:type="dxa"/>
          </w:tcPr>
          <w:p w14:paraId="69AD23E6" w14:textId="45777CEC" w:rsidR="00EC4CEE" w:rsidRPr="002860E2" w:rsidRDefault="00716069" w:rsidP="00FD7E70">
            <w:pPr>
              <w:pStyle w:val="ColorfulList-Accent11"/>
              <w:ind w:left="0"/>
              <w:rPr>
                <w:rFonts w:asciiTheme="minorHAnsi" w:hAnsiTheme="minorHAnsi"/>
                <w:sz w:val="20"/>
                <w:szCs w:val="20"/>
              </w:rPr>
            </w:pPr>
            <w:r w:rsidRPr="00716069">
              <w:rPr>
                <w:rFonts w:asciiTheme="minorHAnsi" w:hAnsiTheme="minorHAnsi"/>
                <w:sz w:val="20"/>
                <w:szCs w:val="20"/>
              </w:rPr>
              <w:t>A full "Tech Contact" (object) should be offered to registrants to take advantage of, not the half-way "Tech Fields" concept.</w:t>
            </w:r>
          </w:p>
        </w:tc>
        <w:tc>
          <w:tcPr>
            <w:tcW w:w="2700" w:type="dxa"/>
          </w:tcPr>
          <w:p w14:paraId="32471B80" w14:textId="0E929321" w:rsidR="00EC4CEE" w:rsidRPr="00163E62" w:rsidRDefault="00716069" w:rsidP="00FD7E70">
            <w:pPr>
              <w:contextualSpacing/>
              <w:rPr>
                <w:rFonts w:asciiTheme="minorHAnsi" w:hAnsiTheme="minorHAnsi"/>
                <w:sz w:val="20"/>
                <w:szCs w:val="20"/>
              </w:rPr>
            </w:pPr>
            <w:r w:rsidRPr="00716069">
              <w:rPr>
                <w:rFonts w:asciiTheme="minorHAnsi" w:hAnsiTheme="minorHAnsi"/>
                <w:sz w:val="20"/>
                <w:szCs w:val="20"/>
              </w:rPr>
              <w:t xml:space="preserve">Greg Aaron; </w:t>
            </w:r>
            <w:proofErr w:type="spellStart"/>
            <w:r w:rsidRPr="00716069">
              <w:rPr>
                <w:rFonts w:asciiTheme="minorHAnsi" w:hAnsiTheme="minorHAnsi"/>
                <w:sz w:val="20"/>
                <w:szCs w:val="20"/>
              </w:rPr>
              <w:t>iThreat</w:t>
            </w:r>
            <w:proofErr w:type="spellEnd"/>
            <w:r w:rsidRPr="00716069">
              <w:rPr>
                <w:rFonts w:asciiTheme="minorHAnsi" w:hAnsiTheme="minorHAnsi"/>
                <w:sz w:val="20"/>
                <w:szCs w:val="20"/>
              </w:rPr>
              <w:t xml:space="preserve"> Cyber Group</w:t>
            </w:r>
          </w:p>
        </w:tc>
        <w:tc>
          <w:tcPr>
            <w:tcW w:w="3960" w:type="dxa"/>
          </w:tcPr>
          <w:p w14:paraId="6CF6DB62" w14:textId="77777777" w:rsidR="00EC4CEE" w:rsidRPr="002860E2"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54B2F4B" w14:textId="77777777" w:rsidR="00EC4CEE" w:rsidRPr="002B3C04"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0623147" w14:textId="77777777" w:rsidR="00EC4CEE" w:rsidRPr="002860E2"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095340" w14:textId="77777777" w:rsidR="00EC4CEE" w:rsidRPr="002B3C04"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ACB8BA8" w14:textId="77777777" w:rsidR="00EC4CEE" w:rsidRPr="002860E2" w:rsidRDefault="00EC4CEE" w:rsidP="00EC4CEE">
            <w:pPr>
              <w:contextualSpacing/>
              <w:rPr>
                <w:rFonts w:asciiTheme="minorHAnsi" w:hAnsiTheme="minorHAnsi"/>
                <w:sz w:val="20"/>
                <w:szCs w:val="20"/>
              </w:rPr>
            </w:pPr>
          </w:p>
          <w:p w14:paraId="3DB9517F" w14:textId="77777777" w:rsidR="00EC4CEE" w:rsidRPr="002860E2" w:rsidRDefault="00EC4CEE" w:rsidP="00EC4CE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9784816" w14:textId="77777777" w:rsidR="00EC4CEE" w:rsidRPr="002860E2" w:rsidRDefault="00EC4CE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bl>
    <w:p w14:paraId="44D11339" w14:textId="77777777" w:rsidR="0030288E" w:rsidRDefault="0030288E" w:rsidP="00A4650C">
      <w:pPr>
        <w:rPr>
          <w:rFonts w:asciiTheme="minorHAnsi" w:hAnsiTheme="minorHAnsi"/>
        </w:rPr>
      </w:pPr>
    </w:p>
    <w:p w14:paraId="23DB43D5" w14:textId="77777777" w:rsidR="00A4650C" w:rsidRPr="002860E2" w:rsidRDefault="00A4650C" w:rsidP="00676084">
      <w:pPr>
        <w:rPr>
          <w:rFonts w:asciiTheme="minorHAnsi" w:hAnsiTheme="minorHAnsi"/>
        </w:rPr>
      </w:pPr>
    </w:p>
    <w:sectPr w:rsidR="00A4650C"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D9547" w14:textId="77777777" w:rsidR="000B5D72" w:rsidRDefault="000B5D72" w:rsidP="00E3563F">
      <w:r>
        <w:separator/>
      </w:r>
    </w:p>
  </w:endnote>
  <w:endnote w:type="continuationSeparator" w:id="0">
    <w:p w14:paraId="7E7F437E" w14:textId="77777777" w:rsidR="000B5D72" w:rsidRDefault="000B5D72"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C1F8B" w14:textId="77777777" w:rsidR="0079762E" w:rsidRDefault="0079762E">
    <w:pPr>
      <w:pStyle w:val="Footer"/>
      <w:jc w:val="center"/>
    </w:pPr>
    <w:r>
      <w:fldChar w:fldCharType="begin"/>
    </w:r>
    <w:r>
      <w:instrText xml:space="preserve"> PAGE   \* MERGEFORMAT </w:instrText>
    </w:r>
    <w:r>
      <w:fldChar w:fldCharType="separate"/>
    </w:r>
    <w:r>
      <w:rPr>
        <w:noProof/>
      </w:rPr>
      <w:t>22</w:t>
    </w:r>
    <w:r>
      <w:rPr>
        <w:noProof/>
      </w:rPr>
      <w:fldChar w:fldCharType="end"/>
    </w:r>
  </w:p>
  <w:p w14:paraId="2A63014C" w14:textId="77777777" w:rsidR="0079762E" w:rsidRDefault="0079762E">
    <w:pPr>
      <w:pStyle w:val="Footer"/>
    </w:pPr>
  </w:p>
  <w:p w14:paraId="3335865E" w14:textId="77777777" w:rsidR="0079762E" w:rsidRDefault="007976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EE3CF" w14:textId="77777777" w:rsidR="000B5D72" w:rsidRDefault="000B5D72" w:rsidP="00E3563F">
      <w:r>
        <w:separator/>
      </w:r>
    </w:p>
  </w:footnote>
  <w:footnote w:type="continuationSeparator" w:id="0">
    <w:p w14:paraId="3DF710CD" w14:textId="77777777" w:rsidR="000B5D72" w:rsidRDefault="000B5D72"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32B3"/>
    <w:multiLevelType w:val="hybridMultilevel"/>
    <w:tmpl w:val="77DE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C260C"/>
    <w:multiLevelType w:val="hybridMultilevel"/>
    <w:tmpl w:val="1DE0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F3108"/>
    <w:multiLevelType w:val="hybridMultilevel"/>
    <w:tmpl w:val="8132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20102"/>
    <w:multiLevelType w:val="hybridMultilevel"/>
    <w:tmpl w:val="ABBE2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0685"/>
    <w:multiLevelType w:val="hybridMultilevel"/>
    <w:tmpl w:val="7826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938B5"/>
    <w:multiLevelType w:val="hybridMultilevel"/>
    <w:tmpl w:val="865E5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F7BA8"/>
    <w:multiLevelType w:val="hybridMultilevel"/>
    <w:tmpl w:val="726AB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A3250"/>
    <w:multiLevelType w:val="hybridMultilevel"/>
    <w:tmpl w:val="E7485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19477D"/>
    <w:multiLevelType w:val="hybridMultilevel"/>
    <w:tmpl w:val="8938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800E2"/>
    <w:multiLevelType w:val="hybridMultilevel"/>
    <w:tmpl w:val="37DE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859BD"/>
    <w:multiLevelType w:val="hybridMultilevel"/>
    <w:tmpl w:val="EECA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DA1A6B"/>
    <w:multiLevelType w:val="hybridMultilevel"/>
    <w:tmpl w:val="3E50C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32C70"/>
    <w:multiLevelType w:val="hybridMultilevel"/>
    <w:tmpl w:val="1B84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A5258"/>
    <w:multiLevelType w:val="hybridMultilevel"/>
    <w:tmpl w:val="8E34D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A652F9"/>
    <w:multiLevelType w:val="hybridMultilevel"/>
    <w:tmpl w:val="E788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64209F"/>
    <w:multiLevelType w:val="hybridMultilevel"/>
    <w:tmpl w:val="3BEE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0E46B5"/>
    <w:multiLevelType w:val="hybridMultilevel"/>
    <w:tmpl w:val="BC40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B006FC"/>
    <w:multiLevelType w:val="hybridMultilevel"/>
    <w:tmpl w:val="460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3"/>
  </w:num>
  <w:num w:numId="4">
    <w:abstractNumId w:val="5"/>
  </w:num>
  <w:num w:numId="5">
    <w:abstractNumId w:val="2"/>
  </w:num>
  <w:num w:numId="6">
    <w:abstractNumId w:val="17"/>
  </w:num>
  <w:num w:numId="7">
    <w:abstractNumId w:val="1"/>
  </w:num>
  <w:num w:numId="8">
    <w:abstractNumId w:val="10"/>
  </w:num>
  <w:num w:numId="9">
    <w:abstractNumId w:val="14"/>
  </w:num>
  <w:num w:numId="10">
    <w:abstractNumId w:val="9"/>
  </w:num>
  <w:num w:numId="11">
    <w:abstractNumId w:val="13"/>
  </w:num>
  <w:num w:numId="12">
    <w:abstractNumId w:val="12"/>
  </w:num>
  <w:num w:numId="13">
    <w:abstractNumId w:val="18"/>
  </w:num>
  <w:num w:numId="14">
    <w:abstractNumId w:val="6"/>
  </w:num>
  <w:num w:numId="15">
    <w:abstractNumId w:val="0"/>
  </w:num>
  <w:num w:numId="16">
    <w:abstractNumId w:val="8"/>
  </w:num>
  <w:num w:numId="17">
    <w:abstractNumId w:val="11"/>
  </w:num>
  <w:num w:numId="18">
    <w:abstractNumId w:val="15"/>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2273"/>
    <w:rsid w:val="00003669"/>
    <w:rsid w:val="00016B3A"/>
    <w:rsid w:val="00032527"/>
    <w:rsid w:val="00046448"/>
    <w:rsid w:val="00052313"/>
    <w:rsid w:val="0005511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5695"/>
    <w:rsid w:val="000B5D72"/>
    <w:rsid w:val="000B687E"/>
    <w:rsid w:val="000C213E"/>
    <w:rsid w:val="000C41AC"/>
    <w:rsid w:val="000C4B86"/>
    <w:rsid w:val="000D4882"/>
    <w:rsid w:val="000E0B7B"/>
    <w:rsid w:val="000E3475"/>
    <w:rsid w:val="000E390E"/>
    <w:rsid w:val="000E62C3"/>
    <w:rsid w:val="000E7DA1"/>
    <w:rsid w:val="000F0BCC"/>
    <w:rsid w:val="000F2AAF"/>
    <w:rsid w:val="000F6219"/>
    <w:rsid w:val="00110E6D"/>
    <w:rsid w:val="00132872"/>
    <w:rsid w:val="00142DA9"/>
    <w:rsid w:val="00144DA9"/>
    <w:rsid w:val="00145919"/>
    <w:rsid w:val="00151872"/>
    <w:rsid w:val="001556A8"/>
    <w:rsid w:val="00156DE5"/>
    <w:rsid w:val="00160157"/>
    <w:rsid w:val="00161E5B"/>
    <w:rsid w:val="00163E62"/>
    <w:rsid w:val="00163F0A"/>
    <w:rsid w:val="0016792B"/>
    <w:rsid w:val="0017295E"/>
    <w:rsid w:val="00172D14"/>
    <w:rsid w:val="001735E3"/>
    <w:rsid w:val="00174146"/>
    <w:rsid w:val="00175AB9"/>
    <w:rsid w:val="00196DBB"/>
    <w:rsid w:val="00197AE1"/>
    <w:rsid w:val="00197D6B"/>
    <w:rsid w:val="001A0130"/>
    <w:rsid w:val="001A44C3"/>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5639A"/>
    <w:rsid w:val="002657F2"/>
    <w:rsid w:val="00274F8B"/>
    <w:rsid w:val="002837B8"/>
    <w:rsid w:val="002860E2"/>
    <w:rsid w:val="002A242E"/>
    <w:rsid w:val="002A3985"/>
    <w:rsid w:val="002A6B5C"/>
    <w:rsid w:val="002A7DE1"/>
    <w:rsid w:val="002B0C71"/>
    <w:rsid w:val="002B3C04"/>
    <w:rsid w:val="002B51A5"/>
    <w:rsid w:val="002B71EE"/>
    <w:rsid w:val="002C643C"/>
    <w:rsid w:val="002D126A"/>
    <w:rsid w:val="002D5CF1"/>
    <w:rsid w:val="002E20D5"/>
    <w:rsid w:val="002E740C"/>
    <w:rsid w:val="002F0728"/>
    <w:rsid w:val="002F583D"/>
    <w:rsid w:val="0030288E"/>
    <w:rsid w:val="00303472"/>
    <w:rsid w:val="00312150"/>
    <w:rsid w:val="00317EE9"/>
    <w:rsid w:val="00321637"/>
    <w:rsid w:val="003236F8"/>
    <w:rsid w:val="003239C4"/>
    <w:rsid w:val="00323E92"/>
    <w:rsid w:val="00324893"/>
    <w:rsid w:val="00325C14"/>
    <w:rsid w:val="00327850"/>
    <w:rsid w:val="00331298"/>
    <w:rsid w:val="00337C68"/>
    <w:rsid w:val="00341F99"/>
    <w:rsid w:val="00342D0A"/>
    <w:rsid w:val="00355922"/>
    <w:rsid w:val="003620B8"/>
    <w:rsid w:val="00363D66"/>
    <w:rsid w:val="003664BF"/>
    <w:rsid w:val="00366703"/>
    <w:rsid w:val="00377A18"/>
    <w:rsid w:val="00377D54"/>
    <w:rsid w:val="00384A45"/>
    <w:rsid w:val="00397CCB"/>
    <w:rsid w:val="003A6E63"/>
    <w:rsid w:val="003C3C9E"/>
    <w:rsid w:val="003C4B9A"/>
    <w:rsid w:val="003C7707"/>
    <w:rsid w:val="003D1561"/>
    <w:rsid w:val="003D238F"/>
    <w:rsid w:val="003D77F3"/>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B7FF0"/>
    <w:rsid w:val="004D0107"/>
    <w:rsid w:val="004D02DD"/>
    <w:rsid w:val="004D1348"/>
    <w:rsid w:val="004D4F71"/>
    <w:rsid w:val="004D549B"/>
    <w:rsid w:val="004E5687"/>
    <w:rsid w:val="004F47AB"/>
    <w:rsid w:val="00501BDF"/>
    <w:rsid w:val="00504173"/>
    <w:rsid w:val="00521AD0"/>
    <w:rsid w:val="0052462D"/>
    <w:rsid w:val="00526F52"/>
    <w:rsid w:val="0053052E"/>
    <w:rsid w:val="00534C71"/>
    <w:rsid w:val="00540E66"/>
    <w:rsid w:val="00544355"/>
    <w:rsid w:val="0054485F"/>
    <w:rsid w:val="005453C6"/>
    <w:rsid w:val="005550E9"/>
    <w:rsid w:val="0055620F"/>
    <w:rsid w:val="00562DD7"/>
    <w:rsid w:val="00562DE0"/>
    <w:rsid w:val="00570197"/>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2D40"/>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17E8"/>
    <w:rsid w:val="00712997"/>
    <w:rsid w:val="00713FC1"/>
    <w:rsid w:val="00716069"/>
    <w:rsid w:val="007160CD"/>
    <w:rsid w:val="0073029D"/>
    <w:rsid w:val="0073082D"/>
    <w:rsid w:val="0073280D"/>
    <w:rsid w:val="00735DB2"/>
    <w:rsid w:val="00735E1A"/>
    <w:rsid w:val="0074180B"/>
    <w:rsid w:val="007526AE"/>
    <w:rsid w:val="007604EC"/>
    <w:rsid w:val="00761956"/>
    <w:rsid w:val="00761C50"/>
    <w:rsid w:val="007663C1"/>
    <w:rsid w:val="00775F35"/>
    <w:rsid w:val="007861C8"/>
    <w:rsid w:val="00790C44"/>
    <w:rsid w:val="0079762E"/>
    <w:rsid w:val="007A3055"/>
    <w:rsid w:val="007A5222"/>
    <w:rsid w:val="007A63F1"/>
    <w:rsid w:val="007A7405"/>
    <w:rsid w:val="007C5344"/>
    <w:rsid w:val="007C58A9"/>
    <w:rsid w:val="007C65DC"/>
    <w:rsid w:val="007C7810"/>
    <w:rsid w:val="007F3A26"/>
    <w:rsid w:val="007F7544"/>
    <w:rsid w:val="0080405F"/>
    <w:rsid w:val="00810CE7"/>
    <w:rsid w:val="00824FEA"/>
    <w:rsid w:val="00830049"/>
    <w:rsid w:val="0083774F"/>
    <w:rsid w:val="008422A0"/>
    <w:rsid w:val="00851F3A"/>
    <w:rsid w:val="008622EB"/>
    <w:rsid w:val="00864622"/>
    <w:rsid w:val="00871292"/>
    <w:rsid w:val="0088506D"/>
    <w:rsid w:val="008922F0"/>
    <w:rsid w:val="0089474A"/>
    <w:rsid w:val="008A039F"/>
    <w:rsid w:val="008B7535"/>
    <w:rsid w:val="008C34A2"/>
    <w:rsid w:val="008D71E5"/>
    <w:rsid w:val="008D7EE5"/>
    <w:rsid w:val="008F48C8"/>
    <w:rsid w:val="008F4FC6"/>
    <w:rsid w:val="008F74B7"/>
    <w:rsid w:val="00901A1D"/>
    <w:rsid w:val="00901F25"/>
    <w:rsid w:val="009216A5"/>
    <w:rsid w:val="009370D8"/>
    <w:rsid w:val="00943672"/>
    <w:rsid w:val="00951126"/>
    <w:rsid w:val="009556B8"/>
    <w:rsid w:val="00956CDB"/>
    <w:rsid w:val="00962367"/>
    <w:rsid w:val="00971083"/>
    <w:rsid w:val="00974330"/>
    <w:rsid w:val="009759BA"/>
    <w:rsid w:val="00981E95"/>
    <w:rsid w:val="00984779"/>
    <w:rsid w:val="0098665A"/>
    <w:rsid w:val="00992561"/>
    <w:rsid w:val="00992DD8"/>
    <w:rsid w:val="009A7920"/>
    <w:rsid w:val="009B0A15"/>
    <w:rsid w:val="009C09D6"/>
    <w:rsid w:val="009C6E74"/>
    <w:rsid w:val="009D7D5D"/>
    <w:rsid w:val="009E1260"/>
    <w:rsid w:val="009E2B92"/>
    <w:rsid w:val="009E79DE"/>
    <w:rsid w:val="009F48F2"/>
    <w:rsid w:val="00A02F8A"/>
    <w:rsid w:val="00A075ED"/>
    <w:rsid w:val="00A1507F"/>
    <w:rsid w:val="00A3656B"/>
    <w:rsid w:val="00A36B8F"/>
    <w:rsid w:val="00A40E02"/>
    <w:rsid w:val="00A443A1"/>
    <w:rsid w:val="00A4650C"/>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0A59"/>
    <w:rsid w:val="00B05323"/>
    <w:rsid w:val="00B128B5"/>
    <w:rsid w:val="00B14612"/>
    <w:rsid w:val="00B20BA4"/>
    <w:rsid w:val="00B25836"/>
    <w:rsid w:val="00B274E4"/>
    <w:rsid w:val="00B306AD"/>
    <w:rsid w:val="00B33F28"/>
    <w:rsid w:val="00B416E0"/>
    <w:rsid w:val="00B5401F"/>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21D8"/>
    <w:rsid w:val="00CE5D4C"/>
    <w:rsid w:val="00CF764A"/>
    <w:rsid w:val="00D0061C"/>
    <w:rsid w:val="00D0168C"/>
    <w:rsid w:val="00D045AC"/>
    <w:rsid w:val="00D10CEF"/>
    <w:rsid w:val="00D22D39"/>
    <w:rsid w:val="00D26553"/>
    <w:rsid w:val="00D3005F"/>
    <w:rsid w:val="00D32791"/>
    <w:rsid w:val="00D4024E"/>
    <w:rsid w:val="00D45F9B"/>
    <w:rsid w:val="00D5734F"/>
    <w:rsid w:val="00D80DC7"/>
    <w:rsid w:val="00D829C9"/>
    <w:rsid w:val="00D8703B"/>
    <w:rsid w:val="00D95C06"/>
    <w:rsid w:val="00DA2D3F"/>
    <w:rsid w:val="00DB0E8C"/>
    <w:rsid w:val="00DB45C9"/>
    <w:rsid w:val="00DB4F1E"/>
    <w:rsid w:val="00DB59EA"/>
    <w:rsid w:val="00DC26AA"/>
    <w:rsid w:val="00DC6811"/>
    <w:rsid w:val="00DC6A17"/>
    <w:rsid w:val="00DD27C4"/>
    <w:rsid w:val="00DE42B5"/>
    <w:rsid w:val="00E0015B"/>
    <w:rsid w:val="00E0308C"/>
    <w:rsid w:val="00E03F02"/>
    <w:rsid w:val="00E0436F"/>
    <w:rsid w:val="00E0743F"/>
    <w:rsid w:val="00E0778D"/>
    <w:rsid w:val="00E15F01"/>
    <w:rsid w:val="00E2012C"/>
    <w:rsid w:val="00E202D3"/>
    <w:rsid w:val="00E212B7"/>
    <w:rsid w:val="00E22C7A"/>
    <w:rsid w:val="00E237D5"/>
    <w:rsid w:val="00E24D1D"/>
    <w:rsid w:val="00E3563F"/>
    <w:rsid w:val="00E45785"/>
    <w:rsid w:val="00E517C0"/>
    <w:rsid w:val="00E527FF"/>
    <w:rsid w:val="00E529E0"/>
    <w:rsid w:val="00E71ABE"/>
    <w:rsid w:val="00E724A6"/>
    <w:rsid w:val="00E754E3"/>
    <w:rsid w:val="00E773EA"/>
    <w:rsid w:val="00E776CB"/>
    <w:rsid w:val="00E802B1"/>
    <w:rsid w:val="00E829A7"/>
    <w:rsid w:val="00E87E02"/>
    <w:rsid w:val="00E9365C"/>
    <w:rsid w:val="00E93DB0"/>
    <w:rsid w:val="00EA0008"/>
    <w:rsid w:val="00EA3E0C"/>
    <w:rsid w:val="00EA6408"/>
    <w:rsid w:val="00EB2E50"/>
    <w:rsid w:val="00EB4D7A"/>
    <w:rsid w:val="00EC13CD"/>
    <w:rsid w:val="00EC2C46"/>
    <w:rsid w:val="00EC4CEE"/>
    <w:rsid w:val="00ED17FC"/>
    <w:rsid w:val="00ED7630"/>
    <w:rsid w:val="00EE6E18"/>
    <w:rsid w:val="00EE7E1D"/>
    <w:rsid w:val="00EF1D00"/>
    <w:rsid w:val="00EF2BF4"/>
    <w:rsid w:val="00EF4503"/>
    <w:rsid w:val="00EF5087"/>
    <w:rsid w:val="00F028EC"/>
    <w:rsid w:val="00F03C2D"/>
    <w:rsid w:val="00F10EBE"/>
    <w:rsid w:val="00F122A1"/>
    <w:rsid w:val="00F15020"/>
    <w:rsid w:val="00F31E74"/>
    <w:rsid w:val="00F330AF"/>
    <w:rsid w:val="00F37E8A"/>
    <w:rsid w:val="00F45D75"/>
    <w:rsid w:val="00F50303"/>
    <w:rsid w:val="00F546E9"/>
    <w:rsid w:val="00F6678E"/>
    <w:rsid w:val="00F66963"/>
    <w:rsid w:val="00F66C03"/>
    <w:rsid w:val="00F73556"/>
    <w:rsid w:val="00F73991"/>
    <w:rsid w:val="00F74F78"/>
    <w:rsid w:val="00F830FF"/>
    <w:rsid w:val="00F879B2"/>
    <w:rsid w:val="00F96759"/>
    <w:rsid w:val="00FC0189"/>
    <w:rsid w:val="00FD110C"/>
    <w:rsid w:val="00FD20CF"/>
    <w:rsid w:val="00FD7E70"/>
    <w:rsid w:val="00FE7FF9"/>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65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348-41EB-AB2B-097DCE2B42A7}"/>
              </c:ext>
            </c:extLst>
          </c:dPt>
          <c:dPt>
            <c:idx val="1"/>
            <c:bubble3D val="0"/>
            <c:spPr>
              <a:solidFill>
                <a:srgbClr val="FF0000"/>
              </a:solidFill>
            </c:spPr>
            <c:extLst>
              <c:ext xmlns:c16="http://schemas.microsoft.com/office/drawing/2014/chart" uri="{C3380CC4-5D6E-409C-BE32-E72D297353CC}">
                <c16:uniqueId val="{00000003-A348-41EB-AB2B-097DCE2B42A7}"/>
              </c:ext>
            </c:extLst>
          </c:dPt>
          <c:dPt>
            <c:idx val="2"/>
            <c:bubble3D val="0"/>
            <c:spPr>
              <a:solidFill>
                <a:srgbClr val="4BACC6">
                  <a:lumMod val="20000"/>
                  <a:lumOff val="80000"/>
                </a:srgbClr>
              </a:solidFill>
            </c:spPr>
            <c:extLst>
              <c:ext xmlns:c16="http://schemas.microsoft.com/office/drawing/2014/chart" uri="{C3380CC4-5D6E-409C-BE32-E72D297353CC}">
                <c16:uniqueId val="{00000005-A348-41EB-AB2B-097DCE2B42A7}"/>
              </c:ext>
            </c:extLst>
          </c:dPt>
          <c:dPt>
            <c:idx val="3"/>
            <c:bubble3D val="0"/>
            <c:spPr>
              <a:solidFill>
                <a:srgbClr val="FF0000"/>
              </a:solidFill>
            </c:spPr>
            <c:extLst>
              <c:ext xmlns:c16="http://schemas.microsoft.com/office/drawing/2014/chart" uri="{C3380CC4-5D6E-409C-BE32-E72D297353CC}">
                <c16:uniqueId val="{00000007-A348-41EB-AB2B-097DCE2B42A7}"/>
              </c:ext>
            </c:extLst>
          </c:dPt>
          <c:dPt>
            <c:idx val="4"/>
            <c:bubble3D val="0"/>
            <c:spPr>
              <a:solidFill>
                <a:schemeClr val="accent5">
                  <a:lumMod val="20000"/>
                  <a:lumOff val="80000"/>
                </a:schemeClr>
              </a:solidFill>
            </c:spPr>
            <c:extLst>
              <c:ext xmlns:c16="http://schemas.microsoft.com/office/drawing/2014/chart" uri="{C3380CC4-5D6E-409C-BE32-E72D297353CC}">
                <c16:uniqueId val="{00000009-A348-41EB-AB2B-097DCE2B42A7}"/>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Responses'!$AT$47:$AT$49</c:f>
              <c:strCache>
                <c:ptCount val="3"/>
                <c:pt idx="0">
                  <c:v>Yes</c:v>
                </c:pt>
                <c:pt idx="1">
                  <c:v>No</c:v>
                </c:pt>
                <c:pt idx="2">
                  <c:v>Not designated</c:v>
                </c:pt>
              </c:strCache>
            </c:strRef>
          </c:cat>
          <c:val>
            <c:numRef>
              <c:f>'Form Responses'!$AU$47:$AU$49</c:f>
              <c:numCache>
                <c:formatCode>General</c:formatCode>
                <c:ptCount val="3"/>
                <c:pt idx="0">
                  <c:v>18</c:v>
                </c:pt>
                <c:pt idx="1">
                  <c:v>10</c:v>
                </c:pt>
                <c:pt idx="2">
                  <c:v>14</c:v>
                </c:pt>
              </c:numCache>
            </c:numRef>
          </c:val>
          <c:extLst>
            <c:ext xmlns:c16="http://schemas.microsoft.com/office/drawing/2014/chart" uri="{C3380CC4-5D6E-409C-BE32-E72D297353CC}">
              <c16:uniqueId val="{0000000A-A348-41EB-AB2B-097DCE2B42A7}"/>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03C48-7ED8-4146-AB59-A578EA3D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11</Pages>
  <Words>2695</Words>
  <Characters>15364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2018-12-30T22:11:00Z</dcterms:created>
  <dcterms:modified xsi:type="dcterms:W3CDTF">2018-12-30T22:47:00Z</dcterms:modified>
</cp:coreProperties>
</file>