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sidRPr="003670D7">
        <w:rPr>
          <w:rFonts w:asciiTheme="minorHAnsi" w:hAnsiTheme="minorHAnsi"/>
          <w:sz w:val="22"/>
        </w:rPr>
        <w:t>2</w:t>
      </w:r>
      <w:r w:rsidR="00C67484">
        <w:rPr>
          <w:rFonts w:asciiTheme="minorHAnsi" w:hAnsiTheme="minorHAnsi"/>
          <w:sz w:val="22"/>
        </w:rPr>
        <w:t>8</w:t>
      </w:r>
      <w:r w:rsidR="001A0130" w:rsidRPr="003670D7">
        <w:rPr>
          <w:rFonts w:asciiTheme="minorHAnsi" w:hAnsiTheme="minorHAnsi"/>
          <w:sz w:val="22"/>
        </w:rPr>
        <w:t xml:space="preserve"> </w:t>
      </w:r>
      <w:r w:rsidR="00B65811" w:rsidRPr="003670D7">
        <w:rPr>
          <w:rFonts w:asciiTheme="minorHAnsi" w:hAnsiTheme="minorHAnsi"/>
          <w:sz w:val="22"/>
        </w:rPr>
        <w:t>December</w:t>
      </w:r>
      <w:r w:rsidR="00E3563F" w:rsidRPr="003670D7">
        <w:rPr>
          <w:rFonts w:asciiTheme="minorHAnsi" w:hAnsiTheme="minorHAnsi"/>
          <w:sz w:val="22"/>
        </w:rPr>
        <w:t xml:space="preserve"> 201</w:t>
      </w:r>
      <w:r w:rsidR="00B65811" w:rsidRPr="003670D7">
        <w:rPr>
          <w:rFonts w:asciiTheme="minorHAnsi" w:hAnsiTheme="minorHAnsi"/>
          <w:sz w:val="22"/>
        </w:rPr>
        <w:t>8</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BC7414">
        <w:rPr>
          <w:rFonts w:asciiTheme="minorHAnsi" w:hAnsiTheme="minorHAnsi"/>
          <w:color w:val="FFFFFF" w:themeColor="background1"/>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C11E34">
        <w:tc>
          <w:tcPr>
            <w:tcW w:w="15390" w:type="dxa"/>
            <w:gridSpan w:val="4"/>
            <w:tcBorders>
              <w:bottom w:val="single" w:sz="4" w:space="0" w:color="000000"/>
            </w:tcBorders>
            <w:shd w:val="clear" w:color="auto" w:fill="D9D9D9" w:themeFill="background1" w:themeFillShade="D9"/>
          </w:tcPr>
          <w:p w:rsidR="00BC7414" w:rsidRPr="00BC7414" w:rsidRDefault="00BC7414" w:rsidP="00BC7414">
            <w:pPr>
              <w:contextualSpacing/>
              <w:rPr>
                <w:rFonts w:asciiTheme="minorHAnsi" w:hAnsiTheme="minorHAnsi"/>
                <w:noProof/>
                <w:sz w:val="20"/>
                <w:szCs w:val="20"/>
              </w:rPr>
            </w:pPr>
            <w:r w:rsidRPr="00BC7414">
              <w:rPr>
                <w:rFonts w:asciiTheme="minorHAnsi" w:hAnsiTheme="minorHAnsi"/>
                <w:noProof/>
                <w:sz w:val="20"/>
                <w:szCs w:val="20"/>
              </w:rPr>
              <w:t>Per the EPDP Team Charter, the EPDP Team is committed to considering a system for Standardized Access to non­public Registration Data once the gating questions in the charter have been answered. This will include addressing questions such as: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legitimate purposes for third parties to access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are the eligibility criteria for access to non­public Registration data?</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Do those parties/groups consist of different types of third­party requestors?</w:t>
            </w:r>
          </w:p>
          <w:p w:rsidR="00BC7414" w:rsidRPr="00BC7414" w:rsidRDefault="00BC7414" w:rsidP="00BC7414">
            <w:pPr>
              <w:pStyle w:val="ListParagraph"/>
              <w:numPr>
                <w:ilvl w:val="0"/>
                <w:numId w:val="40"/>
              </w:numPr>
              <w:contextualSpacing/>
              <w:rPr>
                <w:rFonts w:asciiTheme="minorHAnsi" w:hAnsiTheme="minorHAnsi"/>
                <w:noProof/>
                <w:sz w:val="20"/>
                <w:szCs w:val="20"/>
              </w:rPr>
            </w:pPr>
            <w:r w:rsidRPr="00BC7414">
              <w:rPr>
                <w:rFonts w:asciiTheme="minorHAnsi" w:hAnsiTheme="minorHAnsi"/>
                <w:noProof/>
                <w:sz w:val="20"/>
                <w:szCs w:val="20"/>
              </w:rPr>
              <w:t>What data elements should each user/party have access to?</w:t>
            </w:r>
          </w:p>
          <w:p w:rsidR="00BC7414" w:rsidRPr="00BC7414" w:rsidRDefault="00BC7414" w:rsidP="00BC7414">
            <w:pPr>
              <w:contextualSpacing/>
              <w:rPr>
                <w:rFonts w:asciiTheme="minorHAnsi" w:hAnsiTheme="minorHAnsi"/>
                <w:noProof/>
                <w:sz w:val="20"/>
                <w:szCs w:val="20"/>
              </w:rPr>
            </w:pPr>
          </w:p>
          <w:p w:rsidR="00175AB9" w:rsidRDefault="00BC7414" w:rsidP="00BC7414">
            <w:pPr>
              <w:contextualSpacing/>
              <w:rPr>
                <w:rFonts w:asciiTheme="minorHAnsi" w:hAnsiTheme="minorHAnsi"/>
                <w:noProof/>
              </w:rPr>
            </w:pPr>
            <w:r w:rsidRPr="00BC7414">
              <w:rPr>
                <w:rFonts w:asciiTheme="minorHAnsi" w:hAnsiTheme="minorHAnsi"/>
                <w:noProof/>
                <w:sz w:val="20"/>
                <w:szCs w:val="20"/>
              </w:rPr>
              <w:t>In this context, amongst others, disclosure in the course of intellectual property infringement and DNS abuse cases will be considered.</w:t>
            </w:r>
          </w:p>
          <w:p w:rsidR="00BC7414" w:rsidRPr="00BC7414" w:rsidRDefault="00BC7414" w:rsidP="00BC7414">
            <w:pPr>
              <w:contextualSpacing/>
              <w:rPr>
                <w:rFonts w:asciiTheme="minorHAnsi" w:hAnsiTheme="minorHAnsi"/>
                <w:b/>
                <w:sz w:val="20"/>
                <w:szCs w:val="20"/>
              </w:rPr>
            </w:pPr>
          </w:p>
          <w:p w:rsidR="004F47AB" w:rsidRPr="002860E2" w:rsidRDefault="00C11E34" w:rsidP="00BC7414">
            <w:pPr>
              <w:contextualSpacing/>
              <w:rPr>
                <w:rFonts w:asciiTheme="minorHAnsi" w:hAnsiTheme="minorHAnsi"/>
                <w:b/>
                <w:sz w:val="22"/>
              </w:rPr>
            </w:pPr>
            <w:r>
              <w:rPr>
                <w:noProof/>
              </w:rPr>
              <w:drawing>
                <wp:inline distT="0" distB="0" distL="0" distR="0" wp14:anchorId="0CEB24CB" wp14:editId="7A508617">
                  <wp:extent cx="4363641" cy="2792015"/>
                  <wp:effectExtent l="0" t="0" r="0" b="8890"/>
                  <wp:docPr id="1" name="Chart 1">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2E20D5">
        <w:tc>
          <w:tcPr>
            <w:tcW w:w="15390" w:type="dxa"/>
            <w:gridSpan w:val="4"/>
            <w:tcBorders>
              <w:bottom w:val="single" w:sz="4" w:space="0" w:color="000000"/>
            </w:tcBorders>
            <w:shd w:val="clear" w:color="auto" w:fill="00B050"/>
          </w:tcPr>
          <w:p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9655A8" w:rsidP="005417AB">
            <w:pPr>
              <w:pStyle w:val="ColorfulList-Accent11"/>
              <w:ind w:left="0"/>
              <w:rPr>
                <w:rFonts w:asciiTheme="minorHAnsi" w:hAnsiTheme="minorHAnsi"/>
                <w:sz w:val="20"/>
                <w:szCs w:val="20"/>
              </w:rPr>
            </w:pPr>
            <w:r>
              <w:rPr>
                <w:rFonts w:asciiTheme="minorHAnsi" w:hAnsiTheme="minorHAnsi"/>
                <w:sz w:val="20"/>
                <w:szCs w:val="20"/>
              </w:rPr>
              <w:t>No comment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9D233C" w:rsidRDefault="00D40128"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David Martel</w:t>
            </w:r>
          </w:p>
          <w:p w:rsidR="009D233C" w:rsidRPr="009D233C" w:rsidRDefault="009D233C"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Etienne Laurin</w:t>
            </w:r>
          </w:p>
          <w:p w:rsidR="009D233C" w:rsidRPr="009D233C" w:rsidRDefault="009D233C" w:rsidP="009D233C">
            <w:pPr>
              <w:pStyle w:val="ListParagraph"/>
              <w:numPr>
                <w:ilvl w:val="0"/>
                <w:numId w:val="42"/>
              </w:numPr>
              <w:ind w:left="342"/>
              <w:contextualSpacing/>
              <w:rPr>
                <w:rFonts w:asciiTheme="minorHAnsi" w:hAnsiTheme="minorHAnsi"/>
                <w:sz w:val="20"/>
                <w:szCs w:val="20"/>
              </w:rPr>
            </w:pPr>
            <w:proofErr w:type="spellStart"/>
            <w:r w:rsidRPr="009D233C">
              <w:rPr>
                <w:rFonts w:asciiTheme="minorHAnsi" w:hAnsiTheme="minorHAnsi"/>
                <w:sz w:val="20"/>
                <w:szCs w:val="20"/>
              </w:rPr>
              <w:t>Evin</w:t>
            </w:r>
            <w:proofErr w:type="spellEnd"/>
            <w:r w:rsidRPr="009D233C">
              <w:rPr>
                <w:rFonts w:asciiTheme="minorHAnsi" w:hAnsiTheme="minorHAnsi"/>
                <w:sz w:val="20"/>
                <w:szCs w:val="20"/>
              </w:rPr>
              <w:t xml:space="preserve"> </w:t>
            </w:r>
            <w:proofErr w:type="spellStart"/>
            <w:r w:rsidRPr="009D233C">
              <w:rPr>
                <w:rFonts w:asciiTheme="minorHAnsi" w:hAnsiTheme="minorHAnsi"/>
                <w:sz w:val="20"/>
                <w:szCs w:val="20"/>
              </w:rPr>
              <w:t>Erdoğdu</w:t>
            </w:r>
            <w:proofErr w:type="spellEnd"/>
            <w:r w:rsidRPr="009D233C">
              <w:rPr>
                <w:rFonts w:asciiTheme="minorHAnsi" w:hAnsiTheme="minorHAnsi"/>
                <w:sz w:val="20"/>
                <w:szCs w:val="20"/>
              </w:rPr>
              <w:t>; ALAC</w:t>
            </w:r>
          </w:p>
          <w:p w:rsidR="009D233C" w:rsidRPr="009D233C" w:rsidRDefault="009D233C" w:rsidP="009D233C">
            <w:pPr>
              <w:pStyle w:val="ListParagraph"/>
              <w:numPr>
                <w:ilvl w:val="0"/>
                <w:numId w:val="42"/>
              </w:numPr>
              <w:ind w:left="342"/>
              <w:contextualSpacing/>
              <w:rPr>
                <w:rFonts w:asciiTheme="minorHAnsi" w:hAnsiTheme="minorHAnsi"/>
                <w:sz w:val="20"/>
                <w:szCs w:val="20"/>
              </w:rPr>
            </w:pPr>
            <w:r w:rsidRPr="009D233C">
              <w:rPr>
                <w:rFonts w:asciiTheme="minorHAnsi" w:hAnsiTheme="minorHAnsi"/>
                <w:sz w:val="20"/>
                <w:szCs w:val="20"/>
              </w:rPr>
              <w:t>Ashley Heineman; NTIA</w:t>
            </w:r>
          </w:p>
        </w:tc>
        <w:tc>
          <w:tcPr>
            <w:tcW w:w="3960" w:type="dxa"/>
          </w:tcPr>
          <w:p w:rsidR="00072C03" w:rsidRPr="002860E2" w:rsidRDefault="0030701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9655A8">
              <w:rPr>
                <w:rFonts w:asciiTheme="minorHAnsi" w:eastAsia="Times New Roman" w:hAnsiTheme="minorHAnsi"/>
                <w:color w:val="000000"/>
                <w:sz w:val="20"/>
                <w:szCs w:val="20"/>
              </w:rPr>
              <w:t>none</w:t>
            </w:r>
          </w:p>
          <w:p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72C03" w:rsidRPr="002860E2" w:rsidRDefault="00072C03" w:rsidP="00965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proofErr w:type="gramStart"/>
            <w:r w:rsidR="009655A8">
              <w:rPr>
                <w:rFonts w:asciiTheme="minorHAnsi" w:eastAsia="Times New Roman" w:hAnsiTheme="minorHAnsi"/>
                <w:color w:val="000000"/>
                <w:sz w:val="20"/>
                <w:szCs w:val="20"/>
              </w:rPr>
              <w:t xml:space="preserve">none  </w:t>
            </w:r>
            <w:r w:rsidRPr="002860E2">
              <w:rPr>
                <w:rFonts w:asciiTheme="minorHAnsi" w:hAnsiTheme="minorHAnsi"/>
                <w:sz w:val="20"/>
                <w:szCs w:val="20"/>
              </w:rPr>
              <w:t>[</w:t>
            </w:r>
            <w:proofErr w:type="gramEnd"/>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r w:rsidR="009655A8" w:rsidRPr="002860E2">
              <w:rPr>
                <w:rFonts w:asciiTheme="minorHAnsi" w:hAnsiTheme="minorHAnsi"/>
                <w:sz w:val="20"/>
                <w:szCs w:val="20"/>
              </w:rPr>
              <w:t xml:space="preserve"> </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SSAC considers the creation and implementation of a standardized access system that will provide reliable and timely access to registration data to parties with legitimate interests under the law to be of vital importance.  We emphasize that this work should begin as soon as it is possible to do so.</w:t>
            </w:r>
          </w:p>
          <w:p w:rsidR="009655A8" w:rsidRDefault="009655A8" w:rsidP="005417AB">
            <w:pPr>
              <w:pStyle w:val="ColorfulList-Accent11"/>
              <w:ind w:left="0"/>
              <w:rPr>
                <w:rFonts w:asciiTheme="minorHAnsi" w:hAnsiTheme="minorHAnsi"/>
                <w:sz w:val="20"/>
                <w:szCs w:val="20"/>
              </w:rPr>
            </w:pPr>
          </w:p>
          <w:p w:rsidR="009655A8" w:rsidRPr="002860E2" w:rsidRDefault="009655A8" w:rsidP="005417AB">
            <w:pPr>
              <w:pStyle w:val="ColorfulList-Accent11"/>
              <w:ind w:left="0"/>
              <w:rPr>
                <w:rFonts w:asciiTheme="minorHAnsi" w:hAnsiTheme="minorHAnsi"/>
                <w:sz w:val="20"/>
                <w:szCs w:val="20"/>
              </w:rPr>
            </w:pPr>
            <w:r w:rsidRPr="009655A8">
              <w:rPr>
                <w:rFonts w:asciiTheme="minorHAnsi" w:hAnsiTheme="minorHAnsi"/>
                <w:sz w:val="20"/>
                <w:szCs w:val="20"/>
              </w:rPr>
              <w:t>Much of the work to identify, investigate, and remove threats to the DNS is conducted by 3rd party cybersecurity professionals.  The current system under the Temp Spec does not allow for sufficient or reliable access such that this work can continue to be as effective.  Work to replace this with a scalable access model should begin without delay.</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D40128" w:rsidP="005417AB">
            <w:pPr>
              <w:contextualSpacing/>
              <w:rPr>
                <w:rFonts w:asciiTheme="minorHAnsi" w:hAnsiTheme="minorHAnsi"/>
                <w:sz w:val="20"/>
                <w:szCs w:val="20"/>
              </w:rPr>
            </w:pPr>
            <w:r w:rsidRPr="00D40128">
              <w:rPr>
                <w:rFonts w:asciiTheme="minorHAnsi" w:hAnsiTheme="minorHAnsi"/>
                <w:sz w:val="20"/>
                <w:szCs w:val="20"/>
              </w:rPr>
              <w:t>Ben Butler; SSAC</w:t>
            </w:r>
          </w:p>
        </w:tc>
        <w:tc>
          <w:tcPr>
            <w:tcW w:w="3960" w:type="dxa"/>
          </w:tcPr>
          <w:p w:rsidR="002B3C04" w:rsidRPr="002860E2" w:rsidRDefault="00307013"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235D20" w:rsidRPr="002860E2" w:rsidTr="001556A8">
        <w:trPr>
          <w:cantSplit/>
        </w:trPr>
        <w:tc>
          <w:tcPr>
            <w:tcW w:w="15390" w:type="dxa"/>
            <w:gridSpan w:val="4"/>
            <w:shd w:val="clear" w:color="auto" w:fill="92D050"/>
          </w:tcPr>
          <w:p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DIFFERENT CATEGORIES of Standardized Access to non-public Registration Data ....</w:t>
            </w:r>
          </w:p>
          <w:p w:rsidR="00E914DD" w:rsidRDefault="00E914DD" w:rsidP="005417AB">
            <w:pPr>
              <w:pStyle w:val="ColorfulList-Accent11"/>
              <w:ind w:left="0"/>
              <w:rPr>
                <w:rFonts w:asciiTheme="minorHAnsi" w:hAnsiTheme="minorHAnsi"/>
                <w:sz w:val="20"/>
                <w:szCs w:val="20"/>
              </w:rPr>
            </w:pPr>
          </w:p>
          <w:p w:rsidR="00E914DD" w:rsidRPr="002860E2"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 xml:space="preserve">If not intended already, </w:t>
            </w:r>
            <w:proofErr w:type="spellStart"/>
            <w:r w:rsidRPr="00E914DD">
              <w:rPr>
                <w:rFonts w:asciiTheme="minorHAnsi" w:hAnsiTheme="minorHAnsi"/>
                <w:sz w:val="20"/>
                <w:szCs w:val="20"/>
              </w:rPr>
              <w:t>standardisation</w:t>
            </w:r>
            <w:proofErr w:type="spellEnd"/>
            <w:r w:rsidRPr="00E914DD">
              <w:rPr>
                <w:rFonts w:asciiTheme="minorHAnsi" w:hAnsiTheme="minorHAnsi"/>
                <w:sz w:val="20"/>
                <w:szCs w:val="20"/>
              </w:rPr>
              <w:t xml:space="preserve"> needs to be considered as NOT a single standard for access to all non-public data by all legitimate requests, but different standards for access with different privilege levels to different data elements by differentiated legitimate requests; for </w:t>
            </w:r>
            <w:proofErr w:type="gramStart"/>
            <w:r w:rsidRPr="00E914DD">
              <w:rPr>
                <w:rFonts w:asciiTheme="minorHAnsi" w:hAnsiTheme="minorHAnsi"/>
                <w:sz w:val="20"/>
                <w:szCs w:val="20"/>
              </w:rPr>
              <w:t>instance</w:t>
            </w:r>
            <w:proofErr w:type="gramEnd"/>
            <w:r w:rsidRPr="00E914DD">
              <w:rPr>
                <w:rFonts w:asciiTheme="minorHAnsi" w:hAnsiTheme="minorHAnsi"/>
                <w:sz w:val="20"/>
                <w:szCs w:val="20"/>
              </w:rPr>
              <w:t xml:space="preserve"> requests by International Law and Order Agencies and a Commercial third party, both making legitimate requests may NOT access data by a single standard of access, NOT by the same level of privileges.</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Sivasubramanian</w:t>
            </w:r>
            <w:proofErr w:type="spellEnd"/>
            <w:r w:rsidRPr="00E914DD">
              <w:rPr>
                <w:rFonts w:asciiTheme="minorHAnsi" w:hAnsiTheme="minorHAnsi"/>
                <w:sz w:val="20"/>
                <w:szCs w:val="20"/>
              </w:rPr>
              <w:t xml:space="preserve"> Muthusamy; Internet Society India Chennai</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Per the EPDP Team Charter, the EPDP Team is committed to considering a system for Standardized, predictable, consistent and lawful Access to non­public Registration Data once the gating questions in the charter have been answered.</w:t>
            </w:r>
          </w:p>
          <w:p w:rsidR="00E914DD" w:rsidRDefault="00E914DD" w:rsidP="005417AB">
            <w:pPr>
              <w:pStyle w:val="ColorfulList-Accent11"/>
              <w:ind w:left="0"/>
              <w:rPr>
                <w:rFonts w:asciiTheme="minorHAnsi" w:hAnsiTheme="minorHAnsi"/>
                <w:sz w:val="20"/>
                <w:szCs w:val="20"/>
              </w:rPr>
            </w:pPr>
          </w:p>
          <w:p w:rsidR="00E914DD"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Minor language tweaks for sake of clarity and being more explicit.</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DR. JAIDEEP KUMAR </w:t>
            </w:r>
            <w:proofErr w:type="gramStart"/>
            <w:r w:rsidRPr="00E914DD">
              <w:rPr>
                <w:rFonts w:asciiTheme="minorHAnsi" w:hAnsiTheme="minorHAnsi"/>
                <w:sz w:val="20"/>
                <w:szCs w:val="20"/>
              </w:rPr>
              <w:t>MISHRA ;</w:t>
            </w:r>
            <w:proofErr w:type="gramEnd"/>
            <w:r w:rsidRPr="00E914DD">
              <w:rPr>
                <w:rFonts w:asciiTheme="minorHAnsi" w:hAnsiTheme="minorHAnsi"/>
                <w:sz w:val="20"/>
                <w:szCs w:val="20"/>
              </w:rPr>
              <w:t xml:space="preserve"> DIRECTOR MINISTRY OF ELECTRONICS AND INFORMATION TECHNOLOGY, GOVERNMENT OF INDIA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 xml:space="preserve">Per the EPDP Team Charter, the EPDP Team is committed to considering a system for Standardized Access to </w:t>
            </w:r>
            <w:proofErr w:type="spellStart"/>
            <w:r w:rsidRPr="00E914DD">
              <w:rPr>
                <w:rFonts w:asciiTheme="minorHAnsi" w:hAnsiTheme="minorHAnsi"/>
                <w:sz w:val="20"/>
                <w:szCs w:val="20"/>
              </w:rPr>
              <w:t>non¬public</w:t>
            </w:r>
            <w:proofErr w:type="spellEnd"/>
            <w:r w:rsidRPr="00E914DD">
              <w:rPr>
                <w:rFonts w:asciiTheme="minorHAnsi" w:hAnsiTheme="minorHAnsi"/>
                <w:sz w:val="20"/>
                <w:szCs w:val="20"/>
              </w:rPr>
              <w:t xml:space="preserve"> Registration Data once the gating questions in the charter have been answered. This will include addressing questions such as: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are the legitimate purposes for third parties to access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 xml:space="preserve">What are the eligibility criteria for access to </w:t>
            </w:r>
            <w:proofErr w:type="spellStart"/>
            <w:r w:rsidRPr="00E914DD">
              <w:rPr>
                <w:rFonts w:asciiTheme="minorHAnsi" w:hAnsiTheme="minorHAnsi"/>
                <w:sz w:val="20"/>
                <w:szCs w:val="20"/>
              </w:rPr>
              <w:t>non¬public</w:t>
            </w:r>
            <w:proofErr w:type="spellEnd"/>
            <w:r w:rsidRPr="00E914DD">
              <w:rPr>
                <w:rFonts w:asciiTheme="minorHAnsi" w:hAnsiTheme="minorHAnsi"/>
                <w:sz w:val="20"/>
                <w:szCs w:val="20"/>
              </w:rPr>
              <w:t xml:space="preserve"> Registration data?</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Do those parties/groups consist of different types of third ¬party requestors?</w:t>
            </w:r>
          </w:p>
          <w:p w:rsidR="00E914DD" w:rsidRP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t>
            </w:r>
            <w:r w:rsidRPr="00E914DD">
              <w:rPr>
                <w:rFonts w:asciiTheme="minorHAnsi" w:hAnsiTheme="minorHAnsi"/>
                <w:sz w:val="20"/>
                <w:szCs w:val="20"/>
              </w:rPr>
              <w:tab/>
              <w:t>What data elements should each user/party have access to?</w:t>
            </w:r>
          </w:p>
          <w:p w:rsidR="00072C03"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In this context, amongst others, disclosure in the course of legal and DNS abuse cases will be considered.</w:t>
            </w:r>
          </w:p>
          <w:p w:rsidR="00E914DD" w:rsidRDefault="00E914DD" w:rsidP="00E914DD">
            <w:pPr>
              <w:pStyle w:val="ColorfulList-Accent11"/>
              <w:ind w:left="0"/>
              <w:rPr>
                <w:rFonts w:asciiTheme="minorHAnsi" w:hAnsiTheme="minorHAnsi"/>
                <w:sz w:val="20"/>
                <w:szCs w:val="20"/>
              </w:rPr>
            </w:pPr>
          </w:p>
          <w:p w:rsidR="00E914DD" w:rsidRDefault="00E914DD" w:rsidP="00E914DD">
            <w:pPr>
              <w:pStyle w:val="ColorfulList-Accent11"/>
              <w:ind w:left="0"/>
              <w:rPr>
                <w:rFonts w:asciiTheme="minorHAnsi" w:hAnsiTheme="minorHAnsi"/>
                <w:sz w:val="20"/>
                <w:szCs w:val="20"/>
              </w:rPr>
            </w:pPr>
            <w:r w:rsidRPr="00E914DD">
              <w:rPr>
                <w:rFonts w:asciiTheme="minorHAnsi" w:hAnsiTheme="minorHAnsi"/>
                <w:sz w:val="20"/>
                <w:szCs w:val="20"/>
              </w:rPr>
              <w:t>We support disclosure of Registration Data in the course of investigation of DNS and legal abuse. We do not find it necessary to call out specific types of legal abuse. Accordingly, we propose the edited version provided above.</w:t>
            </w:r>
          </w:p>
          <w:p w:rsidR="00E914DD" w:rsidRDefault="00E914DD" w:rsidP="00E914DD">
            <w:pPr>
              <w:pStyle w:val="ColorfulList-Accent11"/>
              <w:ind w:left="0"/>
              <w:rPr>
                <w:rFonts w:asciiTheme="minorHAnsi" w:hAnsiTheme="minorHAnsi"/>
                <w:sz w:val="20"/>
                <w:szCs w:val="20"/>
              </w:rPr>
            </w:pPr>
          </w:p>
          <w:p w:rsidR="00072C03" w:rsidRPr="002860E2" w:rsidRDefault="00E914DD" w:rsidP="005417AB">
            <w:pPr>
              <w:pStyle w:val="ColorfulList-Accent11"/>
              <w:ind w:left="0"/>
              <w:rPr>
                <w:rFonts w:asciiTheme="minorHAnsi" w:hAnsiTheme="minorHAnsi"/>
                <w:sz w:val="20"/>
                <w:szCs w:val="20"/>
              </w:rPr>
            </w:pPr>
            <w:r w:rsidRPr="00E914DD">
              <w:rPr>
                <w:rFonts w:asciiTheme="minorHAnsi" w:hAnsiTheme="minorHAnsi"/>
                <w:sz w:val="20"/>
                <w:szCs w:val="20"/>
              </w:rPr>
              <w:t>We have proposed this modification as we support the exploration of a Standardized Access model that complies with legal and regulatory obligations, but it should be noted such a model ought not be construed to be policy as it has not completed a true PDP nor was it contemplated to be a policy when it was entered into the EPDP charter. We further note that a “system” for Standardized Access need not be a technical system but could also be a procedure. Finally, data that is distributed must be limited data that there was a legal basis to collect and that the distribution is not, itself, a legal basis.</w:t>
            </w: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Tucows</w:t>
            </w:r>
            <w:proofErr w:type="spellEnd"/>
            <w:r w:rsidRPr="00E914DD">
              <w:rPr>
                <w:rFonts w:asciiTheme="minorHAnsi" w:hAnsiTheme="minorHAnsi"/>
                <w:sz w:val="20"/>
                <w:szCs w:val="20"/>
              </w:rPr>
              <w:t xml:space="preserve"> Domains Inc.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The NCSG asks that the term “Standardized Access to nonpublic Registration Data” be replaced with the term, “Lawful disclosure of personal and sensitive registration data to third parties with legitimate interests.”</w:t>
            </w:r>
          </w:p>
          <w:p w:rsidR="0067235D" w:rsidRDefault="0067235D" w:rsidP="005417AB">
            <w:pPr>
              <w:pStyle w:val="ColorfulList-Accent11"/>
              <w:ind w:left="0"/>
              <w:rPr>
                <w:rFonts w:asciiTheme="minorHAnsi" w:hAnsiTheme="minorHAnsi"/>
                <w:sz w:val="20"/>
                <w:szCs w:val="20"/>
              </w:rPr>
            </w:pPr>
          </w:p>
          <w:p w:rsidR="00072C03" w:rsidRPr="002860E2"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 xml:space="preserve">In essence, Recommendation 2 is simply a restatement of one aspect of the EPDP’s charter. We note that later on in this report, the wording change we proposed here was accepted.  </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Ayden </w:t>
            </w:r>
            <w:proofErr w:type="spellStart"/>
            <w:r w:rsidRPr="00E914DD">
              <w:rPr>
                <w:rFonts w:asciiTheme="minorHAnsi" w:hAnsiTheme="minorHAnsi"/>
                <w:sz w:val="20"/>
                <w:szCs w:val="20"/>
              </w:rPr>
              <w:t>Férdeline</w:t>
            </w:r>
            <w:proofErr w:type="spellEnd"/>
            <w:r w:rsidRPr="00E914DD">
              <w:rPr>
                <w:rFonts w:asciiTheme="minorHAnsi" w:hAnsiTheme="minorHAnsi"/>
                <w:sz w:val="20"/>
                <w:szCs w:val="20"/>
              </w:rPr>
              <w:t>; NCSG</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67235D" w:rsidRPr="0067235D"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Yes, we recommend the final line in Recommendation #2 be edited to read:</w:t>
            </w:r>
          </w:p>
          <w:p w:rsidR="0067235D" w:rsidRPr="0067235D" w:rsidRDefault="0067235D" w:rsidP="0067235D">
            <w:pPr>
              <w:pStyle w:val="ColorfulList-Accent11"/>
              <w:ind w:left="0"/>
              <w:rPr>
                <w:rFonts w:asciiTheme="minorHAnsi" w:hAnsiTheme="minorHAnsi"/>
                <w:sz w:val="20"/>
                <w:szCs w:val="20"/>
              </w:rPr>
            </w:pPr>
          </w:p>
          <w:p w:rsidR="00072C03" w:rsidRDefault="0067235D" w:rsidP="0067235D">
            <w:pPr>
              <w:pStyle w:val="ColorfulList-Accent11"/>
              <w:ind w:left="0"/>
              <w:rPr>
                <w:rFonts w:asciiTheme="minorHAnsi" w:hAnsiTheme="minorHAnsi"/>
                <w:sz w:val="20"/>
                <w:szCs w:val="20"/>
              </w:rPr>
            </w:pPr>
            <w:r w:rsidRPr="0067235D">
              <w:rPr>
                <w:rFonts w:asciiTheme="minorHAnsi" w:hAnsiTheme="minorHAnsi"/>
                <w:sz w:val="20"/>
                <w:szCs w:val="20"/>
              </w:rPr>
              <w:t xml:space="preserve">“In this context, amongst others, the </w:t>
            </w:r>
            <w:proofErr w:type="spellStart"/>
            <w:r w:rsidRPr="0067235D">
              <w:rPr>
                <w:rFonts w:asciiTheme="minorHAnsi" w:hAnsiTheme="minorHAnsi"/>
                <w:sz w:val="20"/>
                <w:szCs w:val="20"/>
              </w:rPr>
              <w:t>ePDP</w:t>
            </w:r>
            <w:proofErr w:type="spellEnd"/>
            <w:r w:rsidRPr="0067235D">
              <w:rPr>
                <w:rFonts w:asciiTheme="minorHAnsi" w:hAnsiTheme="minorHAnsi"/>
                <w:sz w:val="20"/>
                <w:szCs w:val="20"/>
              </w:rPr>
              <w:t xml:space="preserve">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67235D" w:rsidRDefault="0067235D" w:rsidP="0067235D">
            <w:pPr>
              <w:pStyle w:val="ColorfulList-Accent11"/>
              <w:ind w:left="0"/>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This change will ensure that the policy developed by the EPDP meets the needs of all the stakeholders whose actions the successful maintenance of the stability, security and resiliency of DNS system rely.</w:t>
            </w:r>
          </w:p>
          <w:p w:rsidR="0067235D" w:rsidRPr="0067235D" w:rsidRDefault="0067235D" w:rsidP="0067235D">
            <w:pPr>
              <w:pStyle w:val="ColorfulList-Accent11"/>
              <w:ind w:left="27"/>
              <w:rPr>
                <w:rFonts w:asciiTheme="minorHAnsi" w:hAnsiTheme="minorHAnsi"/>
                <w:sz w:val="20"/>
                <w:szCs w:val="20"/>
              </w:rPr>
            </w:pPr>
          </w:p>
          <w:p w:rsidR="0067235D" w:rsidRPr="0067235D" w:rsidRDefault="0067235D" w:rsidP="0067235D">
            <w:pPr>
              <w:pStyle w:val="ColorfulList-Accent11"/>
              <w:ind w:left="27"/>
              <w:rPr>
                <w:rFonts w:asciiTheme="minorHAnsi" w:hAnsiTheme="minorHAnsi"/>
                <w:sz w:val="20"/>
                <w:szCs w:val="20"/>
              </w:rPr>
            </w:pPr>
            <w:r w:rsidRPr="0067235D">
              <w:rPr>
                <w:rFonts w:asciiTheme="minorHAnsi" w:hAnsiTheme="minorHAnsi"/>
                <w:sz w:val="20"/>
                <w:szCs w:val="20"/>
              </w:rPr>
              <w:t xml:space="preserve">Failure to provide adequate access for all the stakeholders who have a role in preserving the stability, security and resilience, including intellectual property rightsholders, cybersecurity firms and other organizations that mitigate DNS abuse as well as law enforcement agencies runs the risk of undermining that security and furthering distrust of the Internet ecosystem.  It would also be contrary to the longstanding purposes of the WHOIS system, which have always included these parties as evidenced in the earliest protocol for a directory service published in 1982 by the Internet Engineering Task Force that included contact information of anyone transmitting data across the ARPANET in order to  “serve the needs of different stakeholders such as domain name registrants, law enforcement agents, intellectual property and trademark owners, businesses and individual users.” (History of WHOIS, ICANN WHOIS, https://whois.icann.org/en/history-whois). </w:t>
            </w:r>
          </w:p>
          <w:p w:rsidR="0067235D" w:rsidRPr="0067235D" w:rsidRDefault="0067235D" w:rsidP="0067235D">
            <w:pPr>
              <w:pStyle w:val="ColorfulList-Accent11"/>
              <w:rPr>
                <w:rFonts w:asciiTheme="minorHAnsi" w:hAnsiTheme="minorHAnsi"/>
                <w:sz w:val="20"/>
                <w:szCs w:val="20"/>
              </w:rPr>
            </w:pPr>
          </w:p>
          <w:p w:rsidR="00072C03" w:rsidRPr="002860E2" w:rsidRDefault="0067235D" w:rsidP="005417AB">
            <w:pPr>
              <w:pStyle w:val="ColorfulList-Accent11"/>
              <w:ind w:left="0"/>
              <w:rPr>
                <w:rFonts w:asciiTheme="minorHAnsi" w:hAnsiTheme="minorHAnsi"/>
                <w:sz w:val="20"/>
                <w:szCs w:val="20"/>
              </w:rPr>
            </w:pPr>
            <w:r w:rsidRPr="0067235D">
              <w:rPr>
                <w:rFonts w:asciiTheme="minorHAnsi" w:hAnsiTheme="minorHAnsi"/>
                <w:sz w:val="20"/>
                <w:szCs w:val="20"/>
              </w:rPr>
              <w:t>Moreover, providing reasonable access to all relevant stakeholders is clearly the expectation set by the European Data Protection Board in its May 27 communication to ICANN -- (ICANN is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072C03" w:rsidRPr="002860E2" w:rsidRDefault="00E914DD" w:rsidP="005417AB">
            <w:pPr>
              <w:contextualSpacing/>
              <w:rPr>
                <w:rFonts w:asciiTheme="minorHAnsi" w:hAnsiTheme="minorHAnsi"/>
                <w:sz w:val="20"/>
                <w:szCs w:val="20"/>
              </w:rPr>
            </w:pPr>
            <w:proofErr w:type="spellStart"/>
            <w:r w:rsidRPr="00E914DD">
              <w:rPr>
                <w:rFonts w:asciiTheme="minorHAnsi" w:hAnsiTheme="minorHAnsi"/>
                <w:sz w:val="20"/>
                <w:szCs w:val="20"/>
              </w:rPr>
              <w:t>Sajda</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Ouachtouki</w:t>
            </w:r>
            <w:proofErr w:type="spellEnd"/>
            <w:r w:rsidRPr="00E914DD">
              <w:rPr>
                <w:rFonts w:asciiTheme="minorHAnsi" w:hAnsiTheme="minorHAnsi"/>
                <w:sz w:val="20"/>
                <w:szCs w:val="20"/>
              </w:rPr>
              <w:t>; The Walt Disney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 BC recommends that the final line of the recommendation should be edited to read:</w:t>
            </w:r>
          </w:p>
          <w:p w:rsidR="00072C03"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“In this context, amongst others,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Team will develop a policy that prescribes the method for disclosing non-public registrant data to third parties that have established legitimate interest in viewing registrant data, such as intellectual property rights holders, cybersecurity firms, organizations that mitigate DNS abuse, and law enforcement agencies.”</w:t>
            </w:r>
          </w:p>
          <w:p w:rsidR="00072C03" w:rsidRDefault="00072C03"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Now that the EPDP team’s gating questions have been sufficiently addressed, the BC strongly supports a recommendation that the EPDP Team contribute to ICANN Org’s development of a standardized, or “unified,” system for access to non-public registration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Thus, the BC proposes edits to this recommendation to ensure that the protection of intellectual property and other rights are expressly recognized as a legitimate interest under GDPR and therefore understood to be within scope of the final policy.</w:t>
            </w:r>
          </w:p>
          <w:p w:rsidR="00072C03"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(https://www.icann.org/en/system/files/correspondence/jelinek-to-marby-11apr18-en.pdf), the A29WP “welcome[d] the decision of ICANN to propose an interim model which involves layered access, as well as an “accreditation program” for access to non-public WHOIS data.” This communication signaled A29WP’s support for a standardized access program.  This support is further emphasized in a May 27 communication to ICANN (https://www.icann.org/en/system/files/files/statement-edpb-whois-27may18-en.pdf), in which the European Data Protection Board reiterated its expectation that ICANN is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072C03" w:rsidRPr="002860E2" w:rsidRDefault="00E914DD" w:rsidP="005417AB">
            <w:pPr>
              <w:contextualSpacing/>
              <w:rPr>
                <w:rFonts w:asciiTheme="minorHAnsi" w:hAnsiTheme="minorHAnsi"/>
                <w:sz w:val="20"/>
                <w:szCs w:val="20"/>
              </w:rPr>
            </w:pPr>
            <w:r w:rsidRPr="00E914DD">
              <w:rPr>
                <w:rFonts w:asciiTheme="minorHAnsi" w:hAnsiTheme="minorHAnsi"/>
                <w:sz w:val="20"/>
                <w:szCs w:val="20"/>
              </w:rPr>
              <w:t>Steve DelBianco; BC</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Prefer the final paragraph to read "In this context, amongst others, disclosure in the course of law enforcement, cybersecurity, DNS abuse, and intellectual property protection activity will be considered."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simply adding more detail and color by listing legitimate purposes which are specifically mentioned in the GDPR text (security and LEA)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Tim Chen; </w:t>
            </w:r>
            <w:proofErr w:type="spellStart"/>
            <w:r w:rsidRPr="00E914DD">
              <w:rPr>
                <w:rFonts w:asciiTheme="minorHAnsi" w:hAnsiTheme="minorHAnsi"/>
                <w:sz w:val="20"/>
                <w:szCs w:val="20"/>
              </w:rPr>
              <w:t>DomainTools</w:t>
            </w:r>
            <w:proofErr w:type="spellEnd"/>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The EPDP WG needs to state clearly in the report that it will not have the time to really consider this charter subject before it completes its final report.  Between now and the final report due date, the EPDP WG has to consider public comments, measure consensus </w:t>
            </w:r>
            <w:proofErr w:type="gramStart"/>
            <w:r w:rsidRPr="000B18E6">
              <w:rPr>
                <w:rFonts w:asciiTheme="minorHAnsi" w:hAnsiTheme="minorHAnsi"/>
                <w:sz w:val="20"/>
                <w:szCs w:val="20"/>
              </w:rPr>
              <w:t>levels,  and</w:t>
            </w:r>
            <w:proofErr w:type="gramEnd"/>
            <w:r w:rsidRPr="000B18E6">
              <w:rPr>
                <w:rFonts w:asciiTheme="minorHAnsi" w:hAnsiTheme="minorHAnsi"/>
                <w:sz w:val="20"/>
                <w:szCs w:val="20"/>
              </w:rPr>
              <w:t xml:space="preserve"> more, and likely will not break new ground.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Greg Aaron; </w:t>
            </w:r>
            <w:proofErr w:type="spellStart"/>
            <w:r w:rsidRPr="00E914DD">
              <w:rPr>
                <w:rFonts w:asciiTheme="minorHAnsi" w:hAnsiTheme="minorHAnsi"/>
                <w:sz w:val="20"/>
                <w:szCs w:val="20"/>
              </w:rPr>
              <w:t>iThreat</w:t>
            </w:r>
            <w:proofErr w:type="spellEnd"/>
            <w:r w:rsidRPr="00E914DD">
              <w:rPr>
                <w:rFonts w:asciiTheme="minorHAnsi" w:hAnsiTheme="minorHAnsi"/>
                <w:sz w:val="20"/>
                <w:szCs w:val="20"/>
              </w:rPr>
              <w:t xml:space="preserve"> Cyber Group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requests that the general comment in Recommendation #2 be edited to read as follows:</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viewing registrant data including intellectual property rights holders, cybersecurity firms, organizations that mitigate DNS abuse, and law enforcement agencies, among others.”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strongly supports this recommendation for the EPDP Team to develop a standardized, or “unified,” system for access to non-public registration data after the gating questions have been answered.</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INTA proposes edits to this recommendation to ensure that the protection of intellectual property rights is expressly recognized as a legitimate interest under GDPR and therefore understood to be within scope of the final policy.  The term “legitimate” implies that the interest is bolstered by recognition of a legal right, which in the case of intellectual property is the reason for its very existence.  Intellectual property rights are regarded as third generation human rights and are duly recognized as human rights under Article 27 (2) of the Universal Declaration of Human Rights. The Article provides that ‘Everyone has the right to the protection of the moral and material interests resulting from any scientific, literary or artistic production of which he is the author.’</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For the reasons expressed above and in deference to the statements provided, INTA recommends the edits provided above.</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Lori Schulman Senior Director, Internet Policy; International Trademark Association (INTA)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Per the EPDP Team Charter, the EPDP Team is committed to answering the additional gating questions in the charter and recommending a system for Standardized Access to </w:t>
            </w:r>
            <w:proofErr w:type="spellStart"/>
            <w:r w:rsidRPr="000B18E6">
              <w:rPr>
                <w:rFonts w:asciiTheme="minorHAnsi" w:hAnsiTheme="minorHAnsi"/>
                <w:sz w:val="20"/>
                <w:szCs w:val="20"/>
              </w:rPr>
              <w:t>nonPublic</w:t>
            </w:r>
            <w:proofErr w:type="spellEnd"/>
            <w:r w:rsidRPr="000B18E6">
              <w:rPr>
                <w:rFonts w:asciiTheme="minorHAnsi" w:hAnsiTheme="minorHAnsi"/>
                <w:sz w:val="20"/>
                <w:szCs w:val="20"/>
              </w:rPr>
              <w:t xml:space="preserve"> Registration Data no later than submission of its Final Report.</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the EPDP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These additions reflect that the protection of intellectual property rights is expressly recognized as a legitimate interest under GDPR and therefore understood to be within scope of the final policy.</w:t>
            </w:r>
          </w:p>
          <w:p w:rsid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deliver a model for a system for standardized access to non-public data. At a bare minimum the team should commit to a time certain to complete this work, and no consensus policy superseding the Temporary Specification should be adopted without it.</w:t>
            </w:r>
          </w:p>
          <w:p w:rsidR="000B18E6" w:rsidRDefault="000B18E6" w:rsidP="000B18E6">
            <w:pPr>
              <w:pStyle w:val="ColorfulList-Accent11"/>
              <w:ind w:left="0"/>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Brian King; </w:t>
            </w:r>
            <w:proofErr w:type="spellStart"/>
            <w:r w:rsidRPr="00E914DD">
              <w:rPr>
                <w:rFonts w:asciiTheme="minorHAnsi" w:hAnsiTheme="minorHAnsi"/>
                <w:sz w:val="20"/>
                <w:szCs w:val="20"/>
              </w:rPr>
              <w:t>MarkMonitor</w:t>
            </w:r>
            <w:proofErr w:type="spellEnd"/>
            <w:r w:rsidRPr="00E914DD">
              <w:rPr>
                <w:rFonts w:asciiTheme="minorHAnsi" w:hAnsiTheme="minorHAnsi"/>
                <w:sz w:val="20"/>
                <w:szCs w:val="20"/>
              </w:rPr>
              <w:t>, Inc., a Clarivate Analytics company</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0B18E6" w:rsidRPr="000B18E6"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 xml:space="preserve">Per the EPDP Team Charter, the EPDP Team is committed to developing a system for Standardized Access to non-public Registration Data once the gating questions in the charter have been answered, such as the proposal from ICANN for a unified access model, or through other means that ICANN has suggested exploring, including ICANN assuming legal responsibility for providing access as a sole controller. See </w:t>
            </w:r>
            <w:proofErr w:type="spellStart"/>
            <w:r w:rsidRPr="000B18E6">
              <w:rPr>
                <w:rFonts w:asciiTheme="minorHAnsi" w:hAnsiTheme="minorHAnsi"/>
                <w:sz w:val="20"/>
                <w:szCs w:val="20"/>
              </w:rPr>
              <w:t>Göran</w:t>
            </w:r>
            <w:proofErr w:type="spellEnd"/>
            <w:r w:rsidRPr="000B18E6">
              <w:rPr>
                <w:rFonts w:asciiTheme="minorHAnsi" w:hAnsiTheme="minorHAnsi"/>
                <w:sz w:val="20"/>
                <w:szCs w:val="20"/>
              </w:rPr>
              <w:t xml:space="preserve"> </w:t>
            </w:r>
            <w:proofErr w:type="spellStart"/>
            <w:r w:rsidRPr="000B18E6">
              <w:rPr>
                <w:rFonts w:asciiTheme="minorHAnsi" w:hAnsiTheme="minorHAnsi"/>
                <w:sz w:val="20"/>
                <w:szCs w:val="20"/>
              </w:rPr>
              <w:t>Marby</w:t>
            </w:r>
            <w:proofErr w:type="spellEnd"/>
            <w:r w:rsidRPr="000B18E6">
              <w:rPr>
                <w:rFonts w:asciiTheme="minorHAnsi" w:hAnsiTheme="minorHAnsi"/>
                <w:sz w:val="20"/>
                <w:szCs w:val="20"/>
              </w:rPr>
              <w:t xml:space="preserve">, ICANN President and CEO, ICANN GDPR and Data Protection/Privacy Update, ICANN (Sept. 24, 2018), https://www.icann.org/news/blog/icann-gdpr-and-data-protection-privacy-update. </w:t>
            </w:r>
          </w:p>
          <w:p w:rsidR="00E914DD"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In this context, amongst others, this will include disclosure to law enforcement authorities and third parties in the course of intellectual property infringement and DNS abuse cases will be considered.</w:t>
            </w:r>
          </w:p>
          <w:p w:rsidR="000B18E6" w:rsidRDefault="000B18E6" w:rsidP="000B18E6">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The two instances of the word “considering” suggests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might conclude that no such standardized model should be created, and that disclosure is not necessary in intellectual property infringement cases.</w:t>
            </w: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Failure to adopt a standardized model is contrary to the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Charter, which states that work on a standardized model “shall begin once the gating questions above have been answered and finalized in preparation for the Temporary Specification initial report.” </w:t>
            </w:r>
            <w:proofErr w:type="spellStart"/>
            <w:r w:rsidRPr="000B18E6">
              <w:rPr>
                <w:rFonts w:asciiTheme="minorHAnsi" w:hAnsiTheme="minorHAnsi"/>
                <w:sz w:val="20"/>
                <w:szCs w:val="20"/>
              </w:rPr>
              <w:t>ePDP</w:t>
            </w:r>
            <w:proofErr w:type="spellEnd"/>
            <w:r w:rsidRPr="000B18E6">
              <w:rPr>
                <w:rFonts w:asciiTheme="minorHAnsi" w:hAnsiTheme="minorHAnsi"/>
                <w:sz w:val="20"/>
                <w:szCs w:val="20"/>
              </w:rPr>
              <w:t xml:space="preserve"> Charter at 7 (emphasis added), https://gnso.icann.org/sites/default/files/file/field-file-attach/temp-spec-gtld-rd-epdp-19jul18-en.pdf.</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Similarly, failure to disclose to law enforcement authorities and third parties in intellectual property infringement cases would be contrary to the longstanding purpose of the WHOIS system to thwart such infringement. As ICANN itself notes, the Internet Engineering Task Force began publishing a protocol for a directory service in 1982 that listed the contact information of anyone transmitting data across the ARPANET. See History of WHOIS, ICANN WHOIS, https://whois.icann.org/en/history-whois (last visited Dec. 11, 2018). “As the Internet grew,” that system “began to serve the needs of different stakeholders such as domain name registrants, law enforcement agents, intellectual property and trademark owners, businesses and individual users.” Id. (emphasis added).</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Neil Fried; The Motion Picture Association of America</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 this context, a method for promptly and predictably disclosing non-public registrant data to third parties who have demonstrated legitimate interest in viewing registrant data such as those that perform cybersecurity investigations, intellectual property enforcement, consumer protection, DNS abuse mitigation, and law enforcement will be developed.”</w:t>
            </w:r>
          </w:p>
          <w:p w:rsidR="000B18E6" w:rsidRDefault="000B18E6" w:rsidP="005417AB">
            <w:pPr>
              <w:pStyle w:val="ColorfulList-Accent11"/>
              <w:ind w:left="0"/>
              <w:rPr>
                <w:rFonts w:asciiTheme="minorHAnsi" w:hAnsiTheme="minorHAnsi"/>
                <w:sz w:val="20"/>
                <w:szCs w:val="20"/>
              </w:rPr>
            </w:pPr>
          </w:p>
          <w:p w:rsidR="000B18E6"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The existing text seems to imply that intellectual property infringement and DNS abuse cases are only worth being “considered” and are not first-class legitimate purposes for performing disclosure.  We disagree with this assertion and suggest the edits above to clarify any ambiguity about this.  As stated elsewhere, brand abuse is increasingly an enabling mechanism for cyber abuse. It should be clear that consumers can be harmed when what seems to be a branded pharmaceutical good is actually a low-quality counterfeit, but many are not aware that fake branded digital goods may actually contain malware or connect to phishing sites which are used to harvest credentials or drop malicious payloads.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Jeremy </w:t>
            </w:r>
            <w:proofErr w:type="spellStart"/>
            <w:r w:rsidRPr="00E914DD">
              <w:rPr>
                <w:rFonts w:asciiTheme="minorHAnsi" w:hAnsiTheme="minorHAnsi"/>
                <w:sz w:val="20"/>
                <w:szCs w:val="20"/>
              </w:rPr>
              <w:t>Dallman</w:t>
            </w:r>
            <w:proofErr w:type="spellEnd"/>
            <w:r w:rsidRPr="00E914DD">
              <w:rPr>
                <w:rFonts w:asciiTheme="minorHAnsi" w:hAnsiTheme="minorHAnsi"/>
                <w:sz w:val="20"/>
                <w:szCs w:val="20"/>
              </w:rPr>
              <w:t xml:space="preserve">, David Ladd – Microsoft Threat Intelligence Center; Amy Hogan-Burney, Richard Boscovich – Digital Crimes Unit; </w:t>
            </w:r>
            <w:proofErr w:type="spellStart"/>
            <w:r w:rsidRPr="00E914DD">
              <w:rPr>
                <w:rFonts w:asciiTheme="minorHAnsi" w:hAnsiTheme="minorHAnsi"/>
                <w:sz w:val="20"/>
                <w:szCs w:val="20"/>
              </w:rPr>
              <w:t>Makalika</w:t>
            </w:r>
            <w:proofErr w:type="spellEnd"/>
            <w:r w:rsidRPr="00E914DD">
              <w:rPr>
                <w:rFonts w:asciiTheme="minorHAnsi" w:hAnsiTheme="minorHAnsi"/>
                <w:sz w:val="20"/>
                <w:szCs w:val="20"/>
              </w:rPr>
              <w:t xml:space="preserve"> </w:t>
            </w:r>
            <w:proofErr w:type="spellStart"/>
            <w:r w:rsidRPr="00E914DD">
              <w:rPr>
                <w:rFonts w:asciiTheme="minorHAnsi" w:hAnsiTheme="minorHAnsi"/>
                <w:sz w:val="20"/>
                <w:szCs w:val="20"/>
              </w:rPr>
              <w:t>Naholowaa</w:t>
            </w:r>
            <w:proofErr w:type="spellEnd"/>
            <w:r w:rsidRPr="00E914DD">
              <w:rPr>
                <w:rFonts w:asciiTheme="minorHAnsi" w:hAnsiTheme="minorHAnsi"/>
                <w:sz w:val="20"/>
                <w:szCs w:val="20"/>
              </w:rPr>
              <w:t xml:space="preserve">, Teresa </w:t>
            </w:r>
            <w:proofErr w:type="spellStart"/>
            <w:r w:rsidRPr="00E914DD">
              <w:rPr>
                <w:rFonts w:asciiTheme="minorHAnsi" w:hAnsiTheme="minorHAnsi"/>
                <w:sz w:val="20"/>
                <w:szCs w:val="20"/>
              </w:rPr>
              <w:t>Rodewald</w:t>
            </w:r>
            <w:proofErr w:type="spellEnd"/>
            <w:r w:rsidRPr="00E914DD">
              <w:rPr>
                <w:rFonts w:asciiTheme="minorHAnsi" w:hAnsiTheme="minorHAnsi"/>
                <w:sz w:val="20"/>
                <w:szCs w:val="20"/>
              </w:rPr>
              <w:t xml:space="preserve">, Cam </w:t>
            </w:r>
            <w:proofErr w:type="spellStart"/>
            <w:r w:rsidRPr="00E914DD">
              <w:rPr>
                <w:rFonts w:asciiTheme="minorHAnsi" w:hAnsiTheme="minorHAnsi"/>
                <w:sz w:val="20"/>
                <w:szCs w:val="20"/>
              </w:rPr>
              <w:t>Gatta</w:t>
            </w:r>
            <w:proofErr w:type="spellEnd"/>
            <w:r w:rsidRPr="00E914DD">
              <w:rPr>
                <w:rFonts w:asciiTheme="minorHAnsi" w:hAnsiTheme="minorHAnsi"/>
                <w:sz w:val="20"/>
                <w:szCs w:val="20"/>
              </w:rPr>
              <w:t xml:space="preserve"> – Trademark; Mark </w:t>
            </w:r>
            <w:proofErr w:type="spellStart"/>
            <w:r w:rsidRPr="00E914DD">
              <w:rPr>
                <w:rFonts w:asciiTheme="minorHAnsi" w:hAnsiTheme="minorHAnsi"/>
                <w:sz w:val="20"/>
                <w:szCs w:val="20"/>
              </w:rPr>
              <w:t>Svancarek</w:t>
            </w:r>
            <w:proofErr w:type="spellEnd"/>
            <w:r w:rsidRPr="00E914DD">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E914DD" w:rsidRPr="002860E2" w:rsidTr="002657F2">
        <w:trPr>
          <w:cantSplit/>
        </w:trPr>
        <w:tc>
          <w:tcPr>
            <w:tcW w:w="675" w:type="dxa"/>
          </w:tcPr>
          <w:p w:rsidR="00E914DD" w:rsidRPr="002860E2" w:rsidRDefault="00E914DD" w:rsidP="00AC3871">
            <w:pPr>
              <w:numPr>
                <w:ilvl w:val="0"/>
                <w:numId w:val="23"/>
              </w:numPr>
              <w:contextualSpacing/>
              <w:rPr>
                <w:rFonts w:asciiTheme="minorHAnsi" w:hAnsiTheme="minorHAnsi"/>
                <w:b/>
                <w:sz w:val="20"/>
                <w:szCs w:val="20"/>
              </w:rPr>
            </w:pPr>
          </w:p>
        </w:tc>
        <w:tc>
          <w:tcPr>
            <w:tcW w:w="8055" w:type="dxa"/>
          </w:tcPr>
          <w:p w:rsidR="00E914DD"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Intellectual property infringement and DNS abuse cases will be recognized as legitimate purposes for disclosure.</w:t>
            </w:r>
          </w:p>
          <w:p w:rsidR="000B18E6" w:rsidRDefault="000B18E6"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A right holder must be able to contact the registrant of a domain in order to send a notification of infringement and the registrar/registry must facilitate this basic level of communication. This is especially the case where domain operators mask their registration information.</w:t>
            </w: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As a representative of right holders whose rights are systematically infringed on a commercial scale, VAP's right of information is regularly ignored or rejected with the argument that the infrastructure provider is not liable for content of a domain. Thereby registrars/registries ignore their own terms and conditions which purportedly prohibit the use of domains for illegitimate purposes.</w:t>
            </w:r>
          </w:p>
        </w:tc>
        <w:tc>
          <w:tcPr>
            <w:tcW w:w="2700" w:type="dxa"/>
          </w:tcPr>
          <w:p w:rsidR="00E914DD" w:rsidRPr="002860E2" w:rsidRDefault="00E914DD" w:rsidP="005417AB">
            <w:pPr>
              <w:contextualSpacing/>
              <w:rPr>
                <w:rFonts w:asciiTheme="minorHAnsi" w:hAnsiTheme="minorHAnsi"/>
                <w:sz w:val="20"/>
                <w:szCs w:val="20"/>
              </w:rPr>
            </w:pPr>
            <w:r w:rsidRPr="00E914DD">
              <w:rPr>
                <w:rFonts w:asciiTheme="minorHAnsi" w:hAnsiTheme="minorHAnsi"/>
                <w:sz w:val="20"/>
                <w:szCs w:val="20"/>
              </w:rPr>
              <w:t xml:space="preserve">Monique A. </w:t>
            </w:r>
            <w:proofErr w:type="spellStart"/>
            <w:r w:rsidRPr="00E914DD">
              <w:rPr>
                <w:rFonts w:asciiTheme="minorHAnsi" w:hAnsiTheme="minorHAnsi"/>
                <w:sz w:val="20"/>
                <w:szCs w:val="20"/>
              </w:rPr>
              <w:t>Goeschl</w:t>
            </w:r>
            <w:proofErr w:type="spellEnd"/>
            <w:r w:rsidRPr="00E914DD">
              <w:rPr>
                <w:rFonts w:asciiTheme="minorHAnsi" w:hAnsiTheme="minorHAnsi"/>
                <w:sz w:val="20"/>
                <w:szCs w:val="20"/>
              </w:rPr>
              <w:t xml:space="preserve">; Verein </w:t>
            </w:r>
            <w:proofErr w:type="spellStart"/>
            <w:r w:rsidRPr="00E914DD">
              <w:rPr>
                <w:rFonts w:asciiTheme="minorHAnsi" w:hAnsiTheme="minorHAnsi"/>
                <w:sz w:val="20"/>
                <w:szCs w:val="20"/>
              </w:rPr>
              <w:t>für</w:t>
            </w:r>
            <w:proofErr w:type="spellEnd"/>
            <w:r w:rsidRPr="00E914DD">
              <w:rPr>
                <w:rFonts w:asciiTheme="minorHAnsi" w:hAnsiTheme="minorHAnsi"/>
                <w:sz w:val="20"/>
                <w:szCs w:val="20"/>
              </w:rPr>
              <w:t xml:space="preserve"> Anti-</w:t>
            </w:r>
            <w:proofErr w:type="spellStart"/>
            <w:r w:rsidRPr="00E914DD">
              <w:rPr>
                <w:rFonts w:asciiTheme="minorHAnsi" w:hAnsiTheme="minorHAnsi"/>
                <w:sz w:val="20"/>
                <w:szCs w:val="20"/>
              </w:rPr>
              <w:t>Piraterie</w:t>
            </w:r>
            <w:proofErr w:type="spellEnd"/>
            <w:r w:rsidRPr="00E914DD">
              <w:rPr>
                <w:rFonts w:asciiTheme="minorHAnsi" w:hAnsiTheme="minorHAnsi"/>
                <w:sz w:val="20"/>
                <w:szCs w:val="20"/>
              </w:rPr>
              <w:t xml:space="preserve"> der Film- und </w:t>
            </w:r>
            <w:proofErr w:type="spellStart"/>
            <w:r w:rsidRPr="00E914DD">
              <w:rPr>
                <w:rFonts w:asciiTheme="minorHAnsi" w:hAnsiTheme="minorHAnsi"/>
                <w:sz w:val="20"/>
                <w:szCs w:val="20"/>
              </w:rPr>
              <w:t>Videobranche</w:t>
            </w:r>
            <w:proofErr w:type="spellEnd"/>
            <w:r w:rsidRPr="00E914DD">
              <w:rPr>
                <w:rFonts w:asciiTheme="minorHAnsi" w:hAnsiTheme="minorHAnsi"/>
                <w:sz w:val="20"/>
                <w:szCs w:val="20"/>
              </w:rPr>
              <w:t xml:space="preserve"> (VAP)</w:t>
            </w:r>
          </w:p>
        </w:tc>
        <w:tc>
          <w:tcPr>
            <w:tcW w:w="3960" w:type="dxa"/>
          </w:tcPr>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D40128" w:rsidRPr="002860E2"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D40128" w:rsidRPr="002B3C04" w:rsidRDefault="00D40128" w:rsidP="00D40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D40128" w:rsidRPr="002860E2" w:rsidRDefault="00D40128" w:rsidP="00D40128">
            <w:pPr>
              <w:contextualSpacing/>
              <w:rPr>
                <w:rFonts w:asciiTheme="minorHAnsi" w:hAnsiTheme="minorHAnsi"/>
                <w:sz w:val="20"/>
                <w:szCs w:val="20"/>
              </w:rPr>
            </w:pPr>
          </w:p>
          <w:p w:rsidR="00D40128" w:rsidRPr="002860E2" w:rsidRDefault="00D40128" w:rsidP="00D401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914DD" w:rsidRPr="002860E2" w:rsidRDefault="00E914DD"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072C03" w:rsidRPr="002860E2" w:rsidTr="002657F2">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DNRC strongly recommends replacing the term “Standardized Access to nonpublic Registration Data” with the term “Lawful disclosure of nonpublic registration data to third parties with legitimate interests.”</w:t>
            </w:r>
          </w:p>
          <w:p w:rsidR="00072C03" w:rsidRDefault="00072C03" w:rsidP="005417AB">
            <w:pPr>
              <w:pStyle w:val="ColorfulList-Accent11"/>
              <w:ind w:left="0"/>
              <w:rPr>
                <w:rFonts w:asciiTheme="minorHAnsi" w:hAnsiTheme="minorHAnsi"/>
                <w:sz w:val="20"/>
                <w:szCs w:val="20"/>
              </w:rPr>
            </w:pPr>
          </w:p>
          <w:p w:rsidR="00072C03" w:rsidRPr="002860E2" w:rsidRDefault="00D354B9" w:rsidP="005417AB">
            <w:pPr>
              <w:pStyle w:val="ColorfulList-Accent11"/>
              <w:ind w:left="0"/>
              <w:rPr>
                <w:rFonts w:asciiTheme="minorHAnsi" w:hAnsiTheme="minorHAnsi"/>
                <w:sz w:val="20"/>
                <w:szCs w:val="20"/>
              </w:rPr>
            </w:pPr>
            <w:r w:rsidRPr="00D354B9">
              <w:rPr>
                <w:rFonts w:asciiTheme="minorHAnsi" w:hAnsiTheme="minorHAnsi"/>
                <w:sz w:val="20"/>
                <w:szCs w:val="20"/>
              </w:rPr>
              <w:t xml:space="preserve">In essence, Recommendation 2 is simply a restatement of one aspect of the EPDP’s charter. Later in this report, the wording change proposed above was accepted.  </w:t>
            </w:r>
          </w:p>
        </w:tc>
        <w:tc>
          <w:tcPr>
            <w:tcW w:w="2700" w:type="dxa"/>
          </w:tcPr>
          <w:p w:rsidR="00072C03" w:rsidRPr="002860E2" w:rsidRDefault="008B7CC1" w:rsidP="005417AB">
            <w:pPr>
              <w:contextualSpacing/>
              <w:rPr>
                <w:rFonts w:asciiTheme="minorHAnsi" w:hAnsiTheme="minorHAnsi"/>
                <w:sz w:val="20"/>
                <w:szCs w:val="20"/>
              </w:rPr>
            </w:pPr>
            <w:r w:rsidRPr="008B7CC1">
              <w:rPr>
                <w:rFonts w:asciiTheme="minorHAnsi" w:hAnsiTheme="minorHAnsi"/>
                <w:sz w:val="20"/>
                <w:szCs w:val="20"/>
              </w:rPr>
              <w:t>A. Mark Massey; Domain Name Rights Coalition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 xml:space="preserve">The </w:t>
            </w:r>
            <w:proofErr w:type="gramStart"/>
            <w:r w:rsidRPr="00D354B9">
              <w:rPr>
                <w:rFonts w:asciiTheme="minorHAnsi" w:hAnsiTheme="minorHAnsi"/>
                <w:sz w:val="20"/>
                <w:szCs w:val="20"/>
              </w:rPr>
              <w:t>IPC  requests</w:t>
            </w:r>
            <w:proofErr w:type="gramEnd"/>
            <w:r w:rsidRPr="00D354B9">
              <w:rPr>
                <w:rFonts w:asciiTheme="minorHAnsi" w:hAnsiTheme="minorHAnsi"/>
                <w:sz w:val="20"/>
                <w:szCs w:val="20"/>
              </w:rPr>
              <w:t xml:space="preserve"> that the general comment in Recommendation #2 be edited to read as follows:</w:t>
            </w:r>
          </w:p>
          <w:p w:rsidR="00D354B9" w:rsidRPr="00D354B9" w:rsidRDefault="00D354B9" w:rsidP="00D354B9">
            <w:pPr>
              <w:pStyle w:val="ColorfulList-Accent11"/>
              <w:ind w:left="27"/>
              <w:rPr>
                <w:rFonts w:asciiTheme="minorHAnsi" w:hAnsiTheme="minorHAnsi"/>
                <w:sz w:val="20"/>
                <w:szCs w:val="20"/>
              </w:rPr>
            </w:pPr>
            <w:r w:rsidRPr="00D354B9">
              <w:rPr>
                <w:rFonts w:asciiTheme="minorHAnsi" w:hAnsiTheme="minorHAnsi"/>
                <w:sz w:val="20"/>
                <w:szCs w:val="20"/>
              </w:rPr>
              <w:t xml:space="preserve">“In this context, amongst others, the </w:t>
            </w:r>
            <w:proofErr w:type="spellStart"/>
            <w:r w:rsidRPr="00D354B9">
              <w:rPr>
                <w:rFonts w:asciiTheme="minorHAnsi" w:hAnsiTheme="minorHAnsi"/>
                <w:sz w:val="20"/>
                <w:szCs w:val="20"/>
              </w:rPr>
              <w:t>ePDP</w:t>
            </w:r>
            <w:proofErr w:type="spellEnd"/>
            <w:r w:rsidRPr="00D354B9">
              <w:rPr>
                <w:rFonts w:asciiTheme="minorHAnsi" w:hAnsiTheme="minorHAnsi"/>
                <w:sz w:val="20"/>
                <w:szCs w:val="20"/>
              </w:rPr>
              <w:t xml:space="preserve"> Team will develop a policy that prescribes the method for disclosing non-public registrant data to third parties that have established legitimate interest in accessing registrant data including intellectual property rights holders, cybersecurity firms, organizations that mitigate DNS abuse, and law enforcement agencies.”</w:t>
            </w:r>
          </w:p>
          <w:p w:rsidR="008D7EE5"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 xml:space="preserve">Per the EPDP Team Charter, EPDP Team is committed to answering the additional gating questions in the charter and recommending a system for Standardized Access to </w:t>
            </w:r>
            <w:proofErr w:type="spellStart"/>
            <w:r w:rsidRPr="00D354B9">
              <w:rPr>
                <w:rFonts w:asciiTheme="minorHAnsi" w:hAnsiTheme="minorHAnsi"/>
                <w:sz w:val="20"/>
                <w:szCs w:val="20"/>
              </w:rPr>
              <w:t>nonPublic</w:t>
            </w:r>
            <w:proofErr w:type="spellEnd"/>
            <w:r w:rsidRPr="00D354B9">
              <w:rPr>
                <w:rFonts w:asciiTheme="minorHAnsi" w:hAnsiTheme="minorHAnsi"/>
                <w:sz w:val="20"/>
                <w:szCs w:val="20"/>
              </w:rPr>
              <w:t xml:space="preserve"> Registration Data no later than submission of its Final Report. In this context, amongst others, disclosure in the course of intellectual property infringement and DNS abuse cases will be considered.</w:t>
            </w:r>
          </w:p>
          <w:p w:rsid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charter calls for the EPDP team to deliver an Initial Report outlining a proposed model of a system for providing accredited access to non-public Registration Data, not to “consider” doing so. The EPDP fails to fulfill its charter if it does not deliver a model for a system for standardized access to non-public data. At a bare minimum the team should commit to a time certain to complete this work, and no consensus policy superseding the Temporary Specification should be adopted without it.</w:t>
            </w:r>
          </w:p>
          <w:p w:rsidR="00D354B9" w:rsidRPr="00D354B9" w:rsidRDefault="00D354B9" w:rsidP="00D354B9">
            <w:pPr>
              <w:pStyle w:val="ColorfulList-Accent11"/>
              <w:ind w:left="0"/>
              <w:rPr>
                <w:rFonts w:asciiTheme="minorHAnsi" w:hAnsiTheme="minorHAnsi"/>
                <w:sz w:val="20"/>
                <w:szCs w:val="20"/>
              </w:rPr>
            </w:pP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strongly supports this recommendation for the EPDP Team to develop a standardized, or “unified,” system for access to non-public registration data after the gating questions have been answered.</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The IPC proposes edits to this recommendation to reflect that the protection of intellectual property rights is expressly recognized as a legitimate interest under GDPR and therefore understood to be within scope of the final policy.</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In the Article 29 Working Party’s letter to ICANN dated April 11, 2018, the A29WP “welcome[d] the decision of ICANN to propose an interim model which involves layered access, as well as an “accreditation program” for access to non-public WHOIS data.” This communication signaled A29WP’s support for a standardized access program.  This support is further echoed, in a May 27 communication to ICANN, in which the EPDB reiterated that it expects ICANN “to develop and implement a WHOIS model which will enable legitimate uses by relevant stakeholders, such as law enforcement, of personal data concerning registrants in compliance with the GDPR, without leading to an unlimited publication of those data.”</w:t>
            </w:r>
          </w:p>
          <w:p w:rsidR="00D354B9" w:rsidRPr="00D354B9" w:rsidRDefault="00D354B9" w:rsidP="00D354B9">
            <w:pPr>
              <w:pStyle w:val="ColorfulList-Accent11"/>
              <w:ind w:left="0"/>
              <w:rPr>
                <w:rFonts w:asciiTheme="minorHAnsi" w:hAnsiTheme="minorHAnsi"/>
                <w:sz w:val="20"/>
                <w:szCs w:val="20"/>
              </w:rPr>
            </w:pPr>
            <w:r w:rsidRPr="00D354B9">
              <w:rPr>
                <w:rFonts w:asciiTheme="minorHAnsi" w:hAnsiTheme="minorHAnsi"/>
                <w:sz w:val="20"/>
                <w:szCs w:val="20"/>
              </w:rPr>
              <w:t>With respect to the reference to “relevant stakeholders,” ICANN has identified “intellectual property rights holders as being such stakeholders with a legitimate interest in having access to registrant data.</w:t>
            </w:r>
          </w:p>
          <w:p w:rsidR="008D7EE5" w:rsidRPr="002860E2" w:rsidRDefault="00D354B9" w:rsidP="00FA5626">
            <w:pPr>
              <w:pStyle w:val="ColorfulList-Accent11"/>
              <w:ind w:left="0"/>
              <w:rPr>
                <w:rFonts w:asciiTheme="minorHAnsi" w:hAnsiTheme="minorHAnsi"/>
                <w:sz w:val="20"/>
                <w:szCs w:val="20"/>
              </w:rPr>
            </w:pPr>
            <w:r w:rsidRPr="00D354B9">
              <w:rPr>
                <w:rFonts w:asciiTheme="minorHAnsi" w:hAnsiTheme="minorHAnsi"/>
                <w:sz w:val="20"/>
                <w:szCs w:val="20"/>
              </w:rPr>
              <w:t>For the reasons expressed above and in deference to the statements provided, the IPC recommends the edits provided above.</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King; IPC</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Per the EPDP Team Charter, the EPDP Team is committed to answering the additional gating questions in the Charter and developing and recommending a system for Standardized Access to non-public Registration Data no later than the submission of its Final Report. This will include addressing questions such as:</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legitimate purposes for third parties to access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are the eligibility criteria for access to non-public Registration data?</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Do those parties/groups consist of different types of third-party requestors?</w:t>
            </w: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What data elements should each user/party have access to?</w:t>
            </w:r>
          </w:p>
          <w:p w:rsidR="00FA5626" w:rsidRPr="00FA5626" w:rsidRDefault="00FA5626" w:rsidP="00FA5626">
            <w:pPr>
              <w:pStyle w:val="ColorfulList-Accent11"/>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In this context, amongst others, the EPDP Team will develop a proposal that sets forth the method and process for disclosing non-public Registration data to third parties that have established legitimate interest in accessing non-public Registration data, including intellectual property rights holders, cybersecurity firms, organizations that mitigate DNS abuse, consumer protection organizations and law enforcement agencies.</w:t>
            </w:r>
          </w:p>
          <w:p w:rsidR="008D7EE5" w:rsidRDefault="008D7EE5" w:rsidP="005417AB">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In order to fulfill its Charter, the EPDP Team must develop and deliver a proposal to address standardized access to non-public registrant data. The edits to Recommendation #2 submitted here recognize this as a requirement of the Charter that must be fulfilled by the EPDP Team no later than the submission of its Final Report.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Moreover, specific guidance from the European Data Protection Board has been received by ICANN in the Board's May 27 communication wherein it stated that it expects ICANN "to develop and implement a WHOIS model which will enable legitimate uses by relevant stakeholders, such as law enforcement, of personal data concerning registrants in compliance with the GDPR . . . "</w:t>
            </w:r>
          </w:p>
          <w:p w:rsidR="008D7EE5" w:rsidRPr="002860E2"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The suggested edits offered above further clarify "relevant stakeholders" by specifically calling out intellectual property rights holders, cybersecurity firms, organizations that mitigate DNS abuse, consumer protection organizations and law enforcement agencies</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 xml:space="preserve">Registrars or registry operators should put in place a data disclosure process, which allows any third party that can evidence a legitimate right to a domain name to obtain the complete </w:t>
            </w:r>
            <w:proofErr w:type="spellStart"/>
            <w:r w:rsidRPr="00FA5626">
              <w:rPr>
                <w:rFonts w:asciiTheme="minorHAnsi" w:hAnsiTheme="minorHAnsi"/>
                <w:sz w:val="20"/>
                <w:szCs w:val="20"/>
              </w:rPr>
              <w:t>whois</w:t>
            </w:r>
            <w:proofErr w:type="spellEnd"/>
            <w:r w:rsidRPr="00FA5626">
              <w:rPr>
                <w:rFonts w:asciiTheme="minorHAnsi" w:hAnsiTheme="minorHAnsi"/>
                <w:sz w:val="20"/>
                <w:szCs w:val="20"/>
              </w:rPr>
              <w:t xml:space="preserve"> data of a domain name.</w:t>
            </w:r>
          </w:p>
          <w:p w:rsidR="00FA5626" w:rsidRDefault="00FA5626" w:rsidP="005417AB">
            <w:pPr>
              <w:pStyle w:val="ColorfulList-Accent11"/>
              <w:ind w:left="0"/>
              <w:rPr>
                <w:rFonts w:asciiTheme="minorHAnsi" w:hAnsiTheme="minorHAnsi"/>
                <w:sz w:val="20"/>
                <w:szCs w:val="20"/>
              </w:rPr>
            </w:pPr>
          </w:p>
          <w:p w:rsidR="00FA5626" w:rsidRPr="002860E2" w:rsidRDefault="00FA5626" w:rsidP="005417AB">
            <w:pPr>
              <w:pStyle w:val="ColorfulList-Accent11"/>
              <w:ind w:left="0"/>
              <w:rPr>
                <w:rFonts w:asciiTheme="minorHAnsi" w:hAnsiTheme="minorHAnsi"/>
                <w:sz w:val="20"/>
                <w:szCs w:val="20"/>
              </w:rPr>
            </w:pPr>
            <w:r w:rsidRPr="00FA5626">
              <w:rPr>
                <w:rFonts w:asciiTheme="minorHAnsi" w:hAnsiTheme="minorHAnsi"/>
                <w:sz w:val="20"/>
                <w:szCs w:val="20"/>
              </w:rPr>
              <w:t>The temporary Specifications currently only require Registrar and Registry Operator to provide reasonable access to Personal Data in Registration Data to third parties on the basis of a legitimate interests pursued by the third party.  The definition of "reasonable access" is vague and may be subject to interpretation.</w:t>
            </w:r>
          </w:p>
          <w:p w:rsidR="008D7EE5" w:rsidRDefault="008D7EE5" w:rsidP="005417AB">
            <w:pPr>
              <w:pStyle w:val="ColorfulList-Accent11"/>
              <w:ind w:left="0"/>
              <w:rPr>
                <w:rFonts w:asciiTheme="minorHAnsi" w:hAnsiTheme="minorHAnsi"/>
                <w:sz w:val="20"/>
                <w:szCs w:val="20"/>
              </w:rPr>
            </w:pPr>
          </w:p>
          <w:p w:rsidR="008D7EE5"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 xml:space="preserve">A lot of ccTLD registry operators such as </w:t>
            </w:r>
            <w:proofErr w:type="spellStart"/>
            <w:r w:rsidRPr="000B18E6">
              <w:rPr>
                <w:rFonts w:asciiTheme="minorHAnsi" w:hAnsiTheme="minorHAnsi"/>
                <w:sz w:val="20"/>
                <w:szCs w:val="20"/>
              </w:rPr>
              <w:t>EURid</w:t>
            </w:r>
            <w:proofErr w:type="spellEnd"/>
            <w:r w:rsidRPr="000B18E6">
              <w:rPr>
                <w:rFonts w:asciiTheme="minorHAnsi" w:hAnsiTheme="minorHAnsi"/>
                <w:sz w:val="20"/>
                <w:szCs w:val="20"/>
              </w:rPr>
              <w:t xml:space="preserve"> have already put in place procedures where a third party that wants to obtain the complete </w:t>
            </w:r>
            <w:proofErr w:type="spellStart"/>
            <w:r w:rsidRPr="000B18E6">
              <w:rPr>
                <w:rFonts w:asciiTheme="minorHAnsi" w:hAnsiTheme="minorHAnsi"/>
                <w:sz w:val="20"/>
                <w:szCs w:val="20"/>
              </w:rPr>
              <w:t>whois</w:t>
            </w:r>
            <w:proofErr w:type="spellEnd"/>
            <w:r w:rsidRPr="000B18E6">
              <w:rPr>
                <w:rFonts w:asciiTheme="minorHAnsi" w:hAnsiTheme="minorHAnsi"/>
                <w:sz w:val="20"/>
                <w:szCs w:val="20"/>
              </w:rPr>
              <w:t xml:space="preserve"> data of a domain name have to submit a form duly completed, signed and stamped together with evidences of its legitimate right to the concerned domain name (e.g. trademark certificate, BRC...) to the registry operators.  Such procedures are compliant with the GDPR.</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 xml:space="preserve">Steve </w:t>
            </w:r>
            <w:proofErr w:type="spellStart"/>
            <w:r w:rsidRPr="008B7CC1">
              <w:rPr>
                <w:rFonts w:asciiTheme="minorHAnsi" w:hAnsiTheme="minorHAnsi"/>
                <w:sz w:val="20"/>
                <w:szCs w:val="20"/>
              </w:rPr>
              <w:t>Gobin</w:t>
            </w:r>
            <w:proofErr w:type="spellEnd"/>
            <w:r w:rsidRPr="008B7CC1">
              <w:rPr>
                <w:rFonts w:asciiTheme="minorHAnsi" w:hAnsiTheme="minorHAnsi"/>
                <w:sz w:val="20"/>
                <w:szCs w:val="20"/>
              </w:rPr>
              <w:t>; Corporate domain name management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With six months of GDPR experience behind us, it is obvious that ICANN needs to turn its concerted attention to addressing the need for a unified/standardized system for reasonable access to non-public registrant data.  </w:t>
            </w:r>
          </w:p>
          <w:p w:rsidR="00FA5626" w:rsidRPr="00FA5626" w:rsidRDefault="00FA5626" w:rsidP="00FA5626">
            <w:pPr>
              <w:pStyle w:val="ColorfulList-Accent11"/>
              <w:ind w:left="0"/>
              <w:rPr>
                <w:rFonts w:asciiTheme="minorHAnsi" w:hAnsiTheme="minorHAnsi"/>
                <w:sz w:val="20"/>
                <w:szCs w:val="20"/>
              </w:rPr>
            </w:pPr>
          </w:p>
          <w:p w:rsidR="00FA5626" w:rsidRPr="00FA5626"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 xml:space="preserve">Failure to provide a solution is harming a range of legitimate causes.  </w:t>
            </w:r>
          </w:p>
          <w:p w:rsidR="00FA5626" w:rsidRPr="00FA5626" w:rsidRDefault="00FA5626" w:rsidP="00FA5626">
            <w:pPr>
              <w:pStyle w:val="ColorfulList-Accent11"/>
              <w:ind w:left="0"/>
              <w:rPr>
                <w:rFonts w:asciiTheme="minorHAnsi" w:hAnsiTheme="minorHAnsi"/>
                <w:sz w:val="20"/>
                <w:szCs w:val="20"/>
              </w:rPr>
            </w:pPr>
          </w:p>
          <w:p w:rsidR="008D7EE5" w:rsidRPr="002860E2" w:rsidRDefault="00FA5626" w:rsidP="00FA5626">
            <w:pPr>
              <w:pStyle w:val="ColorfulList-Accent11"/>
              <w:ind w:left="0"/>
              <w:rPr>
                <w:rFonts w:asciiTheme="minorHAnsi" w:hAnsiTheme="minorHAnsi"/>
                <w:sz w:val="20"/>
                <w:szCs w:val="20"/>
              </w:rPr>
            </w:pPr>
            <w:r w:rsidRPr="00FA5626">
              <w:rPr>
                <w:rFonts w:asciiTheme="minorHAnsi" w:hAnsiTheme="minorHAnsi"/>
                <w:sz w:val="20"/>
                <w:szCs w:val="20"/>
              </w:rPr>
              <w:t>As stated by the Interpol representative at the ICANN Meeting in Barcelona, “investigations are affected by [and] have been slowed down or have been challenged by WHOIS.”</w:t>
            </w:r>
          </w:p>
          <w:p w:rsidR="008D7EE5" w:rsidRDefault="008D7EE5" w:rsidP="005417AB">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Decisive action in developing a unified/standardized access model would foster predictability, in all stakeholders’ interests, and to this end WIPO remains willing to assist in a potential accreditation body capacity.</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 xml:space="preserve">Even if this reflects the EPDP Charter, we find Recommendation No. 2 troubling in that it suggests the EPDP will “turn its attention to considering a system for Standardized Access to non-public Registration Data once the gating questions in the charter have been answered”. </w:t>
            </w:r>
          </w:p>
          <w:p w:rsidR="000B18E6" w:rsidRPr="000B18E6" w:rsidRDefault="000B18E6" w:rsidP="000B18E6">
            <w:pPr>
              <w:pStyle w:val="ColorfulList-Accent11"/>
              <w:ind w:left="27"/>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Not only does this fail to commit to actually coming up with a solution, it proposes to only begin “considering” one once the “gating questions” have been answered.</w:t>
            </w:r>
          </w:p>
          <w:p w:rsidR="000B18E6" w:rsidRPr="000B18E6" w:rsidRDefault="000B18E6" w:rsidP="000B18E6">
            <w:pPr>
              <w:pStyle w:val="ColorfulList-Accent11"/>
              <w:rPr>
                <w:rFonts w:asciiTheme="minorHAnsi" w:hAnsiTheme="minorHAnsi"/>
                <w:sz w:val="20"/>
                <w:szCs w:val="20"/>
              </w:rPr>
            </w:pPr>
          </w:p>
          <w:p w:rsidR="008D7EE5" w:rsidRPr="002860E2" w:rsidRDefault="000B18E6" w:rsidP="005417AB">
            <w:pPr>
              <w:pStyle w:val="ColorfulList-Accent11"/>
              <w:ind w:left="0"/>
              <w:rPr>
                <w:rFonts w:asciiTheme="minorHAnsi" w:hAnsiTheme="minorHAnsi"/>
                <w:sz w:val="20"/>
                <w:szCs w:val="20"/>
              </w:rPr>
            </w:pPr>
            <w:r w:rsidRPr="000B18E6">
              <w:rPr>
                <w:rFonts w:asciiTheme="minorHAnsi" w:hAnsiTheme="minorHAnsi"/>
                <w:sz w:val="20"/>
                <w:szCs w:val="20"/>
              </w:rPr>
              <w:t>We see no compelling reason why work on a unified/standardized system for reasonable access to non-public registrant data cannot commence immediately in parallel with the EPDP effort.</w:t>
            </w:r>
          </w:p>
        </w:tc>
        <w:tc>
          <w:tcPr>
            <w:tcW w:w="2700" w:type="dxa"/>
          </w:tcPr>
          <w:p w:rsidR="008D7EE5" w:rsidRPr="002860E2" w:rsidRDefault="008B7CC1" w:rsidP="005417AB">
            <w:pPr>
              <w:contextualSpacing/>
              <w:rPr>
                <w:rFonts w:asciiTheme="minorHAnsi" w:hAnsiTheme="minorHAnsi"/>
                <w:sz w:val="20"/>
                <w:szCs w:val="20"/>
              </w:rPr>
            </w:pPr>
            <w:r w:rsidRPr="008B7CC1">
              <w:rPr>
                <w:rFonts w:asciiTheme="minorHAnsi" w:hAnsiTheme="minorHAnsi"/>
                <w:sz w:val="20"/>
                <w:szCs w:val="20"/>
              </w:rPr>
              <w:t>Brian Beckham; Head, Internet Dispute Resolution Section</w:t>
            </w:r>
            <w:r w:rsidR="00FC3FA9">
              <w:rPr>
                <w:rFonts w:asciiTheme="minorHAnsi" w:hAnsiTheme="minorHAnsi"/>
                <w:sz w:val="20"/>
                <w:szCs w:val="20"/>
              </w:rPr>
              <w:t>, WIPO</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2B3C04" w:rsidP="008D7EE5">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8D7EE5" w:rsidRPr="002860E2" w:rsidTr="002657F2">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8D7EE5" w:rsidRDefault="005305AE" w:rsidP="005417AB">
            <w:pPr>
              <w:pStyle w:val="ColorfulList-Accent11"/>
              <w:ind w:left="0"/>
              <w:rPr>
                <w:rFonts w:asciiTheme="minorHAnsi" w:hAnsiTheme="minorHAnsi"/>
                <w:sz w:val="20"/>
                <w:szCs w:val="20"/>
              </w:rPr>
            </w:pPr>
            <w:r>
              <w:rPr>
                <w:rFonts w:asciiTheme="minorHAnsi" w:hAnsiTheme="minorHAnsi"/>
                <w:sz w:val="20"/>
                <w:szCs w:val="20"/>
              </w:rPr>
              <w:t>Delete</w:t>
            </w:r>
          </w:p>
          <w:p w:rsidR="005305AE" w:rsidRDefault="005305AE" w:rsidP="005417AB">
            <w:pPr>
              <w:pStyle w:val="ColorfulList-Accent11"/>
              <w:ind w:left="0"/>
              <w:rPr>
                <w:rFonts w:asciiTheme="minorHAnsi" w:hAnsiTheme="minorHAnsi"/>
                <w:sz w:val="20"/>
                <w:szCs w:val="20"/>
              </w:rPr>
            </w:pPr>
          </w:p>
          <w:p w:rsidR="005305AE" w:rsidRPr="005305AE" w:rsidRDefault="005305AE" w:rsidP="005305AE">
            <w:pPr>
              <w:pStyle w:val="ColorfulList-Accent11"/>
              <w:ind w:left="0"/>
              <w:rPr>
                <w:rFonts w:asciiTheme="minorHAnsi" w:hAnsiTheme="minorHAnsi"/>
                <w:sz w:val="20"/>
                <w:szCs w:val="20"/>
              </w:rPr>
            </w:pPr>
            <w:r w:rsidRPr="005305AE">
              <w:rPr>
                <w:rFonts w:asciiTheme="minorHAnsi" w:hAnsiTheme="minorHAnsi"/>
                <w:sz w:val="20"/>
                <w:szCs w:val="20"/>
              </w:rPr>
              <w:t>1) There is no "recommendation" provided, just a statement that the "EPDP Team is committed to considering a system for Standardized Access to non-public Registration Data once the gating questions in the charter have been answered."</w:t>
            </w:r>
          </w:p>
          <w:p w:rsidR="008D7EE5" w:rsidRDefault="005305AE" w:rsidP="005417AB">
            <w:pPr>
              <w:pStyle w:val="ColorfulList-Accent11"/>
              <w:ind w:left="0"/>
              <w:rPr>
                <w:rFonts w:asciiTheme="minorHAnsi" w:hAnsiTheme="minorHAnsi"/>
                <w:sz w:val="20"/>
                <w:szCs w:val="20"/>
              </w:rPr>
            </w:pPr>
            <w:r w:rsidRPr="005305AE">
              <w:rPr>
                <w:rFonts w:asciiTheme="minorHAnsi" w:hAnsiTheme="minorHAnsi"/>
                <w:sz w:val="20"/>
                <w:szCs w:val="20"/>
              </w:rPr>
              <w:t>2) Read EPDP Charter p.9: "Work on recommendations for a System for Accredited Access to Non-Public Registration Data should NOT commence until all gating questions have been answered. Similarly, delivery of the Final Report on the EPDP Team’s recommendations on issues relating to the Temporary Specification for gTLD Registration Data to the GNSO Council and subsequently the ICANN Board (before 25 May 2019) should NOT be held up by work that may still be ongoing in relation to the EPDP Team’s recommendations for a System for Accredited Access to Non-Public Registration Data."</w:t>
            </w:r>
          </w:p>
          <w:p w:rsidR="000B18E6" w:rsidRDefault="000B18E6" w:rsidP="005417AB">
            <w:pPr>
              <w:pStyle w:val="ColorfulList-Accent11"/>
              <w:ind w:left="0"/>
              <w:rPr>
                <w:rFonts w:asciiTheme="minorHAnsi" w:hAnsiTheme="minorHAnsi"/>
                <w:sz w:val="20"/>
                <w:szCs w:val="20"/>
              </w:rPr>
            </w:pPr>
          </w:p>
          <w:p w:rsidR="008D7EE5"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The EPDP working group needs to answer the gating questions before addressing and making any "recommendations" about "access" to non-public Registration Data."</w:t>
            </w:r>
          </w:p>
        </w:tc>
        <w:tc>
          <w:tcPr>
            <w:tcW w:w="2700" w:type="dxa"/>
          </w:tcPr>
          <w:p w:rsidR="008D7EE5" w:rsidRPr="002860E2" w:rsidRDefault="00D04CAB" w:rsidP="005417AB">
            <w:pPr>
              <w:contextualSpacing/>
              <w:rPr>
                <w:rFonts w:asciiTheme="minorHAnsi" w:hAnsiTheme="minorHAnsi"/>
                <w:sz w:val="20"/>
                <w:szCs w:val="20"/>
              </w:rPr>
            </w:pPr>
            <w:r w:rsidRPr="00D04CAB">
              <w:rPr>
                <w:rFonts w:asciiTheme="minorHAnsi" w:hAnsiTheme="minorHAnsi"/>
                <w:sz w:val="20"/>
                <w:szCs w:val="20"/>
              </w:rPr>
              <w:t>John Poole; Domain Name Registrant</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Disclosure of registration data to 3rd </w:t>
            </w:r>
            <w:proofErr w:type="gramStart"/>
            <w:r w:rsidRPr="008B7CC1">
              <w:rPr>
                <w:rFonts w:asciiTheme="minorHAnsi" w:hAnsiTheme="minorHAnsi"/>
                <w:sz w:val="20"/>
                <w:szCs w:val="20"/>
              </w:rPr>
              <w:t>parties  is</w:t>
            </w:r>
            <w:proofErr w:type="gramEnd"/>
            <w:r w:rsidRPr="008B7CC1">
              <w:rPr>
                <w:rFonts w:asciiTheme="minorHAnsi" w:hAnsiTheme="minorHAnsi"/>
                <w:sz w:val="20"/>
                <w:szCs w:val="20"/>
              </w:rPr>
              <w:t xml:space="preserve"> not a "purpose" for its collection.</w:t>
            </w: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Michele Neylon; Blacknight Internet Solutions Ltd</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6605C9"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This is a statement of something already in the charter.  It is not a recommendation.  As such, it should be removed.  We welcome the opportunity to explore this topic further after the EPDP has concluded.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Sara </w:t>
            </w:r>
            <w:proofErr w:type="spellStart"/>
            <w:r w:rsidRPr="00D04CAB">
              <w:rPr>
                <w:rFonts w:asciiTheme="minorHAnsi" w:hAnsiTheme="minorHAnsi"/>
                <w:sz w:val="20"/>
                <w:szCs w:val="20"/>
              </w:rPr>
              <w:t>Bockey</w:t>
            </w:r>
            <w:proofErr w:type="spellEnd"/>
            <w:r w:rsidRPr="00D04CAB">
              <w:rPr>
                <w:rFonts w:asciiTheme="minorHAnsi" w:hAnsiTheme="minorHAnsi"/>
                <w:sz w:val="20"/>
                <w:szCs w:val="20"/>
              </w:rPr>
              <w:t>; GoDaddy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605C9" w:rsidRPr="002860E2" w:rsidRDefault="006605C9" w:rsidP="005417AB">
            <w:pPr>
              <w:contextualSpacing/>
              <w:rPr>
                <w:rFonts w:asciiTheme="minorHAnsi" w:hAnsiTheme="minorHAnsi"/>
                <w:sz w:val="20"/>
                <w:szCs w:val="2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Lars Steffen; eco – Association of the Internet Industry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While we understand this language was compromise language within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the </w:t>
            </w:r>
            <w:proofErr w:type="spellStart"/>
            <w:r w:rsidRPr="008B7CC1">
              <w:rPr>
                <w:rFonts w:asciiTheme="minorHAnsi" w:hAnsiTheme="minorHAnsi"/>
                <w:sz w:val="20"/>
                <w:szCs w:val="20"/>
              </w:rPr>
              <w:t>RrSG</w:t>
            </w:r>
            <w:proofErr w:type="spellEnd"/>
            <w:r w:rsidRPr="008B7CC1">
              <w:rPr>
                <w:rFonts w:asciiTheme="minorHAnsi" w:hAnsiTheme="minorHAnsi"/>
                <w:sz w:val="20"/>
                <w:szCs w:val="20"/>
              </w:rPr>
              <w:t xml:space="preserve"> does not believe it is appropriate to consider this a policy recommendation at this time. As stated 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charter and reinforced in the initial report, the topic of Standardized Access to non-Public registration Data should only be considered once all of the gating questions have been answered. The access discussion was clearly going to be one of the most challenging issues for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to address and it was very deliberate of the GNSO council to structure the Charter in this manner so as to head-off the possibility of this topic derailing the work of the group. It is </w:t>
            </w:r>
          </w:p>
          <w:p w:rsidR="008B7CC1" w:rsidRPr="008B7CC1"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crucial the team be allowed to address and lock down solid policy recommendations based on the gating questions before addressing the issue of access to non-public Registration Data.</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 xml:space="preserve">Members of the </w:t>
            </w:r>
            <w:proofErr w:type="spellStart"/>
            <w:r w:rsidRPr="008B7CC1">
              <w:rPr>
                <w:rFonts w:asciiTheme="minorHAnsi" w:hAnsiTheme="minorHAnsi"/>
                <w:sz w:val="20"/>
                <w:szCs w:val="20"/>
              </w:rPr>
              <w:t>RrSG</w:t>
            </w:r>
            <w:proofErr w:type="spellEnd"/>
            <w:r w:rsidRPr="008B7CC1">
              <w:rPr>
                <w:rFonts w:asciiTheme="minorHAnsi" w:hAnsiTheme="minorHAnsi"/>
                <w:sz w:val="20"/>
                <w:szCs w:val="20"/>
              </w:rPr>
              <w:t xml:space="preserve"> participating in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team have been consistent in voicing their openness to participating in the discussion surrounding access once the gating questions have been addressed and we reinforce that sentiment in these comments. At such time that the working group has resolved all of the gating questions, we look forward to moving on to the discussion around access.</w:t>
            </w:r>
          </w:p>
        </w:tc>
        <w:tc>
          <w:tcPr>
            <w:tcW w:w="2700" w:type="dxa"/>
          </w:tcPr>
          <w:p w:rsidR="00D04CAB" w:rsidRPr="009D233C" w:rsidRDefault="00D04CAB" w:rsidP="009D233C">
            <w:pPr>
              <w:pStyle w:val="ListParagraph"/>
              <w:numPr>
                <w:ilvl w:val="0"/>
                <w:numId w:val="43"/>
              </w:numPr>
              <w:ind w:left="342"/>
              <w:contextualSpacing/>
              <w:rPr>
                <w:rFonts w:asciiTheme="minorHAnsi" w:hAnsiTheme="minorHAnsi"/>
                <w:sz w:val="20"/>
                <w:szCs w:val="20"/>
              </w:rPr>
            </w:pPr>
            <w:r w:rsidRPr="009D233C">
              <w:rPr>
                <w:rFonts w:asciiTheme="minorHAnsi" w:hAnsiTheme="minorHAnsi"/>
                <w:sz w:val="20"/>
                <w:szCs w:val="20"/>
              </w:rPr>
              <w:t xml:space="preserve">Zoe Bonython; </w:t>
            </w:r>
            <w:proofErr w:type="spellStart"/>
            <w:r w:rsidRPr="009D233C">
              <w:rPr>
                <w:rFonts w:asciiTheme="minorHAnsi" w:hAnsiTheme="minorHAnsi"/>
                <w:sz w:val="20"/>
                <w:szCs w:val="20"/>
              </w:rPr>
              <w:t>RrSG</w:t>
            </w:r>
            <w:proofErr w:type="spellEnd"/>
          </w:p>
          <w:p w:rsidR="009D233C" w:rsidRPr="009D233C" w:rsidRDefault="009D233C" w:rsidP="009D233C">
            <w:pPr>
              <w:pStyle w:val="ListParagraph"/>
              <w:numPr>
                <w:ilvl w:val="0"/>
                <w:numId w:val="43"/>
              </w:numPr>
              <w:ind w:left="342"/>
              <w:contextualSpacing/>
              <w:rPr>
                <w:rFonts w:asciiTheme="minorHAnsi" w:hAnsiTheme="minorHAnsi"/>
                <w:sz w:val="20"/>
                <w:szCs w:val="20"/>
              </w:rPr>
            </w:pPr>
            <w:r w:rsidRPr="009D233C">
              <w:rPr>
                <w:rFonts w:asciiTheme="minorHAnsi" w:hAnsiTheme="minorHAnsi"/>
                <w:sz w:val="20"/>
                <w:szCs w:val="20"/>
              </w:rPr>
              <w:t xml:space="preserve">Volker </w:t>
            </w:r>
            <w:proofErr w:type="spellStart"/>
            <w:r w:rsidRPr="009D233C">
              <w:rPr>
                <w:rFonts w:asciiTheme="minorHAnsi" w:hAnsiTheme="minorHAnsi"/>
                <w:sz w:val="20"/>
                <w:szCs w:val="20"/>
              </w:rPr>
              <w:t>Greimann</w:t>
            </w:r>
            <w:proofErr w:type="spellEnd"/>
            <w:r w:rsidRPr="009D233C">
              <w:rPr>
                <w:rFonts w:asciiTheme="minorHAnsi" w:hAnsiTheme="minorHAnsi"/>
                <w:sz w:val="20"/>
                <w:szCs w:val="20"/>
              </w:rPr>
              <w:t>; Key-Systems GmbH</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Pr>
                <w:rFonts w:asciiTheme="minorHAnsi" w:hAnsiTheme="minorHAnsi"/>
                <w:sz w:val="20"/>
                <w:szCs w:val="20"/>
              </w:rPr>
              <w:t>No comment supplied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Domain.com, LLC &amp; affiliates</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The recommendation shall only be supported conditional to confirmation that such processing is possible in a legally compliant fashion. One way of doing this is to recommend the preparation of a code of conduct according to Art. 40 of the GDPR and enact the recommendation only if and when such code of conduct is approved.</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Wolf-Ulrich </w:t>
            </w:r>
            <w:proofErr w:type="spellStart"/>
            <w:r w:rsidRPr="00D04CAB">
              <w:rPr>
                <w:rFonts w:asciiTheme="minorHAnsi" w:hAnsiTheme="minorHAnsi"/>
                <w:sz w:val="20"/>
                <w:szCs w:val="20"/>
              </w:rPr>
              <w:t>Knoben</w:t>
            </w:r>
            <w:proofErr w:type="spellEnd"/>
            <w:r w:rsidRPr="00D04CAB">
              <w:rPr>
                <w:rFonts w:asciiTheme="minorHAnsi" w:hAnsiTheme="minorHAnsi"/>
                <w:sz w:val="20"/>
                <w:szCs w:val="20"/>
              </w:rPr>
              <w:t>; ISPCP Constituency</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D04CAB" w:rsidRPr="002860E2" w:rsidRDefault="008B7CC1" w:rsidP="005417AB">
            <w:pPr>
              <w:pStyle w:val="ColorfulList-Accent11"/>
              <w:ind w:left="0"/>
              <w:rPr>
                <w:rFonts w:asciiTheme="minorHAnsi" w:hAnsiTheme="minorHAnsi"/>
                <w:sz w:val="20"/>
                <w:szCs w:val="20"/>
              </w:rPr>
            </w:pPr>
            <w:r w:rsidRPr="008B7CC1">
              <w:rPr>
                <w:rFonts w:asciiTheme="minorHAnsi" w:hAnsiTheme="minorHAnsi"/>
                <w:sz w:val="20"/>
                <w:szCs w:val="20"/>
              </w:rPr>
              <w:t>Third party access to registration data is not part of ICANN’s mission.</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Monica Sanders; i2Coalition</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All WHOIS should essentially be public, and not gated. My company wants to always opt-in to public WHOIS for our own data, and mechanisms should be in place to require registrars to permit this opt-in (some have not yet done so, despite the temporary spec!)</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proofErr w:type="gramStart"/>
            <w:r w:rsidRPr="008B7CC1">
              <w:rPr>
                <w:rFonts w:asciiTheme="minorHAnsi" w:hAnsiTheme="minorHAnsi"/>
                <w:sz w:val="20"/>
                <w:szCs w:val="20"/>
              </w:rPr>
              <w:t>But,</w:t>
            </w:r>
            <w:proofErr w:type="gramEnd"/>
            <w:r w:rsidRPr="008B7CC1">
              <w:rPr>
                <w:rFonts w:asciiTheme="minorHAnsi" w:hAnsiTheme="minorHAnsi"/>
                <w:sz w:val="20"/>
                <w:szCs w:val="20"/>
              </w:rPr>
              <w:t xml:space="preserve"> I do respect that some seek privacy (opting in to that). I don't think ICANN should be developing that system, but instead there is an alternative, namely putting it in the hands of the courts, using a mechanism like we have in Canada for "Norwich Orders", see: https://www.lerners.ca/lernx/norwich-orders/ or </w:t>
            </w:r>
            <w:proofErr w:type="gramStart"/>
            <w:r w:rsidRPr="008B7CC1">
              <w:rPr>
                <w:rFonts w:asciiTheme="minorHAnsi" w:hAnsiTheme="minorHAnsi"/>
                <w:sz w:val="20"/>
                <w:szCs w:val="20"/>
              </w:rPr>
              <w:t>https://en.wikipedia.org/wiki/Norwich_Pharmacal_order  or</w:t>
            </w:r>
            <w:proofErr w:type="gramEnd"/>
            <w:r w:rsidRPr="008B7CC1">
              <w:rPr>
                <w:rFonts w:asciiTheme="minorHAnsi" w:hAnsiTheme="minorHAnsi"/>
                <w:sz w:val="20"/>
                <w:szCs w:val="20"/>
              </w:rPr>
              <w:t xml:space="preserve"> search Google "Norwich Orders" to find more. </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I believe an ICANN-developed system will be ripe for abuse (i.e. overreach by trademark interests, for example), and would have limited penalties, whereas abusers of a Norwich-type order could be penalized by the courts. Furthermore, courts recognize that intermediaries (e.g. registrars/registries) would be entitled to reasonable cost recovery, as per the recent judgment in the recent Supreme Court of Canada involving Rogers and Voltage Pictures, see: https://scc-csc.lexum.com/scc-csc/scc-csc/en/item/17254/index.do</w:t>
            </w:r>
          </w:p>
          <w:p w:rsidR="008B7CC1" w:rsidRPr="008B7CC1" w:rsidRDefault="008B7CC1" w:rsidP="008B7CC1">
            <w:pPr>
              <w:pStyle w:val="ColorfulList-Accent11"/>
              <w:rPr>
                <w:rFonts w:asciiTheme="minorHAnsi" w:hAnsiTheme="minorHAnsi"/>
                <w:sz w:val="20"/>
                <w:szCs w:val="20"/>
              </w:rPr>
            </w:pPr>
          </w:p>
          <w:p w:rsidR="00D04CAB"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Again, I emphasize that I want the WHOIS to be public, but if folks are going to insist on privacy for some of that data, the courts (of a competent jurisdiction) are the right place, not ICANN. To be clear, a competent jurisdiction should be the jurisdiction of the entity holding the data (e.g. location of registrar or registry, as the case may be, depending on whether it's a thin or thick WHOIS system in place). As an aside, returning to thin WHOIS might be best, to allow those who are concerned about privacy to choose a registrar in an appropriate jurisdiction that suits their own needs.</w:t>
            </w:r>
          </w:p>
          <w:p w:rsidR="000B18E6" w:rsidRDefault="000B18E6" w:rsidP="008B7CC1">
            <w:pPr>
              <w:pStyle w:val="ColorfulList-Accent11"/>
              <w:ind w:left="0"/>
              <w:rPr>
                <w:rFonts w:asciiTheme="minorHAnsi" w:hAnsiTheme="minorHAnsi"/>
                <w:sz w:val="20"/>
                <w:szCs w:val="20"/>
              </w:rPr>
            </w:pPr>
          </w:p>
          <w:p w:rsidR="000B18E6" w:rsidRPr="000B18E6" w:rsidRDefault="000B18E6" w:rsidP="000B18E6">
            <w:pPr>
              <w:pStyle w:val="ColorfulList-Accent11"/>
              <w:ind w:left="27"/>
              <w:rPr>
                <w:rFonts w:asciiTheme="minorHAnsi" w:hAnsiTheme="minorHAnsi"/>
                <w:sz w:val="20"/>
                <w:szCs w:val="20"/>
              </w:rPr>
            </w:pPr>
            <w:r w:rsidRPr="000B18E6">
              <w:rPr>
                <w:rFonts w:asciiTheme="minorHAnsi" w:hAnsiTheme="minorHAnsi"/>
                <w:sz w:val="20"/>
                <w:szCs w:val="20"/>
              </w:rPr>
              <w:t>ICANN has long been subject to gaming, and taking this out of ICANN's hands seems best. Otherwise, various camps will do their best to create a policy that includes themselves, to gain an advantage, and to exclude others.</w:t>
            </w:r>
          </w:p>
          <w:p w:rsidR="000B18E6" w:rsidRPr="000B18E6" w:rsidRDefault="000B18E6" w:rsidP="000B18E6">
            <w:pPr>
              <w:pStyle w:val="ColorfulList-Accent11"/>
              <w:rPr>
                <w:rFonts w:asciiTheme="minorHAnsi" w:hAnsiTheme="minorHAnsi"/>
                <w:sz w:val="20"/>
                <w:szCs w:val="20"/>
              </w:rPr>
            </w:pPr>
          </w:p>
          <w:p w:rsidR="000B18E6" w:rsidRPr="002860E2" w:rsidRDefault="000B18E6" w:rsidP="000B18E6">
            <w:pPr>
              <w:pStyle w:val="ColorfulList-Accent11"/>
              <w:ind w:left="0"/>
              <w:rPr>
                <w:rFonts w:asciiTheme="minorHAnsi" w:hAnsiTheme="minorHAnsi"/>
                <w:sz w:val="20"/>
                <w:szCs w:val="20"/>
              </w:rPr>
            </w:pPr>
            <w:r w:rsidRPr="000B18E6">
              <w:rPr>
                <w:rFonts w:asciiTheme="minorHAnsi" w:hAnsiTheme="minorHAnsi"/>
                <w:sz w:val="20"/>
                <w:szCs w:val="20"/>
              </w:rPr>
              <w:t>Once a policy is adopted, it would be nearly impossible to change it (as seen by past policy mistakes by ICANN), as a party used to gaining an advantage eventually considers it an entitlement.</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George </w:t>
            </w:r>
            <w:proofErr w:type="spellStart"/>
            <w:r w:rsidRPr="00D04CAB">
              <w:rPr>
                <w:rFonts w:asciiTheme="minorHAnsi" w:hAnsiTheme="minorHAnsi"/>
                <w:sz w:val="20"/>
                <w:szCs w:val="20"/>
              </w:rPr>
              <w:t>Kirikos</w:t>
            </w:r>
            <w:proofErr w:type="spellEnd"/>
            <w:r w:rsidRPr="00D04CAB">
              <w:rPr>
                <w:rFonts w:asciiTheme="minorHAnsi" w:hAnsiTheme="minorHAnsi"/>
                <w:sz w:val="20"/>
                <w:szCs w:val="20"/>
              </w:rPr>
              <w:t>; Leap of Faith Financial Services Inc.</w:t>
            </w:r>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04CAB" w:rsidRPr="002860E2" w:rsidTr="002657F2">
        <w:trPr>
          <w:cantSplit/>
        </w:trPr>
        <w:tc>
          <w:tcPr>
            <w:tcW w:w="675" w:type="dxa"/>
          </w:tcPr>
          <w:p w:rsidR="00D04CAB" w:rsidRPr="002860E2" w:rsidRDefault="00D04CAB" w:rsidP="00AC3871">
            <w:pPr>
              <w:numPr>
                <w:ilvl w:val="0"/>
                <w:numId w:val="23"/>
              </w:numPr>
              <w:contextualSpacing/>
              <w:rPr>
                <w:rFonts w:asciiTheme="minorHAnsi" w:hAnsiTheme="minorHAnsi"/>
                <w:b/>
                <w:sz w:val="20"/>
                <w:szCs w:val="20"/>
              </w:rPr>
            </w:pPr>
          </w:p>
        </w:tc>
        <w:tc>
          <w:tcPr>
            <w:tcW w:w="8055" w:type="dxa"/>
          </w:tcPr>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 xml:space="preserve">The </w:t>
            </w:r>
            <w:proofErr w:type="spellStart"/>
            <w:r w:rsidRPr="008B7CC1">
              <w:rPr>
                <w:rFonts w:asciiTheme="minorHAnsi" w:hAnsiTheme="minorHAnsi"/>
                <w:sz w:val="20"/>
                <w:szCs w:val="20"/>
              </w:rPr>
              <w:t>RySG</w:t>
            </w:r>
            <w:proofErr w:type="spellEnd"/>
            <w:r w:rsidRPr="008B7CC1">
              <w:rPr>
                <w:rFonts w:asciiTheme="minorHAnsi" w:hAnsiTheme="minorHAnsi"/>
                <w:sz w:val="20"/>
                <w:szCs w:val="20"/>
              </w:rPr>
              <w:t xml:space="preserve"> doesn’t believe that the purpose of recommendations is to reiterate that work in the Charter will be done. Unless the recommendation is to 1) amend the Charter, or 2) alter the implementation of the Charter, then it should be assumed that the </w:t>
            </w:r>
            <w:proofErr w:type="spellStart"/>
            <w:r w:rsidRPr="008B7CC1">
              <w:rPr>
                <w:rFonts w:asciiTheme="minorHAnsi" w:hAnsiTheme="minorHAnsi"/>
                <w:sz w:val="20"/>
                <w:szCs w:val="20"/>
              </w:rPr>
              <w:t>ePDP</w:t>
            </w:r>
            <w:proofErr w:type="spellEnd"/>
            <w:r w:rsidRPr="008B7CC1">
              <w:rPr>
                <w:rFonts w:asciiTheme="minorHAnsi" w:hAnsiTheme="minorHAnsi"/>
                <w:sz w:val="20"/>
                <w:szCs w:val="20"/>
              </w:rPr>
              <w:t xml:space="preserve"> will address all in scope issues during its period of work.</w:t>
            </w:r>
          </w:p>
          <w:p w:rsidR="008B7CC1" w:rsidRPr="008B7CC1" w:rsidRDefault="008B7CC1" w:rsidP="008B7CC1">
            <w:pPr>
              <w:pStyle w:val="ColorfulList-Accent11"/>
              <w:ind w:left="27"/>
              <w:rPr>
                <w:rFonts w:asciiTheme="minorHAnsi" w:hAnsiTheme="minorHAnsi"/>
                <w:sz w:val="20"/>
                <w:szCs w:val="20"/>
              </w:rPr>
            </w:pPr>
          </w:p>
          <w:p w:rsidR="008B7CC1" w:rsidRPr="008B7CC1" w:rsidRDefault="008B7CC1" w:rsidP="008B7CC1">
            <w:pPr>
              <w:pStyle w:val="ColorfulList-Accent11"/>
              <w:ind w:left="27"/>
              <w:rPr>
                <w:rFonts w:asciiTheme="minorHAnsi" w:hAnsiTheme="minorHAnsi"/>
                <w:sz w:val="20"/>
                <w:szCs w:val="20"/>
              </w:rPr>
            </w:pPr>
            <w:r w:rsidRPr="008B7CC1">
              <w:rPr>
                <w:rFonts w:asciiTheme="minorHAnsi" w:hAnsiTheme="minorHAnsi"/>
                <w:sz w:val="20"/>
                <w:szCs w:val="20"/>
              </w:rPr>
              <w:t xml:space="preserve">The </w:t>
            </w:r>
            <w:proofErr w:type="spellStart"/>
            <w:r w:rsidRPr="008B7CC1">
              <w:rPr>
                <w:rFonts w:asciiTheme="minorHAnsi" w:hAnsiTheme="minorHAnsi"/>
                <w:sz w:val="20"/>
                <w:szCs w:val="20"/>
              </w:rPr>
              <w:t>RySG</w:t>
            </w:r>
            <w:proofErr w:type="spellEnd"/>
            <w:r w:rsidRPr="008B7CC1">
              <w:rPr>
                <w:rFonts w:asciiTheme="minorHAnsi" w:hAnsiTheme="minorHAnsi"/>
                <w:sz w:val="20"/>
                <w:szCs w:val="20"/>
              </w:rPr>
              <w:t xml:space="preserve"> is committed to continuing to work with the EPDP Team on the topic of how to provide access to non-public registration data, including the consideration of the questions included in the text of Recommendation #2, once the Phase 1 work and completion of answers to the gating questions in the Charter, is complete.</w:t>
            </w:r>
          </w:p>
          <w:p w:rsidR="008B7CC1" w:rsidRPr="008B7CC1" w:rsidRDefault="008B7CC1" w:rsidP="008B7CC1">
            <w:pPr>
              <w:pStyle w:val="ColorfulList-Accent11"/>
              <w:rPr>
                <w:rFonts w:asciiTheme="minorHAnsi" w:hAnsiTheme="minorHAnsi"/>
                <w:sz w:val="20"/>
                <w:szCs w:val="20"/>
              </w:rPr>
            </w:pPr>
          </w:p>
          <w:p w:rsidR="00D04CAB" w:rsidRPr="002860E2" w:rsidRDefault="008B7CC1" w:rsidP="008B7CC1">
            <w:pPr>
              <w:pStyle w:val="ColorfulList-Accent11"/>
              <w:ind w:left="0"/>
              <w:rPr>
                <w:rFonts w:asciiTheme="minorHAnsi" w:hAnsiTheme="minorHAnsi"/>
                <w:sz w:val="20"/>
                <w:szCs w:val="20"/>
              </w:rPr>
            </w:pPr>
            <w:r w:rsidRPr="008B7CC1">
              <w:rPr>
                <w:rFonts w:asciiTheme="minorHAnsi" w:hAnsiTheme="minorHAnsi"/>
                <w:sz w:val="20"/>
                <w:szCs w:val="20"/>
              </w:rPr>
              <w:t>Should the EPDP see fit not to accept our recommendation to delete, then we remind the Team that the proper terminology that should be used, and as discussed by the EPDP team, is “request for disclosure” and not “access.”</w:t>
            </w:r>
          </w:p>
        </w:tc>
        <w:tc>
          <w:tcPr>
            <w:tcW w:w="2700" w:type="dxa"/>
          </w:tcPr>
          <w:p w:rsidR="00D04CAB" w:rsidRPr="002860E2" w:rsidRDefault="00D04CAB" w:rsidP="005417AB">
            <w:pPr>
              <w:contextualSpacing/>
              <w:rPr>
                <w:rFonts w:asciiTheme="minorHAnsi" w:hAnsiTheme="minorHAnsi"/>
                <w:sz w:val="20"/>
                <w:szCs w:val="20"/>
              </w:rPr>
            </w:pPr>
            <w:r w:rsidRPr="00D04CAB">
              <w:rPr>
                <w:rFonts w:asciiTheme="minorHAnsi" w:hAnsiTheme="minorHAnsi"/>
                <w:sz w:val="20"/>
                <w:szCs w:val="20"/>
              </w:rPr>
              <w:t xml:space="preserve">Wim </w:t>
            </w:r>
            <w:proofErr w:type="spellStart"/>
            <w:proofErr w:type="gramStart"/>
            <w:r w:rsidRPr="00D04CAB">
              <w:rPr>
                <w:rFonts w:asciiTheme="minorHAnsi" w:hAnsiTheme="minorHAnsi"/>
                <w:sz w:val="20"/>
                <w:szCs w:val="20"/>
              </w:rPr>
              <w:t>Degezelle</w:t>
            </w:r>
            <w:proofErr w:type="spellEnd"/>
            <w:r w:rsidRPr="00D04CAB">
              <w:rPr>
                <w:rFonts w:asciiTheme="minorHAnsi" w:hAnsiTheme="minorHAnsi"/>
                <w:sz w:val="20"/>
                <w:szCs w:val="20"/>
              </w:rPr>
              <w:t xml:space="preserve"> ;</w:t>
            </w:r>
            <w:proofErr w:type="gramEnd"/>
            <w:r w:rsidRPr="00D04CAB">
              <w:rPr>
                <w:rFonts w:asciiTheme="minorHAnsi" w:hAnsiTheme="minorHAnsi"/>
                <w:sz w:val="20"/>
                <w:szCs w:val="20"/>
              </w:rPr>
              <w:t xml:space="preserve"> </w:t>
            </w:r>
            <w:proofErr w:type="spellStart"/>
            <w:r w:rsidRPr="00D04CAB">
              <w:rPr>
                <w:rFonts w:asciiTheme="minorHAnsi" w:hAnsiTheme="minorHAnsi"/>
                <w:sz w:val="20"/>
                <w:szCs w:val="20"/>
              </w:rPr>
              <w:t>RySG</w:t>
            </w:r>
            <w:proofErr w:type="spellEnd"/>
          </w:p>
        </w:tc>
        <w:tc>
          <w:tcPr>
            <w:tcW w:w="3960" w:type="dxa"/>
          </w:tcPr>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rsidR="008B7CC1" w:rsidRPr="002860E2"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8B7CC1" w:rsidRPr="002B3C04" w:rsidRDefault="008B7CC1" w:rsidP="008B7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rsidR="008B7CC1" w:rsidRPr="002860E2" w:rsidRDefault="008B7CC1" w:rsidP="008B7CC1">
            <w:pPr>
              <w:contextualSpacing/>
              <w:rPr>
                <w:rFonts w:asciiTheme="minorHAnsi" w:hAnsiTheme="minorHAnsi"/>
                <w:sz w:val="20"/>
                <w:szCs w:val="20"/>
              </w:rPr>
            </w:pPr>
          </w:p>
          <w:p w:rsidR="008B7CC1" w:rsidRPr="002860E2" w:rsidRDefault="008B7CC1" w:rsidP="008B7CC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D04CAB" w:rsidRPr="002860E2" w:rsidRDefault="00D04CAB"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2657F2">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2E115C" w:rsidRPr="002860E2" w:rsidRDefault="002E115C" w:rsidP="002E115C">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2E115C" w:rsidRPr="002E115C" w:rsidRDefault="002E115C" w:rsidP="002E115C">
            <w:pPr>
              <w:pStyle w:val="ListParagraph"/>
              <w:numPr>
                <w:ilvl w:val="0"/>
                <w:numId w:val="41"/>
              </w:numPr>
              <w:ind w:left="432"/>
              <w:contextualSpacing/>
              <w:rPr>
                <w:rFonts w:asciiTheme="minorHAnsi" w:hAnsiTheme="minorHAnsi"/>
                <w:sz w:val="20"/>
                <w:szCs w:val="20"/>
              </w:rPr>
            </w:pPr>
            <w:proofErr w:type="spellStart"/>
            <w:r w:rsidRPr="002E115C">
              <w:rPr>
                <w:rFonts w:asciiTheme="minorHAnsi" w:hAnsiTheme="minorHAnsi"/>
                <w:sz w:val="20"/>
                <w:szCs w:val="20"/>
              </w:rPr>
              <w:t>Farzaneh</w:t>
            </w:r>
            <w:proofErr w:type="spellEnd"/>
            <w:r w:rsidRPr="002E115C">
              <w:rPr>
                <w:rFonts w:asciiTheme="minorHAnsi" w:hAnsiTheme="minorHAnsi"/>
                <w:sz w:val="20"/>
                <w:szCs w:val="20"/>
              </w:rPr>
              <w:t xml:space="preserve"> </w:t>
            </w:r>
            <w:proofErr w:type="spellStart"/>
            <w:r w:rsidRPr="002E115C">
              <w:rPr>
                <w:rFonts w:asciiTheme="minorHAnsi" w:hAnsiTheme="minorHAnsi"/>
                <w:sz w:val="20"/>
                <w:szCs w:val="20"/>
              </w:rPr>
              <w:t>Badii</w:t>
            </w:r>
            <w:proofErr w:type="spellEnd"/>
            <w:r w:rsidRPr="002E115C">
              <w:rPr>
                <w:rFonts w:asciiTheme="minorHAnsi" w:hAnsiTheme="minorHAnsi"/>
                <w:sz w:val="20"/>
                <w:szCs w:val="20"/>
              </w:rPr>
              <w:t xml:space="preserve">; Internet Governance Project </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Theo </w:t>
            </w:r>
            <w:proofErr w:type="spellStart"/>
            <w:r w:rsidRPr="002E115C">
              <w:rPr>
                <w:rFonts w:asciiTheme="minorHAnsi" w:hAnsiTheme="minorHAnsi"/>
                <w:sz w:val="20"/>
                <w:szCs w:val="20"/>
              </w:rPr>
              <w:t>Geurts</w:t>
            </w:r>
            <w:proofErr w:type="spellEnd"/>
          </w:p>
          <w:p w:rsidR="002E115C" w:rsidRPr="002E115C" w:rsidRDefault="002E115C" w:rsidP="002E115C">
            <w:pPr>
              <w:pStyle w:val="ListParagraph"/>
              <w:numPr>
                <w:ilvl w:val="0"/>
                <w:numId w:val="41"/>
              </w:numPr>
              <w:ind w:left="432"/>
              <w:contextualSpacing/>
              <w:rPr>
                <w:rFonts w:asciiTheme="minorHAnsi" w:hAnsiTheme="minorHAnsi"/>
                <w:sz w:val="20"/>
                <w:szCs w:val="20"/>
              </w:rPr>
            </w:pPr>
            <w:bookmarkStart w:id="1" w:name="_GoBack"/>
            <w:bookmarkEnd w:id="1"/>
            <w:proofErr w:type="spellStart"/>
            <w:r w:rsidRPr="002E115C">
              <w:rPr>
                <w:rFonts w:asciiTheme="minorHAnsi" w:hAnsiTheme="minorHAnsi"/>
                <w:sz w:val="20"/>
                <w:szCs w:val="20"/>
              </w:rPr>
              <w:t>Ivett</w:t>
            </w:r>
            <w:proofErr w:type="spellEnd"/>
            <w:r w:rsidRPr="002E115C">
              <w:rPr>
                <w:rFonts w:asciiTheme="minorHAnsi" w:hAnsiTheme="minorHAnsi"/>
                <w:sz w:val="20"/>
                <w:szCs w:val="20"/>
              </w:rPr>
              <w:t xml:space="preserve"> </w:t>
            </w:r>
            <w:proofErr w:type="spellStart"/>
            <w:r w:rsidRPr="002E115C">
              <w:rPr>
                <w:rFonts w:asciiTheme="minorHAnsi" w:hAnsiTheme="minorHAnsi"/>
                <w:sz w:val="20"/>
                <w:szCs w:val="20"/>
              </w:rPr>
              <w:t>Paulovics</w:t>
            </w:r>
            <w:proofErr w:type="spellEnd"/>
            <w:r w:rsidRPr="002E115C">
              <w:rPr>
                <w:rFonts w:asciiTheme="minorHAnsi" w:hAnsiTheme="minorHAnsi"/>
                <w:sz w:val="20"/>
                <w:szCs w:val="20"/>
              </w:rPr>
              <w:t xml:space="preserve">; MFSD </w:t>
            </w:r>
            <w:proofErr w:type="spellStart"/>
            <w:r w:rsidRPr="002E115C">
              <w:rPr>
                <w:rFonts w:asciiTheme="minorHAnsi" w:hAnsiTheme="minorHAnsi"/>
                <w:sz w:val="20"/>
                <w:szCs w:val="20"/>
              </w:rPr>
              <w:t>Srl</w:t>
            </w:r>
            <w:proofErr w:type="spellEnd"/>
            <w:r w:rsidRPr="002E115C">
              <w:rPr>
                <w:rFonts w:asciiTheme="minorHAnsi" w:hAnsiTheme="minorHAnsi"/>
                <w:sz w:val="20"/>
                <w:szCs w:val="20"/>
              </w:rPr>
              <w:t xml:space="preserve"> URS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Greg </w:t>
            </w:r>
            <w:proofErr w:type="spellStart"/>
            <w:r w:rsidRPr="002E115C">
              <w:rPr>
                <w:rFonts w:asciiTheme="minorHAnsi" w:hAnsiTheme="minorHAnsi"/>
                <w:sz w:val="20"/>
                <w:szCs w:val="20"/>
              </w:rPr>
              <w:t>Mounier</w:t>
            </w:r>
            <w:proofErr w:type="spellEnd"/>
            <w:r w:rsidRPr="002E115C">
              <w:rPr>
                <w:rFonts w:asciiTheme="minorHAnsi" w:hAnsiTheme="minorHAnsi"/>
                <w:sz w:val="20"/>
                <w:szCs w:val="20"/>
              </w:rPr>
              <w:t xml:space="preserve"> on behalf of Europol AGIS; Europol Advisory Group on Internet Security</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Ashley Roberts; </w:t>
            </w:r>
            <w:proofErr w:type="spellStart"/>
            <w:r w:rsidRPr="002E115C">
              <w:rPr>
                <w:rFonts w:asciiTheme="minorHAnsi" w:hAnsiTheme="minorHAnsi"/>
                <w:sz w:val="20"/>
                <w:szCs w:val="20"/>
              </w:rPr>
              <w:t>Valideus</w:t>
            </w:r>
            <w:proofErr w:type="spellEnd"/>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Renee Fossen; Forum - URS and UDRP Provider</w:t>
            </w:r>
          </w:p>
          <w:p w:rsidR="002E115C"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Stephanie Perrin</w:t>
            </w:r>
          </w:p>
          <w:p w:rsidR="006605C9" w:rsidRPr="002E115C" w:rsidRDefault="002E115C" w:rsidP="002E115C">
            <w:pPr>
              <w:pStyle w:val="ListParagraph"/>
              <w:numPr>
                <w:ilvl w:val="0"/>
                <w:numId w:val="41"/>
              </w:numPr>
              <w:ind w:left="432"/>
              <w:contextualSpacing/>
              <w:rPr>
                <w:rFonts w:asciiTheme="minorHAnsi" w:hAnsiTheme="minorHAnsi"/>
                <w:sz w:val="20"/>
                <w:szCs w:val="20"/>
              </w:rPr>
            </w:pPr>
            <w:r w:rsidRPr="002E115C">
              <w:rPr>
                <w:rFonts w:asciiTheme="minorHAnsi" w:hAnsiTheme="minorHAnsi"/>
                <w:sz w:val="20"/>
                <w:szCs w:val="20"/>
              </w:rPr>
              <w:t xml:space="preserve">Fabien </w:t>
            </w:r>
            <w:proofErr w:type="spellStart"/>
            <w:r w:rsidRPr="002E115C">
              <w:rPr>
                <w:rFonts w:asciiTheme="minorHAnsi" w:hAnsiTheme="minorHAnsi"/>
                <w:sz w:val="20"/>
                <w:szCs w:val="20"/>
              </w:rPr>
              <w:t>Betremieux</w:t>
            </w:r>
            <w:proofErr w:type="spellEnd"/>
            <w:r w:rsidRPr="002E115C">
              <w:rPr>
                <w:rFonts w:asciiTheme="minorHAnsi" w:hAnsiTheme="minorHAnsi"/>
                <w:sz w:val="20"/>
                <w:szCs w:val="20"/>
              </w:rPr>
              <w:t>; GAC</w:t>
            </w:r>
          </w:p>
        </w:tc>
        <w:tc>
          <w:tcPr>
            <w:tcW w:w="3960" w:type="dxa"/>
          </w:tcPr>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2E115C" w:rsidRPr="006B7DA3"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2E115C" w:rsidRPr="002860E2" w:rsidRDefault="002E115C" w:rsidP="002E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605C9" w:rsidRPr="002860E2" w:rsidRDefault="002E115C" w:rsidP="002E115C">
            <w:pPr>
              <w:contextualSpacing/>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roofErr w:type="gramStart"/>
            <w:r>
              <w:rPr>
                <w:rFonts w:asciiTheme="minorHAnsi" w:eastAsia="Times New Roman" w:hAnsiTheme="minorHAnsi"/>
                <w:color w:val="000000"/>
                <w:sz w:val="20"/>
                <w:szCs w:val="20"/>
              </w:rPr>
              <w:t xml:space="preserve">none  </w:t>
            </w:r>
            <w:r w:rsidRPr="002860E2">
              <w:rPr>
                <w:rFonts w:asciiTheme="minorHAnsi" w:hAnsiTheme="minorHAnsi"/>
                <w:sz w:val="20"/>
                <w:szCs w:val="20"/>
              </w:rPr>
              <w:t>[</w:t>
            </w:r>
            <w:proofErr w:type="gramEnd"/>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5A7" w:rsidRDefault="002E15A7" w:rsidP="00E3563F">
      <w:r>
        <w:separator/>
      </w:r>
    </w:p>
  </w:endnote>
  <w:endnote w:type="continuationSeparator" w:id="0">
    <w:p w:rsidR="002E15A7" w:rsidRDefault="002E15A7"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FC3FA9">
      <w:rPr>
        <w:noProof/>
      </w:rPr>
      <w:t>12</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5A7" w:rsidRDefault="002E15A7" w:rsidP="00E3563F">
      <w:r>
        <w:separator/>
      </w:r>
    </w:p>
  </w:footnote>
  <w:footnote w:type="continuationSeparator" w:id="0">
    <w:p w:rsidR="002E15A7" w:rsidRDefault="002E15A7"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934D7"/>
    <w:multiLevelType w:val="hybridMultilevel"/>
    <w:tmpl w:val="A9E0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1236D"/>
    <w:multiLevelType w:val="hybridMultilevel"/>
    <w:tmpl w:val="B0EE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3B67"/>
    <w:multiLevelType w:val="hybridMultilevel"/>
    <w:tmpl w:val="3948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0F00DB"/>
    <w:multiLevelType w:val="hybridMultilevel"/>
    <w:tmpl w:val="19EA7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7"/>
  </w:num>
  <w:num w:numId="4">
    <w:abstractNumId w:val="3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3"/>
  </w:num>
  <w:num w:numId="9">
    <w:abstractNumId w:val="31"/>
  </w:num>
  <w:num w:numId="10">
    <w:abstractNumId w:val="9"/>
  </w:num>
  <w:num w:numId="11">
    <w:abstractNumId w:val="34"/>
  </w:num>
  <w:num w:numId="12">
    <w:abstractNumId w:val="26"/>
  </w:num>
  <w:num w:numId="13">
    <w:abstractNumId w:val="5"/>
  </w:num>
  <w:num w:numId="14">
    <w:abstractNumId w:val="18"/>
  </w:num>
  <w:num w:numId="15">
    <w:abstractNumId w:val="41"/>
  </w:num>
  <w:num w:numId="16">
    <w:abstractNumId w:val="35"/>
  </w:num>
  <w:num w:numId="17">
    <w:abstractNumId w:val="7"/>
  </w:num>
  <w:num w:numId="18">
    <w:abstractNumId w:val="22"/>
  </w:num>
  <w:num w:numId="19">
    <w:abstractNumId w:val="37"/>
  </w:num>
  <w:num w:numId="20">
    <w:abstractNumId w:val="2"/>
  </w:num>
  <w:num w:numId="21">
    <w:abstractNumId w:val="40"/>
  </w:num>
  <w:num w:numId="22">
    <w:abstractNumId w:val="3"/>
  </w:num>
  <w:num w:numId="23">
    <w:abstractNumId w:val="36"/>
  </w:num>
  <w:num w:numId="24">
    <w:abstractNumId w:val="20"/>
  </w:num>
  <w:num w:numId="25">
    <w:abstractNumId w:val="24"/>
  </w:num>
  <w:num w:numId="26">
    <w:abstractNumId w:val="13"/>
  </w:num>
  <w:num w:numId="27">
    <w:abstractNumId w:val="32"/>
  </w:num>
  <w:num w:numId="28">
    <w:abstractNumId w:val="29"/>
  </w:num>
  <w:num w:numId="29">
    <w:abstractNumId w:val="11"/>
  </w:num>
  <w:num w:numId="30">
    <w:abstractNumId w:val="17"/>
  </w:num>
  <w:num w:numId="31">
    <w:abstractNumId w:val="33"/>
  </w:num>
  <w:num w:numId="32">
    <w:abstractNumId w:val="19"/>
  </w:num>
  <w:num w:numId="33">
    <w:abstractNumId w:val="25"/>
  </w:num>
  <w:num w:numId="34">
    <w:abstractNumId w:val="16"/>
  </w:num>
  <w:num w:numId="35">
    <w:abstractNumId w:val="38"/>
  </w:num>
  <w:num w:numId="36">
    <w:abstractNumId w:val="8"/>
  </w:num>
  <w:num w:numId="37">
    <w:abstractNumId w:val="21"/>
  </w:num>
  <w:num w:numId="38">
    <w:abstractNumId w:val="28"/>
  </w:num>
  <w:num w:numId="39">
    <w:abstractNumId w:val="1"/>
  </w:num>
  <w:num w:numId="40">
    <w:abstractNumId w:val="12"/>
  </w:num>
  <w:num w:numId="41">
    <w:abstractNumId w:val="15"/>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8E6"/>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C0EDB"/>
    <w:rsid w:val="001D5C26"/>
    <w:rsid w:val="001E696D"/>
    <w:rsid w:val="001F24C1"/>
    <w:rsid w:val="001F30FC"/>
    <w:rsid w:val="001F3A35"/>
    <w:rsid w:val="002103FC"/>
    <w:rsid w:val="002146BF"/>
    <w:rsid w:val="00214B5E"/>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115C"/>
    <w:rsid w:val="002E15A7"/>
    <w:rsid w:val="002E20D5"/>
    <w:rsid w:val="002E740C"/>
    <w:rsid w:val="002F0728"/>
    <w:rsid w:val="002F583D"/>
    <w:rsid w:val="00303472"/>
    <w:rsid w:val="00307013"/>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670D7"/>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E77CF"/>
    <w:rsid w:val="004F47AB"/>
    <w:rsid w:val="00501BDF"/>
    <w:rsid w:val="00504173"/>
    <w:rsid w:val="00521AD0"/>
    <w:rsid w:val="0052462D"/>
    <w:rsid w:val="00526F52"/>
    <w:rsid w:val="0053052E"/>
    <w:rsid w:val="005305A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7E10"/>
    <w:rsid w:val="006306A3"/>
    <w:rsid w:val="00631DAA"/>
    <w:rsid w:val="0064678E"/>
    <w:rsid w:val="00646ECA"/>
    <w:rsid w:val="006515E0"/>
    <w:rsid w:val="006605C9"/>
    <w:rsid w:val="00662E58"/>
    <w:rsid w:val="00663FA9"/>
    <w:rsid w:val="00665894"/>
    <w:rsid w:val="0067235D"/>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7810"/>
    <w:rsid w:val="007F3A26"/>
    <w:rsid w:val="0080405F"/>
    <w:rsid w:val="00810CE7"/>
    <w:rsid w:val="00824FEA"/>
    <w:rsid w:val="00830049"/>
    <w:rsid w:val="0083774F"/>
    <w:rsid w:val="00851F3A"/>
    <w:rsid w:val="008622EB"/>
    <w:rsid w:val="00864622"/>
    <w:rsid w:val="00871292"/>
    <w:rsid w:val="008A039F"/>
    <w:rsid w:val="008B7535"/>
    <w:rsid w:val="008B7CC1"/>
    <w:rsid w:val="008C34A2"/>
    <w:rsid w:val="008D71E5"/>
    <w:rsid w:val="008D7EE5"/>
    <w:rsid w:val="008F48C8"/>
    <w:rsid w:val="008F4FC6"/>
    <w:rsid w:val="00901A1D"/>
    <w:rsid w:val="00901F25"/>
    <w:rsid w:val="009370D8"/>
    <w:rsid w:val="00943672"/>
    <w:rsid w:val="009556B8"/>
    <w:rsid w:val="00956CDB"/>
    <w:rsid w:val="00962367"/>
    <w:rsid w:val="009655A8"/>
    <w:rsid w:val="00971083"/>
    <w:rsid w:val="00974330"/>
    <w:rsid w:val="009759BA"/>
    <w:rsid w:val="00981E95"/>
    <w:rsid w:val="0098665A"/>
    <w:rsid w:val="00992561"/>
    <w:rsid w:val="00992DD8"/>
    <w:rsid w:val="009A7920"/>
    <w:rsid w:val="009B0A15"/>
    <w:rsid w:val="009C09D6"/>
    <w:rsid w:val="009C6E74"/>
    <w:rsid w:val="009D233C"/>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414"/>
    <w:rsid w:val="00BC7983"/>
    <w:rsid w:val="00BE020E"/>
    <w:rsid w:val="00BE0ED0"/>
    <w:rsid w:val="00BE5844"/>
    <w:rsid w:val="00BF3B9F"/>
    <w:rsid w:val="00C032FE"/>
    <w:rsid w:val="00C06C0B"/>
    <w:rsid w:val="00C11E34"/>
    <w:rsid w:val="00C13832"/>
    <w:rsid w:val="00C15486"/>
    <w:rsid w:val="00C17B45"/>
    <w:rsid w:val="00C36F81"/>
    <w:rsid w:val="00C412C7"/>
    <w:rsid w:val="00C435F3"/>
    <w:rsid w:val="00C43E85"/>
    <w:rsid w:val="00C67484"/>
    <w:rsid w:val="00C7129E"/>
    <w:rsid w:val="00C72B04"/>
    <w:rsid w:val="00C82A67"/>
    <w:rsid w:val="00C851AF"/>
    <w:rsid w:val="00CB0C02"/>
    <w:rsid w:val="00CB7558"/>
    <w:rsid w:val="00CE5D4C"/>
    <w:rsid w:val="00CF764A"/>
    <w:rsid w:val="00D0061C"/>
    <w:rsid w:val="00D0168C"/>
    <w:rsid w:val="00D045AC"/>
    <w:rsid w:val="00D04CAB"/>
    <w:rsid w:val="00D10CEF"/>
    <w:rsid w:val="00D22D39"/>
    <w:rsid w:val="00D3005F"/>
    <w:rsid w:val="00D32791"/>
    <w:rsid w:val="00D354B9"/>
    <w:rsid w:val="00D40128"/>
    <w:rsid w:val="00D4024E"/>
    <w:rsid w:val="00D45F9B"/>
    <w:rsid w:val="00D47A57"/>
    <w:rsid w:val="00D5734F"/>
    <w:rsid w:val="00D80DC7"/>
    <w:rsid w:val="00D829C9"/>
    <w:rsid w:val="00D8703B"/>
    <w:rsid w:val="00D95C06"/>
    <w:rsid w:val="00DB0E8C"/>
    <w:rsid w:val="00DB45C9"/>
    <w:rsid w:val="00DC26AA"/>
    <w:rsid w:val="00DC6811"/>
    <w:rsid w:val="00DC6A17"/>
    <w:rsid w:val="00DD27C4"/>
    <w:rsid w:val="00DE42B5"/>
    <w:rsid w:val="00DF1BD4"/>
    <w:rsid w:val="00DF7CF1"/>
    <w:rsid w:val="00E0015B"/>
    <w:rsid w:val="00E0308C"/>
    <w:rsid w:val="00E0436F"/>
    <w:rsid w:val="00E0743F"/>
    <w:rsid w:val="00E0778D"/>
    <w:rsid w:val="00E2012C"/>
    <w:rsid w:val="00E202D3"/>
    <w:rsid w:val="00E212B7"/>
    <w:rsid w:val="00E22C7A"/>
    <w:rsid w:val="00E22F44"/>
    <w:rsid w:val="00E237D5"/>
    <w:rsid w:val="00E24D1D"/>
    <w:rsid w:val="00E3563F"/>
    <w:rsid w:val="00E45785"/>
    <w:rsid w:val="00E517C0"/>
    <w:rsid w:val="00E527FF"/>
    <w:rsid w:val="00E529E0"/>
    <w:rsid w:val="00E71ABE"/>
    <w:rsid w:val="00E724A6"/>
    <w:rsid w:val="00E773EA"/>
    <w:rsid w:val="00E776CB"/>
    <w:rsid w:val="00E829A7"/>
    <w:rsid w:val="00E87E02"/>
    <w:rsid w:val="00E914DD"/>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A5626"/>
    <w:rsid w:val="00FC0189"/>
    <w:rsid w:val="00FC3FA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D1B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426E-43A9-B116-9253CDD552E5}"/>
              </c:ext>
            </c:extLst>
          </c:dPt>
          <c:dPt>
            <c:idx val="1"/>
            <c:bubble3D val="0"/>
            <c:spPr>
              <a:solidFill>
                <a:srgbClr val="92D050"/>
              </a:solidFill>
            </c:spPr>
            <c:extLst>
              <c:ext xmlns:c16="http://schemas.microsoft.com/office/drawing/2014/chart" uri="{C3380CC4-5D6E-409C-BE32-E72D297353CC}">
                <c16:uniqueId val="{00000003-426E-43A9-B116-9253CDD552E5}"/>
              </c:ext>
            </c:extLst>
          </c:dPt>
          <c:dPt>
            <c:idx val="2"/>
            <c:bubble3D val="0"/>
            <c:spPr>
              <a:solidFill>
                <a:srgbClr val="FFFF00"/>
              </a:solidFill>
            </c:spPr>
            <c:extLst>
              <c:ext xmlns:c16="http://schemas.microsoft.com/office/drawing/2014/chart" uri="{C3380CC4-5D6E-409C-BE32-E72D297353CC}">
                <c16:uniqueId val="{00000005-426E-43A9-B116-9253CDD552E5}"/>
              </c:ext>
            </c:extLst>
          </c:dPt>
          <c:dPt>
            <c:idx val="3"/>
            <c:bubble3D val="0"/>
            <c:spPr>
              <a:solidFill>
                <a:srgbClr val="FF0000"/>
              </a:solidFill>
            </c:spPr>
            <c:extLst>
              <c:ext xmlns:c16="http://schemas.microsoft.com/office/drawing/2014/chart" uri="{C3380CC4-5D6E-409C-BE32-E72D297353CC}">
                <c16:uniqueId val="{00000007-426E-43A9-B116-9253CDD552E5}"/>
              </c:ext>
            </c:extLst>
          </c:dPt>
          <c:dPt>
            <c:idx val="4"/>
            <c:bubble3D val="0"/>
            <c:spPr>
              <a:solidFill>
                <a:schemeClr val="accent5">
                  <a:lumMod val="20000"/>
                  <a:lumOff val="80000"/>
                </a:schemeClr>
              </a:solidFill>
            </c:spPr>
            <c:extLst>
              <c:ext xmlns:c16="http://schemas.microsoft.com/office/drawing/2014/chart" uri="{C3380CC4-5D6E-409C-BE32-E72D297353CC}">
                <c16:uniqueId val="{00000009-426E-43A9-B116-9253CDD552E5}"/>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Responses'!$Z$47:$Z$51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Responses'!$AA$47:$AA$51</c:f>
              <c:numCache>
                <c:formatCode>General</c:formatCode>
                <c:ptCount val="5"/>
                <c:pt idx="0">
                  <c:v>5</c:v>
                </c:pt>
                <c:pt idx="1">
                  <c:v>14</c:v>
                </c:pt>
                <c:pt idx="2">
                  <c:v>5</c:v>
                </c:pt>
                <c:pt idx="3">
                  <c:v>11</c:v>
                </c:pt>
                <c:pt idx="4">
                  <c:v>7</c:v>
                </c:pt>
              </c:numCache>
            </c:numRef>
          </c:val>
          <c:extLst>
            <c:ext xmlns:c16="http://schemas.microsoft.com/office/drawing/2014/chart" uri="{C3380CC4-5D6E-409C-BE32-E72D297353CC}">
              <c16:uniqueId val="{0000000A-426E-43A9-B116-9253CDD552E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2FC54-2CF1-4311-AC5D-0E1FFA67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17</Pages>
  <Words>5480</Words>
  <Characters>31238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2018-12-28T16:02:00Z</dcterms:created>
  <dcterms:modified xsi:type="dcterms:W3CDTF">2018-12-28T16:03:00Z</dcterms:modified>
</cp:coreProperties>
</file>