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F95D3" w14:textId="77777777" w:rsidR="00F7266B" w:rsidRPr="002860E2" w:rsidRDefault="00F7266B" w:rsidP="00F7266B">
      <w:pPr>
        <w:contextualSpacing/>
        <w:rPr>
          <w:rFonts w:asciiTheme="minorHAnsi" w:hAnsiTheme="minorHAnsi"/>
          <w:b/>
          <w:sz w:val="22"/>
        </w:rPr>
      </w:pPr>
      <w:bookmarkStart w:id="0" w:name="_Hlk533779018"/>
      <w:bookmarkEnd w:id="0"/>
      <w:r w:rsidRPr="002860E2">
        <w:rPr>
          <w:rFonts w:asciiTheme="minorHAnsi" w:hAnsiTheme="minorHAnsi"/>
          <w:b/>
          <w:sz w:val="22"/>
        </w:rPr>
        <w:t xml:space="preserve">Public Comment Review Tool – </w:t>
      </w:r>
      <w:r>
        <w:rPr>
          <w:rFonts w:asciiTheme="minorHAnsi" w:hAnsiTheme="minorHAnsi"/>
          <w:b/>
          <w:sz w:val="22"/>
        </w:rPr>
        <w:t>EPDP</w:t>
      </w:r>
      <w:r w:rsidRPr="002860E2">
        <w:rPr>
          <w:rFonts w:asciiTheme="minorHAnsi" w:hAnsiTheme="minorHAnsi"/>
          <w:b/>
          <w:sz w:val="22"/>
        </w:rPr>
        <w:t xml:space="preserve"> – </w:t>
      </w:r>
      <w:r>
        <w:rPr>
          <w:rFonts w:asciiTheme="minorHAnsi" w:hAnsiTheme="minorHAnsi"/>
          <w:b/>
          <w:sz w:val="22"/>
        </w:rPr>
        <w:t>Initial Report</w:t>
      </w:r>
    </w:p>
    <w:p w14:paraId="3C537B5F" w14:textId="40715741" w:rsidR="00F7266B" w:rsidRPr="002860E2" w:rsidRDefault="00F7266B" w:rsidP="00F7266B">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Pr>
          <w:rFonts w:asciiTheme="minorHAnsi" w:hAnsiTheme="minorHAnsi"/>
          <w:sz w:val="22"/>
          <w:highlight w:val="yellow"/>
        </w:rPr>
        <w:t>2</w:t>
      </w:r>
      <w:r w:rsidR="005126F8">
        <w:rPr>
          <w:rFonts w:asciiTheme="minorHAnsi" w:hAnsiTheme="minorHAnsi"/>
          <w:sz w:val="22"/>
          <w:highlight w:val="yellow"/>
        </w:rPr>
        <w:t>9</w:t>
      </w:r>
      <w:bookmarkStart w:id="1" w:name="_GoBack"/>
      <w:bookmarkEnd w:id="1"/>
      <w:r w:rsidRPr="00072C03">
        <w:rPr>
          <w:rFonts w:asciiTheme="minorHAnsi" w:hAnsiTheme="minorHAnsi"/>
          <w:sz w:val="22"/>
          <w:highlight w:val="yellow"/>
        </w:rPr>
        <w:t xml:space="preserve"> December 2018</w:t>
      </w:r>
    </w:p>
    <w:p w14:paraId="69B0BC6F" w14:textId="7CC47774" w:rsidR="00F7266B" w:rsidRPr="002860E2" w:rsidRDefault="00F7266B" w:rsidP="00F7266B">
      <w:pPr>
        <w:pStyle w:val="Heading1"/>
        <w:shd w:val="clear" w:color="auto" w:fill="0A3251"/>
        <w:rPr>
          <w:rFonts w:asciiTheme="minorHAnsi" w:hAnsiTheme="minorHAnsi"/>
          <w:color w:val="FFFFFF" w:themeColor="background1"/>
        </w:rPr>
      </w:pPr>
      <w:bookmarkStart w:id="2" w:name="_Toc435366253"/>
      <w:r>
        <w:rPr>
          <w:rFonts w:asciiTheme="minorHAnsi" w:hAnsiTheme="minorHAnsi"/>
          <w:color w:val="FFFFFF" w:themeColor="background1"/>
        </w:rPr>
        <w:t>RECOMMENDATION</w:t>
      </w:r>
      <w:r w:rsidRPr="002860E2">
        <w:rPr>
          <w:rFonts w:asciiTheme="minorHAnsi" w:hAnsiTheme="minorHAnsi"/>
          <w:color w:val="FFFFFF" w:themeColor="background1"/>
        </w:rPr>
        <w:t xml:space="preserve"> </w:t>
      </w:r>
      <w:bookmarkEnd w:id="2"/>
      <w:r w:rsidR="00B60995">
        <w:rPr>
          <w:rFonts w:asciiTheme="minorHAnsi" w:hAnsiTheme="minorHAnsi"/>
          <w:color w:val="FFFFFF" w:themeColor="background1"/>
        </w:rPr>
        <w:t>2</w:t>
      </w:r>
      <w:r w:rsidR="008573C9">
        <w:rPr>
          <w:rFonts w:asciiTheme="minorHAnsi" w:hAnsiTheme="minorHAnsi"/>
          <w:color w:val="FFFFFF" w:themeColor="background1"/>
        </w:rPr>
        <w:t>2</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3"/>
        <w:gridCol w:w="5859"/>
        <w:gridCol w:w="5357"/>
        <w:gridCol w:w="3502"/>
      </w:tblGrid>
      <w:tr w:rsidR="00F917C9" w:rsidRPr="002860E2" w14:paraId="4F75EDBD" w14:textId="77777777" w:rsidTr="00F917C9">
        <w:trPr>
          <w:tblHeader/>
        </w:trPr>
        <w:tc>
          <w:tcPr>
            <w:tcW w:w="0" w:type="auto"/>
            <w:tcBorders>
              <w:bottom w:val="single" w:sz="4" w:space="0" w:color="000000"/>
            </w:tcBorders>
            <w:shd w:val="clear" w:color="auto" w:fill="1768B1"/>
          </w:tcPr>
          <w:p w14:paraId="3C39E5C3" w14:textId="77777777" w:rsidR="00F7266B" w:rsidRPr="002860E2" w:rsidRDefault="00F7266B"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5859" w:type="dxa"/>
            <w:tcBorders>
              <w:bottom w:val="single" w:sz="4" w:space="0" w:color="000000"/>
            </w:tcBorders>
            <w:shd w:val="clear" w:color="auto" w:fill="1768B1"/>
          </w:tcPr>
          <w:p w14:paraId="143031D9" w14:textId="77777777" w:rsidR="00F7266B" w:rsidRPr="002860E2" w:rsidRDefault="00F7266B"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5357" w:type="dxa"/>
            <w:tcBorders>
              <w:bottom w:val="single" w:sz="4" w:space="0" w:color="000000"/>
            </w:tcBorders>
            <w:shd w:val="clear" w:color="auto" w:fill="1768B1"/>
          </w:tcPr>
          <w:p w14:paraId="17F51AAA" w14:textId="77777777" w:rsidR="00F7266B" w:rsidRPr="002860E2" w:rsidRDefault="00F7266B"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502" w:type="dxa"/>
            <w:tcBorders>
              <w:bottom w:val="single" w:sz="4" w:space="0" w:color="000000"/>
            </w:tcBorders>
            <w:shd w:val="clear" w:color="auto" w:fill="1768B1"/>
          </w:tcPr>
          <w:p w14:paraId="310CB484" w14:textId="77777777" w:rsidR="00F7266B" w:rsidRPr="002860E2" w:rsidRDefault="00F7266B" w:rsidP="0022424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F7266B" w:rsidRPr="002860E2" w14:paraId="144077BF" w14:textId="77777777" w:rsidTr="00F917C9">
        <w:tc>
          <w:tcPr>
            <w:tcW w:w="15281" w:type="dxa"/>
            <w:gridSpan w:val="4"/>
            <w:tcBorders>
              <w:bottom w:val="single" w:sz="4" w:space="0" w:color="000000"/>
            </w:tcBorders>
            <w:shd w:val="clear" w:color="auto" w:fill="D9D9D9" w:themeFill="background1" w:themeFillShade="D9"/>
          </w:tcPr>
          <w:p w14:paraId="375F4CC6"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The EPDP Team recommends that as part of the implementation of these policy</w:t>
            </w:r>
          </w:p>
          <w:p w14:paraId="5E110C7D"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recommendations, updates are made to the following existing policies / procedures, and</w:t>
            </w:r>
          </w:p>
          <w:p w14:paraId="4F18F8F7"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any others that may have been omitted, to ensure consistency with these policy</w:t>
            </w:r>
          </w:p>
          <w:p w14:paraId="0C14089B"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recommendations as a number of these refer to administrative and/or technical contact</w:t>
            </w:r>
          </w:p>
          <w:p w14:paraId="779AD2DC"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which will no longer be required data elements:</w:t>
            </w:r>
          </w:p>
          <w:p w14:paraId="099836BD"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 Registry Registration Data Directory Services Consistent Labeling and Display</w:t>
            </w:r>
          </w:p>
          <w:p w14:paraId="2F78AB08"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Policy</w:t>
            </w:r>
          </w:p>
          <w:p w14:paraId="4346187D"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 Thick WHOIS Transition Policy for .COM, .NET, .JOBS</w:t>
            </w:r>
          </w:p>
          <w:p w14:paraId="7326514B"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 Rules for Uniform Domain Name Dispute Resolution Policy</w:t>
            </w:r>
          </w:p>
          <w:p w14:paraId="20099AF1"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 WHOIS Data Reminder Policy</w:t>
            </w:r>
          </w:p>
          <w:p w14:paraId="2B89CA39"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 Transfer Policy</w:t>
            </w:r>
          </w:p>
          <w:p w14:paraId="66D53F74" w14:textId="399B8DE0" w:rsidR="00B60995" w:rsidRDefault="008573C9" w:rsidP="008573C9">
            <w:pPr>
              <w:contextualSpacing/>
              <w:rPr>
                <w:rFonts w:asciiTheme="minorHAnsi" w:hAnsiTheme="minorHAnsi"/>
                <w:noProof/>
                <w:sz w:val="20"/>
                <w:szCs w:val="20"/>
              </w:rPr>
            </w:pPr>
            <w:r w:rsidRPr="008573C9">
              <w:rPr>
                <w:rFonts w:asciiTheme="minorHAnsi" w:hAnsiTheme="minorHAnsi"/>
                <w:noProof/>
                <w:sz w:val="20"/>
                <w:szCs w:val="20"/>
              </w:rPr>
              <w:t>• Uniform Rapid Suspension System (URS) Rules</w:t>
            </w:r>
            <w:r w:rsidRPr="008573C9">
              <w:rPr>
                <w:rFonts w:asciiTheme="minorHAnsi" w:hAnsiTheme="minorHAnsi"/>
                <w:noProof/>
                <w:sz w:val="20"/>
                <w:szCs w:val="20"/>
              </w:rPr>
              <w:t xml:space="preserve"> </w:t>
            </w:r>
          </w:p>
          <w:p w14:paraId="1F68CFFF" w14:textId="21F51BD7" w:rsidR="00EE39BE" w:rsidRDefault="00EE39BE" w:rsidP="00B60995">
            <w:pPr>
              <w:contextualSpacing/>
              <w:rPr>
                <w:rFonts w:asciiTheme="minorHAnsi" w:hAnsiTheme="minorHAnsi"/>
                <w:noProof/>
                <w:sz w:val="20"/>
                <w:szCs w:val="20"/>
              </w:rPr>
            </w:pPr>
          </w:p>
          <w:p w14:paraId="4480977D" w14:textId="7CAD4E4B" w:rsidR="00BE2C60" w:rsidRPr="002860E2" w:rsidRDefault="008573C9" w:rsidP="00BE2C60">
            <w:pPr>
              <w:contextualSpacing/>
              <w:rPr>
                <w:rFonts w:asciiTheme="minorHAnsi" w:hAnsiTheme="minorHAnsi"/>
                <w:b/>
                <w:sz w:val="22"/>
              </w:rPr>
            </w:pPr>
            <w:r>
              <w:rPr>
                <w:noProof/>
              </w:rPr>
              <w:drawing>
                <wp:inline distT="0" distB="0" distL="0" distR="0" wp14:anchorId="1FA196D3" wp14:editId="1523CEA2">
                  <wp:extent cx="4897834" cy="2785533"/>
                  <wp:effectExtent l="0" t="0" r="4445" b="0"/>
                  <wp:docPr id="1" name="Chart 1">
                    <a:extLst xmlns:a="http://schemas.openxmlformats.org/drawingml/2006/main">
                      <a:ext uri="{FF2B5EF4-FFF2-40B4-BE49-F238E27FC236}">
                        <a16:creationId xmlns:a16="http://schemas.microsoft.com/office/drawing/2014/main" id="{00000000-0008-0000-0000-00002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F7266B" w:rsidRPr="002860E2" w14:paraId="628D4C30" w14:textId="77777777" w:rsidTr="0022424B">
        <w:tc>
          <w:tcPr>
            <w:tcW w:w="0" w:type="auto"/>
            <w:gridSpan w:val="4"/>
            <w:tcBorders>
              <w:bottom w:val="single" w:sz="4" w:space="0" w:color="000000"/>
            </w:tcBorders>
            <w:shd w:val="clear" w:color="auto" w:fill="00B050"/>
          </w:tcPr>
          <w:p w14:paraId="083E8BFE" w14:textId="77777777" w:rsidR="00F7266B" w:rsidRPr="002E20D5" w:rsidRDefault="00F7266B" w:rsidP="0022424B">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F7266B" w:rsidRPr="002860E2" w14:paraId="74623BF6" w14:textId="77777777" w:rsidTr="00F917C9">
        <w:trPr>
          <w:cantSplit/>
        </w:trPr>
        <w:tc>
          <w:tcPr>
            <w:tcW w:w="0" w:type="auto"/>
          </w:tcPr>
          <w:p w14:paraId="61B0C120" w14:textId="77777777" w:rsidR="00F7266B" w:rsidRPr="002860E2" w:rsidRDefault="00F7266B" w:rsidP="0022424B">
            <w:pPr>
              <w:numPr>
                <w:ilvl w:val="0"/>
                <w:numId w:val="1"/>
              </w:numPr>
              <w:contextualSpacing/>
              <w:rPr>
                <w:rFonts w:asciiTheme="minorHAnsi" w:hAnsiTheme="minorHAnsi"/>
                <w:b/>
                <w:sz w:val="20"/>
                <w:szCs w:val="20"/>
              </w:rPr>
            </w:pPr>
          </w:p>
        </w:tc>
        <w:tc>
          <w:tcPr>
            <w:tcW w:w="5859" w:type="dxa"/>
          </w:tcPr>
          <w:p w14:paraId="54EDD3D9" w14:textId="77777777" w:rsidR="00F7266B" w:rsidRPr="002860E2" w:rsidRDefault="00F7266B" w:rsidP="0022424B">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14:paraId="42E502E6" w14:textId="77777777" w:rsidR="00F7266B" w:rsidRPr="002860E2" w:rsidRDefault="00F7266B" w:rsidP="0022424B">
            <w:pPr>
              <w:pStyle w:val="ColorfulList-Accent11"/>
              <w:ind w:left="0"/>
              <w:rPr>
                <w:rFonts w:asciiTheme="minorHAnsi" w:hAnsiTheme="minorHAnsi"/>
                <w:sz w:val="20"/>
                <w:szCs w:val="20"/>
              </w:rPr>
            </w:pPr>
          </w:p>
          <w:p w14:paraId="66AD0DF0" w14:textId="77777777" w:rsidR="00F7266B" w:rsidRPr="002860E2" w:rsidRDefault="00F7266B" w:rsidP="0022424B">
            <w:pPr>
              <w:pStyle w:val="ColorfulList-Accent11"/>
              <w:ind w:left="0"/>
              <w:rPr>
                <w:rFonts w:asciiTheme="minorHAnsi" w:hAnsiTheme="minorHAnsi"/>
                <w:sz w:val="20"/>
                <w:szCs w:val="20"/>
              </w:rPr>
            </w:pPr>
          </w:p>
          <w:p w14:paraId="17FCAEF8" w14:textId="77777777" w:rsidR="00F7266B" w:rsidRPr="002860E2" w:rsidRDefault="00F7266B" w:rsidP="0022424B">
            <w:pPr>
              <w:pStyle w:val="ColorfulList-Accent11"/>
              <w:ind w:left="0"/>
              <w:rPr>
                <w:rFonts w:asciiTheme="minorHAnsi" w:hAnsiTheme="minorHAnsi"/>
                <w:sz w:val="20"/>
                <w:szCs w:val="20"/>
              </w:rPr>
            </w:pPr>
          </w:p>
        </w:tc>
        <w:tc>
          <w:tcPr>
            <w:tcW w:w="5357" w:type="dxa"/>
          </w:tcPr>
          <w:p w14:paraId="7C283B11" w14:textId="77777777" w:rsidR="008573C9" w:rsidRPr="008573C9" w:rsidRDefault="008573C9" w:rsidP="008573C9">
            <w:pPr>
              <w:pStyle w:val="ListParagraph"/>
              <w:numPr>
                <w:ilvl w:val="0"/>
                <w:numId w:val="6"/>
              </w:numPr>
              <w:rPr>
                <w:rFonts w:asciiTheme="minorHAnsi" w:hAnsiTheme="minorHAnsi"/>
                <w:sz w:val="20"/>
                <w:szCs w:val="20"/>
              </w:rPr>
            </w:pPr>
            <w:proofErr w:type="spellStart"/>
            <w:r w:rsidRPr="008573C9">
              <w:rPr>
                <w:rFonts w:asciiTheme="minorHAnsi" w:hAnsiTheme="minorHAnsi"/>
                <w:sz w:val="20"/>
                <w:szCs w:val="20"/>
              </w:rPr>
              <w:t>Evin</w:t>
            </w:r>
            <w:proofErr w:type="spellEnd"/>
            <w:r w:rsidRPr="008573C9">
              <w:rPr>
                <w:rFonts w:asciiTheme="minorHAnsi" w:hAnsiTheme="minorHAnsi"/>
                <w:sz w:val="20"/>
                <w:szCs w:val="20"/>
              </w:rPr>
              <w:t xml:space="preserve"> </w:t>
            </w:r>
            <w:proofErr w:type="spellStart"/>
            <w:r w:rsidRPr="008573C9">
              <w:rPr>
                <w:rFonts w:asciiTheme="minorHAnsi" w:hAnsiTheme="minorHAnsi"/>
                <w:sz w:val="20"/>
                <w:szCs w:val="20"/>
              </w:rPr>
              <w:t>Erdoğdu</w:t>
            </w:r>
            <w:proofErr w:type="spellEnd"/>
            <w:r w:rsidRPr="008573C9">
              <w:rPr>
                <w:rFonts w:asciiTheme="minorHAnsi" w:hAnsiTheme="minorHAnsi"/>
                <w:sz w:val="20"/>
                <w:szCs w:val="20"/>
              </w:rPr>
              <w:t>; ALAC</w:t>
            </w:r>
          </w:p>
          <w:p w14:paraId="2E6F0412" w14:textId="77777777" w:rsidR="008573C9" w:rsidRPr="008573C9" w:rsidRDefault="008573C9" w:rsidP="008573C9">
            <w:pPr>
              <w:pStyle w:val="ListParagraph"/>
              <w:numPr>
                <w:ilvl w:val="0"/>
                <w:numId w:val="6"/>
              </w:numPr>
              <w:rPr>
                <w:rFonts w:asciiTheme="minorHAnsi" w:hAnsiTheme="minorHAnsi"/>
                <w:sz w:val="20"/>
                <w:szCs w:val="20"/>
              </w:rPr>
            </w:pPr>
            <w:proofErr w:type="spellStart"/>
            <w:r w:rsidRPr="008573C9">
              <w:rPr>
                <w:rFonts w:asciiTheme="minorHAnsi" w:hAnsiTheme="minorHAnsi"/>
                <w:sz w:val="20"/>
                <w:szCs w:val="20"/>
              </w:rPr>
              <w:t>Sivasubramanian</w:t>
            </w:r>
            <w:proofErr w:type="spellEnd"/>
            <w:r w:rsidRPr="008573C9">
              <w:rPr>
                <w:rFonts w:asciiTheme="minorHAnsi" w:hAnsiTheme="minorHAnsi"/>
                <w:sz w:val="20"/>
                <w:szCs w:val="20"/>
              </w:rPr>
              <w:t xml:space="preserve"> Muthusamy; Internet Society India Chennai </w:t>
            </w:r>
          </w:p>
          <w:p w14:paraId="73FBFAFB"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 xml:space="preserve">DR. JAIDEEP KUMAR </w:t>
            </w:r>
            <w:proofErr w:type="gramStart"/>
            <w:r w:rsidRPr="008573C9">
              <w:rPr>
                <w:rFonts w:asciiTheme="minorHAnsi" w:hAnsiTheme="minorHAnsi"/>
                <w:sz w:val="20"/>
                <w:szCs w:val="20"/>
              </w:rPr>
              <w:t>MISHRA ;</w:t>
            </w:r>
            <w:proofErr w:type="gramEnd"/>
            <w:r w:rsidRPr="008573C9">
              <w:rPr>
                <w:rFonts w:asciiTheme="minorHAnsi" w:hAnsiTheme="minorHAnsi"/>
                <w:sz w:val="20"/>
                <w:szCs w:val="20"/>
              </w:rPr>
              <w:t xml:space="preserve"> DIRECTOR MINISTRY OF ELECTRONICS AND INFORMATION TECHNOLOGY, GOVERNMENT OF INDIA</w:t>
            </w:r>
          </w:p>
          <w:p w14:paraId="24D86439"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 xml:space="preserve">Farzaneh </w:t>
            </w:r>
            <w:proofErr w:type="spellStart"/>
            <w:r w:rsidRPr="008573C9">
              <w:rPr>
                <w:rFonts w:asciiTheme="minorHAnsi" w:hAnsiTheme="minorHAnsi"/>
                <w:sz w:val="20"/>
                <w:szCs w:val="20"/>
              </w:rPr>
              <w:t>Badii</w:t>
            </w:r>
            <w:proofErr w:type="spellEnd"/>
            <w:r w:rsidRPr="008573C9">
              <w:rPr>
                <w:rFonts w:asciiTheme="minorHAnsi" w:hAnsiTheme="minorHAnsi"/>
                <w:sz w:val="20"/>
                <w:szCs w:val="20"/>
              </w:rPr>
              <w:t>; Internet Governance Project</w:t>
            </w:r>
          </w:p>
          <w:p w14:paraId="1C89AE0F"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 xml:space="preserve">Michele Neylon; </w:t>
            </w:r>
            <w:proofErr w:type="spellStart"/>
            <w:r w:rsidRPr="008573C9">
              <w:rPr>
                <w:rFonts w:asciiTheme="minorHAnsi" w:hAnsiTheme="minorHAnsi"/>
                <w:sz w:val="20"/>
                <w:szCs w:val="20"/>
              </w:rPr>
              <w:t>Blacknight</w:t>
            </w:r>
            <w:proofErr w:type="spellEnd"/>
            <w:r w:rsidRPr="008573C9">
              <w:rPr>
                <w:rFonts w:asciiTheme="minorHAnsi" w:hAnsiTheme="minorHAnsi"/>
                <w:sz w:val="20"/>
                <w:szCs w:val="20"/>
              </w:rPr>
              <w:t xml:space="preserve"> Internet Solutions Ltd</w:t>
            </w:r>
          </w:p>
          <w:p w14:paraId="68E736A2"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Sara Bockey; GoDaddy</w:t>
            </w:r>
          </w:p>
          <w:p w14:paraId="0927E61B"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 xml:space="preserve">Volker </w:t>
            </w:r>
            <w:proofErr w:type="spellStart"/>
            <w:r w:rsidRPr="008573C9">
              <w:rPr>
                <w:rFonts w:asciiTheme="minorHAnsi" w:hAnsiTheme="minorHAnsi"/>
                <w:sz w:val="20"/>
                <w:szCs w:val="20"/>
              </w:rPr>
              <w:t>Greimann</w:t>
            </w:r>
            <w:proofErr w:type="spellEnd"/>
            <w:r w:rsidRPr="008573C9">
              <w:rPr>
                <w:rFonts w:asciiTheme="minorHAnsi" w:hAnsiTheme="minorHAnsi"/>
                <w:sz w:val="20"/>
                <w:szCs w:val="20"/>
              </w:rPr>
              <w:t>; Key-Systems GmbH</w:t>
            </w:r>
          </w:p>
          <w:p w14:paraId="5AB359F2"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 xml:space="preserve">Zoe Bonython; </w:t>
            </w:r>
            <w:proofErr w:type="spellStart"/>
            <w:r w:rsidRPr="008573C9">
              <w:rPr>
                <w:rFonts w:asciiTheme="minorHAnsi" w:hAnsiTheme="minorHAnsi"/>
                <w:sz w:val="20"/>
                <w:szCs w:val="20"/>
              </w:rPr>
              <w:t>RrSG</w:t>
            </w:r>
            <w:proofErr w:type="spellEnd"/>
          </w:p>
          <w:p w14:paraId="2D8E8556"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Domain.com, LLC &amp; affiliates</w:t>
            </w:r>
          </w:p>
          <w:p w14:paraId="4F9E07B6"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 xml:space="preserve">Ayden </w:t>
            </w:r>
            <w:proofErr w:type="spellStart"/>
            <w:r w:rsidRPr="008573C9">
              <w:rPr>
                <w:rFonts w:asciiTheme="minorHAnsi" w:hAnsiTheme="minorHAnsi"/>
                <w:sz w:val="20"/>
                <w:szCs w:val="20"/>
              </w:rPr>
              <w:t>Férdeline</w:t>
            </w:r>
            <w:proofErr w:type="spellEnd"/>
            <w:r w:rsidRPr="008573C9">
              <w:rPr>
                <w:rFonts w:asciiTheme="minorHAnsi" w:hAnsiTheme="minorHAnsi"/>
                <w:sz w:val="20"/>
                <w:szCs w:val="20"/>
              </w:rPr>
              <w:t>; NCSG</w:t>
            </w:r>
          </w:p>
          <w:p w14:paraId="7C9AB84A"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Lars Steffen; eco – Association of the Internet Industry</w:t>
            </w:r>
          </w:p>
          <w:p w14:paraId="569CF3A8"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 xml:space="preserve">Wolf-Ulrich </w:t>
            </w:r>
            <w:proofErr w:type="spellStart"/>
            <w:r w:rsidRPr="008573C9">
              <w:rPr>
                <w:rFonts w:asciiTheme="minorHAnsi" w:hAnsiTheme="minorHAnsi"/>
                <w:sz w:val="20"/>
                <w:szCs w:val="20"/>
              </w:rPr>
              <w:t>Knoben</w:t>
            </w:r>
            <w:proofErr w:type="spellEnd"/>
            <w:r w:rsidRPr="008573C9">
              <w:rPr>
                <w:rFonts w:asciiTheme="minorHAnsi" w:hAnsiTheme="minorHAnsi"/>
                <w:sz w:val="20"/>
                <w:szCs w:val="20"/>
              </w:rPr>
              <w:t>; ISPCP Constituency</w:t>
            </w:r>
          </w:p>
          <w:p w14:paraId="5E3C48C6"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Monica Sanders; i2Coalition</w:t>
            </w:r>
          </w:p>
          <w:p w14:paraId="49C0BE7A"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 xml:space="preserve">David Martel </w:t>
            </w:r>
          </w:p>
          <w:p w14:paraId="02583367"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Etienne Laurin</w:t>
            </w:r>
          </w:p>
          <w:p w14:paraId="0CB8AB2C"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Ben Butler; SSAC</w:t>
            </w:r>
          </w:p>
          <w:p w14:paraId="28AC62CC" w14:textId="238B65AB" w:rsidR="00F7266B" w:rsidRPr="002A5081" w:rsidRDefault="008573C9" w:rsidP="008573C9">
            <w:pPr>
              <w:pStyle w:val="ListParagraph"/>
              <w:numPr>
                <w:ilvl w:val="0"/>
                <w:numId w:val="6"/>
              </w:numPr>
              <w:rPr>
                <w:rFonts w:asciiTheme="minorHAnsi" w:hAnsiTheme="minorHAnsi"/>
                <w:sz w:val="20"/>
                <w:szCs w:val="20"/>
              </w:rPr>
            </w:pPr>
            <w:proofErr w:type="spellStart"/>
            <w:r w:rsidRPr="008573C9">
              <w:rPr>
                <w:rFonts w:asciiTheme="minorHAnsi" w:hAnsiTheme="minorHAnsi"/>
                <w:sz w:val="20"/>
                <w:szCs w:val="20"/>
              </w:rPr>
              <w:t>Ivett</w:t>
            </w:r>
            <w:proofErr w:type="spellEnd"/>
            <w:r w:rsidRPr="008573C9">
              <w:rPr>
                <w:rFonts w:asciiTheme="minorHAnsi" w:hAnsiTheme="minorHAnsi"/>
                <w:sz w:val="20"/>
                <w:szCs w:val="20"/>
              </w:rPr>
              <w:t xml:space="preserve"> </w:t>
            </w:r>
            <w:proofErr w:type="spellStart"/>
            <w:r w:rsidRPr="008573C9">
              <w:rPr>
                <w:rFonts w:asciiTheme="minorHAnsi" w:hAnsiTheme="minorHAnsi"/>
                <w:sz w:val="20"/>
                <w:szCs w:val="20"/>
              </w:rPr>
              <w:t>Paulovics</w:t>
            </w:r>
            <w:proofErr w:type="spellEnd"/>
            <w:r w:rsidRPr="008573C9">
              <w:rPr>
                <w:rFonts w:asciiTheme="minorHAnsi" w:hAnsiTheme="minorHAnsi"/>
                <w:sz w:val="20"/>
                <w:szCs w:val="20"/>
              </w:rPr>
              <w:t xml:space="preserve">; MFSD </w:t>
            </w:r>
            <w:proofErr w:type="spellStart"/>
            <w:r w:rsidRPr="008573C9">
              <w:rPr>
                <w:rFonts w:asciiTheme="minorHAnsi" w:hAnsiTheme="minorHAnsi"/>
                <w:sz w:val="20"/>
                <w:szCs w:val="20"/>
              </w:rPr>
              <w:t>Srl</w:t>
            </w:r>
            <w:proofErr w:type="spellEnd"/>
            <w:r w:rsidRPr="008573C9">
              <w:rPr>
                <w:rFonts w:asciiTheme="minorHAnsi" w:hAnsiTheme="minorHAnsi"/>
                <w:sz w:val="20"/>
                <w:szCs w:val="20"/>
              </w:rPr>
              <w:t xml:space="preserve"> URS Provider</w:t>
            </w:r>
          </w:p>
        </w:tc>
        <w:tc>
          <w:tcPr>
            <w:tcW w:w="3502" w:type="dxa"/>
          </w:tcPr>
          <w:p w14:paraId="24B73A4E" w14:textId="59F920BB" w:rsidR="00F7266B" w:rsidRPr="002860E2" w:rsidRDefault="00287321" w:rsidP="0022424B">
            <w:pPr>
              <w:contextualSpacing/>
              <w:rPr>
                <w:rFonts w:asciiTheme="minorHAnsi" w:hAnsiTheme="minorHAnsi"/>
                <w:sz w:val="20"/>
                <w:szCs w:val="20"/>
              </w:rPr>
            </w:pPr>
            <w:r>
              <w:rPr>
                <w:rFonts w:asciiTheme="minorHAnsi" w:eastAsia="Times New Roman" w:hAnsiTheme="minorHAnsi"/>
                <w:color w:val="000000"/>
                <w:sz w:val="20"/>
                <w:szCs w:val="20"/>
                <w:shd w:val="clear" w:color="auto" w:fill="00FF00"/>
              </w:rPr>
              <w:t xml:space="preserve">   </w:t>
            </w:r>
          </w:p>
          <w:p w14:paraId="579D5B3C" w14:textId="77777777" w:rsidR="002A5081" w:rsidRPr="002A5081" w:rsidRDefault="002A5081" w:rsidP="002A5081">
            <w:pPr>
              <w:contextualSpacing/>
              <w:rPr>
                <w:rFonts w:asciiTheme="minorHAnsi" w:hAnsiTheme="minorHAnsi"/>
                <w:sz w:val="20"/>
                <w:szCs w:val="20"/>
              </w:rPr>
            </w:pPr>
            <w:r w:rsidRPr="002A5081">
              <w:rPr>
                <w:rFonts w:asciiTheme="minorHAnsi" w:hAnsiTheme="minorHAnsi"/>
                <w:sz w:val="20"/>
                <w:szCs w:val="20"/>
                <w:highlight w:val="green"/>
              </w:rPr>
              <w:t>Support</w:t>
            </w:r>
            <w:r w:rsidRPr="002A5081">
              <w:rPr>
                <w:rFonts w:asciiTheme="minorHAnsi" w:hAnsiTheme="minorHAnsi"/>
                <w:sz w:val="20"/>
                <w:szCs w:val="20"/>
              </w:rPr>
              <w:t xml:space="preserve">  </w:t>
            </w:r>
          </w:p>
          <w:p w14:paraId="4AC1E1FD" w14:textId="77777777" w:rsidR="002A5081" w:rsidRPr="002A5081" w:rsidRDefault="002A5081" w:rsidP="002A5081">
            <w:pPr>
              <w:contextualSpacing/>
              <w:rPr>
                <w:rFonts w:asciiTheme="minorHAnsi" w:hAnsiTheme="minorHAnsi"/>
                <w:sz w:val="20"/>
                <w:szCs w:val="20"/>
              </w:rPr>
            </w:pPr>
            <w:r w:rsidRPr="002A5081">
              <w:rPr>
                <w:rFonts w:asciiTheme="minorHAnsi" w:hAnsiTheme="minorHAnsi"/>
                <w:sz w:val="20"/>
                <w:szCs w:val="20"/>
              </w:rPr>
              <w:t>EPDP Response: The EPDP Team appreciates the support.</w:t>
            </w:r>
          </w:p>
          <w:p w14:paraId="0B0794E9" w14:textId="77777777" w:rsidR="002A5081" w:rsidRPr="002A5081" w:rsidRDefault="002A5081" w:rsidP="002A5081">
            <w:pPr>
              <w:contextualSpacing/>
              <w:rPr>
                <w:rFonts w:asciiTheme="minorHAnsi" w:hAnsiTheme="minorHAnsi"/>
                <w:sz w:val="20"/>
                <w:szCs w:val="20"/>
              </w:rPr>
            </w:pPr>
          </w:p>
          <w:p w14:paraId="244489AB" w14:textId="1543F9B6" w:rsidR="00F7266B" w:rsidRPr="002860E2" w:rsidRDefault="002A5081" w:rsidP="002A5081">
            <w:pPr>
              <w:contextualSpacing/>
              <w:rPr>
                <w:rFonts w:asciiTheme="minorHAnsi" w:hAnsiTheme="minorHAnsi"/>
                <w:sz w:val="20"/>
                <w:szCs w:val="20"/>
              </w:rPr>
            </w:pPr>
            <w:r w:rsidRPr="002A5081">
              <w:rPr>
                <w:rFonts w:asciiTheme="minorHAnsi" w:hAnsiTheme="minorHAnsi"/>
                <w:sz w:val="20"/>
                <w:szCs w:val="20"/>
              </w:rPr>
              <w:t xml:space="preserve">Action Taken: None </w:t>
            </w:r>
            <w:r w:rsidRPr="002860E2">
              <w:rPr>
                <w:rFonts w:asciiTheme="minorHAnsi" w:hAnsiTheme="minorHAnsi"/>
                <w:b/>
                <w:color w:val="FF0000"/>
                <w:sz w:val="20"/>
                <w:szCs w:val="20"/>
                <w:highlight w:val="yellow"/>
              </w:rPr>
              <w:t>COMPLETED</w:t>
            </w:r>
          </w:p>
        </w:tc>
      </w:tr>
      <w:tr w:rsidR="00287321" w:rsidRPr="002860E2" w14:paraId="3ACC65AB" w14:textId="77777777" w:rsidTr="00F917C9">
        <w:trPr>
          <w:cantSplit/>
        </w:trPr>
        <w:tc>
          <w:tcPr>
            <w:tcW w:w="15281" w:type="dxa"/>
            <w:gridSpan w:val="4"/>
            <w:shd w:val="clear" w:color="auto" w:fill="70AD47" w:themeFill="accent6"/>
          </w:tcPr>
          <w:p w14:paraId="5DD1202E" w14:textId="08EAF654" w:rsidR="00287321" w:rsidRDefault="0028732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B3C04">
              <w:rPr>
                <w:rFonts w:asciiTheme="minorHAnsi" w:hAnsiTheme="minorHAnsi"/>
                <w:b/>
                <w:color w:val="000000" w:themeColor="text1"/>
                <w:sz w:val="22"/>
              </w:rPr>
              <w:t>Support intent of recommendation with edits</w:t>
            </w:r>
          </w:p>
        </w:tc>
      </w:tr>
      <w:tr w:rsidR="00A87111" w:rsidRPr="002860E2" w14:paraId="321F2334" w14:textId="77777777" w:rsidTr="00F917C9">
        <w:trPr>
          <w:cantSplit/>
        </w:trPr>
        <w:tc>
          <w:tcPr>
            <w:tcW w:w="0" w:type="auto"/>
          </w:tcPr>
          <w:p w14:paraId="39A2393F" w14:textId="77777777" w:rsidR="00A87111" w:rsidRPr="002860E2" w:rsidRDefault="00A87111" w:rsidP="00A87111">
            <w:pPr>
              <w:numPr>
                <w:ilvl w:val="0"/>
                <w:numId w:val="1"/>
              </w:numPr>
              <w:contextualSpacing/>
              <w:rPr>
                <w:rFonts w:asciiTheme="minorHAnsi" w:hAnsiTheme="minorHAnsi"/>
                <w:b/>
                <w:sz w:val="20"/>
                <w:szCs w:val="20"/>
              </w:rPr>
            </w:pPr>
          </w:p>
        </w:tc>
        <w:tc>
          <w:tcPr>
            <w:tcW w:w="5859" w:type="dxa"/>
          </w:tcPr>
          <w:p w14:paraId="7947670F" w14:textId="66E57069" w:rsidR="008573C9" w:rsidRPr="008573C9" w:rsidRDefault="008573C9" w:rsidP="008573C9">
            <w:pPr>
              <w:pStyle w:val="ColorfulList-Accent11"/>
              <w:ind w:left="0"/>
              <w:rPr>
                <w:rFonts w:asciiTheme="minorHAnsi" w:hAnsiTheme="minorHAnsi"/>
                <w:sz w:val="20"/>
                <w:szCs w:val="20"/>
              </w:rPr>
            </w:pPr>
            <w:r w:rsidRPr="008573C9">
              <w:rPr>
                <w:rFonts w:asciiTheme="minorHAnsi" w:hAnsiTheme="minorHAnsi"/>
                <w:sz w:val="20"/>
                <w:szCs w:val="20"/>
              </w:rPr>
              <w:t>The EPDP Team recommends that as part of the implementation of these policy recommendations, updates are made to the following existing policies / procedures, and any others that may have been omitted, to ensure consistency with these policy recommendations as a number of these refer to administrative and/or technical contact which will no longer be required data elements:</w:t>
            </w:r>
          </w:p>
          <w:p w14:paraId="43499286" w14:textId="77777777" w:rsidR="008573C9" w:rsidRPr="008573C9" w:rsidRDefault="008573C9" w:rsidP="008573C9">
            <w:pPr>
              <w:pStyle w:val="ColorfulList-Accent11"/>
              <w:rPr>
                <w:rFonts w:asciiTheme="minorHAnsi" w:hAnsiTheme="minorHAnsi"/>
                <w:sz w:val="20"/>
                <w:szCs w:val="20"/>
              </w:rPr>
            </w:pPr>
            <w:r w:rsidRPr="008573C9">
              <w:rPr>
                <w:rFonts w:asciiTheme="minorHAnsi" w:hAnsiTheme="minorHAnsi"/>
                <w:sz w:val="20"/>
                <w:szCs w:val="20"/>
              </w:rPr>
              <w:t xml:space="preserve"> </w:t>
            </w:r>
          </w:p>
          <w:p w14:paraId="7887040E" w14:textId="4A8BA1A2" w:rsidR="008573C9" w:rsidRPr="008573C9" w:rsidRDefault="008573C9" w:rsidP="008573C9">
            <w:pPr>
              <w:pStyle w:val="ColorfulList-Accent11"/>
              <w:numPr>
                <w:ilvl w:val="2"/>
                <w:numId w:val="1"/>
              </w:numPr>
              <w:ind w:left="460"/>
              <w:rPr>
                <w:rFonts w:asciiTheme="minorHAnsi" w:hAnsiTheme="minorHAnsi"/>
                <w:sz w:val="20"/>
                <w:szCs w:val="20"/>
              </w:rPr>
            </w:pPr>
            <w:r w:rsidRPr="008573C9">
              <w:rPr>
                <w:rFonts w:asciiTheme="minorHAnsi" w:hAnsiTheme="minorHAnsi"/>
                <w:sz w:val="20"/>
                <w:szCs w:val="20"/>
              </w:rPr>
              <w:t>Registry Registration Data Directory Services Consistent Labeling and Display Policy</w:t>
            </w:r>
          </w:p>
          <w:p w14:paraId="6EB38412" w14:textId="0CC7BDD7" w:rsidR="008573C9" w:rsidRPr="008573C9" w:rsidRDefault="008573C9" w:rsidP="008573C9">
            <w:pPr>
              <w:pStyle w:val="ColorfulList-Accent11"/>
              <w:numPr>
                <w:ilvl w:val="2"/>
                <w:numId w:val="1"/>
              </w:numPr>
              <w:ind w:left="460"/>
              <w:rPr>
                <w:rFonts w:asciiTheme="minorHAnsi" w:hAnsiTheme="minorHAnsi"/>
                <w:sz w:val="20"/>
                <w:szCs w:val="20"/>
              </w:rPr>
            </w:pPr>
            <w:r w:rsidRPr="008573C9">
              <w:rPr>
                <w:rFonts w:asciiTheme="minorHAnsi" w:hAnsiTheme="minorHAnsi"/>
                <w:sz w:val="20"/>
                <w:szCs w:val="20"/>
              </w:rPr>
              <w:t>Thick WHOIS Transition Policy for .COM, .NET, .JOBS</w:t>
            </w:r>
          </w:p>
          <w:p w14:paraId="77DE9175" w14:textId="65CA8A77" w:rsidR="008573C9" w:rsidRPr="008573C9" w:rsidRDefault="008573C9" w:rsidP="008573C9">
            <w:pPr>
              <w:pStyle w:val="ColorfulList-Accent11"/>
              <w:numPr>
                <w:ilvl w:val="2"/>
                <w:numId w:val="1"/>
              </w:numPr>
              <w:ind w:left="460"/>
              <w:rPr>
                <w:rFonts w:asciiTheme="minorHAnsi" w:hAnsiTheme="minorHAnsi"/>
                <w:sz w:val="20"/>
                <w:szCs w:val="20"/>
              </w:rPr>
            </w:pPr>
            <w:r w:rsidRPr="008573C9">
              <w:rPr>
                <w:rFonts w:asciiTheme="minorHAnsi" w:hAnsiTheme="minorHAnsi"/>
                <w:sz w:val="20"/>
                <w:szCs w:val="20"/>
              </w:rPr>
              <w:t>Rules for Uniform Domain Name Dispute Resolution Policy</w:t>
            </w:r>
          </w:p>
          <w:p w14:paraId="307F3D80" w14:textId="262EDB43" w:rsidR="008573C9" w:rsidRPr="008573C9" w:rsidRDefault="008573C9" w:rsidP="008573C9">
            <w:pPr>
              <w:pStyle w:val="ColorfulList-Accent11"/>
              <w:numPr>
                <w:ilvl w:val="2"/>
                <w:numId w:val="1"/>
              </w:numPr>
              <w:ind w:left="460"/>
              <w:rPr>
                <w:rFonts w:asciiTheme="minorHAnsi" w:hAnsiTheme="minorHAnsi"/>
                <w:sz w:val="20"/>
                <w:szCs w:val="20"/>
              </w:rPr>
            </w:pPr>
            <w:r w:rsidRPr="008573C9">
              <w:rPr>
                <w:rFonts w:asciiTheme="minorHAnsi" w:hAnsiTheme="minorHAnsi"/>
                <w:sz w:val="20"/>
                <w:szCs w:val="20"/>
              </w:rPr>
              <w:t>WHOIS Data Reminder Policy</w:t>
            </w:r>
          </w:p>
          <w:p w14:paraId="1C67250E" w14:textId="6E9E5F9F" w:rsidR="008573C9" w:rsidRPr="008573C9" w:rsidRDefault="008573C9" w:rsidP="008573C9">
            <w:pPr>
              <w:pStyle w:val="ColorfulList-Accent11"/>
              <w:numPr>
                <w:ilvl w:val="2"/>
                <w:numId w:val="1"/>
              </w:numPr>
              <w:ind w:left="460"/>
              <w:rPr>
                <w:rFonts w:asciiTheme="minorHAnsi" w:hAnsiTheme="minorHAnsi"/>
                <w:sz w:val="20"/>
                <w:szCs w:val="20"/>
              </w:rPr>
            </w:pPr>
            <w:r w:rsidRPr="008573C9">
              <w:rPr>
                <w:rFonts w:asciiTheme="minorHAnsi" w:hAnsiTheme="minorHAnsi"/>
                <w:sz w:val="20"/>
                <w:szCs w:val="20"/>
              </w:rPr>
              <w:t>Transfer Policy</w:t>
            </w:r>
          </w:p>
          <w:p w14:paraId="3C053D7D" w14:textId="4CC73F23" w:rsidR="008573C9" w:rsidRPr="008573C9" w:rsidRDefault="008573C9" w:rsidP="008573C9">
            <w:pPr>
              <w:pStyle w:val="ColorfulList-Accent11"/>
              <w:numPr>
                <w:ilvl w:val="2"/>
                <w:numId w:val="1"/>
              </w:numPr>
              <w:ind w:left="460"/>
              <w:rPr>
                <w:rFonts w:asciiTheme="minorHAnsi" w:hAnsiTheme="minorHAnsi"/>
                <w:sz w:val="20"/>
                <w:szCs w:val="20"/>
              </w:rPr>
            </w:pPr>
            <w:r w:rsidRPr="008573C9">
              <w:rPr>
                <w:rFonts w:asciiTheme="minorHAnsi" w:hAnsiTheme="minorHAnsi"/>
                <w:sz w:val="20"/>
                <w:szCs w:val="20"/>
              </w:rPr>
              <w:t>Uniform Rapid Suspension System (URS) Rules</w:t>
            </w:r>
          </w:p>
          <w:p w14:paraId="3014AF1D" w14:textId="12CDFC9B" w:rsidR="008573C9" w:rsidRPr="008573C9" w:rsidRDefault="008573C9" w:rsidP="008573C9">
            <w:pPr>
              <w:pStyle w:val="ColorfulList-Accent11"/>
              <w:numPr>
                <w:ilvl w:val="2"/>
                <w:numId w:val="1"/>
              </w:numPr>
              <w:ind w:left="460"/>
              <w:rPr>
                <w:rFonts w:asciiTheme="minorHAnsi" w:hAnsiTheme="minorHAnsi"/>
                <w:sz w:val="20"/>
                <w:szCs w:val="20"/>
              </w:rPr>
            </w:pPr>
            <w:r w:rsidRPr="008573C9">
              <w:rPr>
                <w:rFonts w:asciiTheme="minorHAnsi" w:hAnsiTheme="minorHAnsi"/>
                <w:sz w:val="20"/>
                <w:szCs w:val="20"/>
              </w:rPr>
              <w:t>Privacy &amp; Proxy Services Accreditation Issues Policy</w:t>
            </w:r>
          </w:p>
          <w:p w14:paraId="248EC90C" w14:textId="03608674" w:rsidR="008573C9" w:rsidRPr="008573C9" w:rsidRDefault="008573C9" w:rsidP="008573C9">
            <w:pPr>
              <w:pStyle w:val="ColorfulList-Accent11"/>
              <w:numPr>
                <w:ilvl w:val="0"/>
                <w:numId w:val="10"/>
              </w:numPr>
              <w:rPr>
                <w:rFonts w:asciiTheme="minorHAnsi" w:hAnsiTheme="minorHAnsi"/>
                <w:sz w:val="20"/>
                <w:szCs w:val="20"/>
              </w:rPr>
            </w:pPr>
            <w:r w:rsidRPr="008573C9">
              <w:rPr>
                <w:rFonts w:asciiTheme="minorHAnsi" w:hAnsiTheme="minorHAnsi"/>
                <w:sz w:val="20"/>
                <w:szCs w:val="20"/>
              </w:rPr>
              <w:t>Additional WHOIS information Policy (governing insertion of EPP status codes)</w:t>
            </w:r>
          </w:p>
          <w:p w14:paraId="63F374A7" w14:textId="77777777" w:rsidR="00283FC8" w:rsidRDefault="008573C9" w:rsidP="008573C9">
            <w:pPr>
              <w:pStyle w:val="ColorfulList-Accent11"/>
              <w:numPr>
                <w:ilvl w:val="0"/>
                <w:numId w:val="10"/>
              </w:numPr>
              <w:rPr>
                <w:rFonts w:asciiTheme="minorHAnsi" w:hAnsiTheme="minorHAnsi"/>
                <w:sz w:val="20"/>
                <w:szCs w:val="20"/>
              </w:rPr>
            </w:pPr>
            <w:r w:rsidRPr="008573C9">
              <w:rPr>
                <w:rFonts w:asciiTheme="minorHAnsi" w:hAnsiTheme="minorHAnsi"/>
                <w:sz w:val="20"/>
                <w:szCs w:val="20"/>
              </w:rPr>
              <w:t xml:space="preserve">Expired Registration Recovery Policy </w:t>
            </w:r>
          </w:p>
          <w:p w14:paraId="5EEEC738" w14:textId="77777777" w:rsidR="008573C9" w:rsidRDefault="008573C9" w:rsidP="008573C9">
            <w:pPr>
              <w:pStyle w:val="ColorfulList-Accent11"/>
              <w:rPr>
                <w:rFonts w:asciiTheme="minorHAnsi" w:hAnsiTheme="minorHAnsi"/>
                <w:sz w:val="20"/>
                <w:szCs w:val="20"/>
              </w:rPr>
            </w:pPr>
          </w:p>
          <w:p w14:paraId="4D444472" w14:textId="77777777" w:rsidR="008573C9" w:rsidRDefault="008573C9" w:rsidP="008573C9">
            <w:pPr>
              <w:pStyle w:val="ColorfulList-Accent11"/>
              <w:ind w:left="0"/>
              <w:rPr>
                <w:rFonts w:asciiTheme="minorHAnsi" w:hAnsiTheme="minorHAnsi"/>
                <w:sz w:val="20"/>
                <w:szCs w:val="20"/>
              </w:rPr>
            </w:pPr>
            <w:r w:rsidRPr="008573C9">
              <w:rPr>
                <w:rFonts w:asciiTheme="minorHAnsi" w:hAnsiTheme="minorHAnsi"/>
                <w:sz w:val="20"/>
                <w:szCs w:val="20"/>
              </w:rPr>
              <w:t>We agree overall with reviewing all existing ICANN Consensus Policies and implementation documents for consistency with final Consensus Policy on RDDS, although the specific contours may evolve by the time the final EPDP recommendations are adopted. For instance, the specific note about admin/technical contacts going away may not be the case, and we might suggest that part of this text be deleted because it presupposes a final conclusion. We also propose adding the PPSAI policy to this list, even though it is still in IRT phase – technically it has still been adopted as a relevant ICANN Consensus Policy.  The work of the PPIRT should be resumed immediately.</w:t>
            </w:r>
          </w:p>
          <w:p w14:paraId="36BBBE11" w14:textId="77777777" w:rsidR="008573C9" w:rsidRDefault="008573C9" w:rsidP="008573C9">
            <w:pPr>
              <w:pStyle w:val="ColorfulList-Accent11"/>
              <w:ind w:left="0"/>
              <w:rPr>
                <w:rFonts w:asciiTheme="minorHAnsi" w:hAnsiTheme="minorHAnsi"/>
                <w:sz w:val="20"/>
                <w:szCs w:val="20"/>
              </w:rPr>
            </w:pPr>
          </w:p>
          <w:p w14:paraId="31B29923" w14:textId="07F1CA8F" w:rsidR="008573C9" w:rsidRPr="008573C9" w:rsidRDefault="008573C9" w:rsidP="008573C9">
            <w:pPr>
              <w:pStyle w:val="ColorfulList-Accent11"/>
              <w:ind w:left="0"/>
              <w:rPr>
                <w:rFonts w:asciiTheme="minorHAnsi" w:hAnsiTheme="minorHAnsi"/>
                <w:sz w:val="20"/>
                <w:szCs w:val="20"/>
              </w:rPr>
            </w:pPr>
            <w:r w:rsidRPr="008573C9">
              <w:rPr>
                <w:rFonts w:asciiTheme="minorHAnsi" w:hAnsiTheme="minorHAnsi"/>
                <w:sz w:val="20"/>
                <w:szCs w:val="20"/>
              </w:rPr>
              <w:t xml:space="preserve">A recommendation that describes how Privacy/Proxy data should be displayed in WHOIS is needed.   IPC suggests using the wording from the Temp Spec, as revised below   e.g. </w:t>
            </w:r>
          </w:p>
          <w:p w14:paraId="2BA98F96" w14:textId="77777777" w:rsidR="008573C9" w:rsidRPr="008573C9" w:rsidRDefault="008573C9" w:rsidP="008573C9">
            <w:pPr>
              <w:pStyle w:val="ColorfulList-Accent11"/>
              <w:rPr>
                <w:rFonts w:asciiTheme="minorHAnsi" w:hAnsiTheme="minorHAnsi"/>
                <w:sz w:val="20"/>
                <w:szCs w:val="20"/>
              </w:rPr>
            </w:pPr>
          </w:p>
          <w:p w14:paraId="22F625FD" w14:textId="77777777" w:rsidR="008573C9" w:rsidRPr="008573C9" w:rsidRDefault="008573C9" w:rsidP="008573C9">
            <w:pPr>
              <w:pStyle w:val="ColorfulList-Accent11"/>
              <w:ind w:left="0"/>
              <w:rPr>
                <w:rFonts w:asciiTheme="minorHAnsi" w:hAnsiTheme="minorHAnsi"/>
                <w:sz w:val="20"/>
                <w:szCs w:val="20"/>
              </w:rPr>
            </w:pPr>
            <w:r w:rsidRPr="008573C9">
              <w:rPr>
                <w:rFonts w:asciiTheme="minorHAnsi" w:hAnsiTheme="minorHAnsi"/>
                <w:sz w:val="20"/>
                <w:szCs w:val="20"/>
              </w:rPr>
              <w:t>Recommendation XX</w:t>
            </w:r>
          </w:p>
          <w:p w14:paraId="581C331A" w14:textId="77777777" w:rsidR="008573C9" w:rsidRPr="008573C9" w:rsidRDefault="008573C9" w:rsidP="008573C9">
            <w:pPr>
              <w:pStyle w:val="ColorfulList-Accent11"/>
              <w:rPr>
                <w:rFonts w:asciiTheme="minorHAnsi" w:hAnsiTheme="minorHAnsi"/>
                <w:sz w:val="20"/>
                <w:szCs w:val="20"/>
              </w:rPr>
            </w:pPr>
          </w:p>
          <w:p w14:paraId="4CE13E44" w14:textId="77777777" w:rsidR="008573C9" w:rsidRPr="008573C9" w:rsidRDefault="008573C9" w:rsidP="008573C9">
            <w:pPr>
              <w:pStyle w:val="ColorfulList-Accent11"/>
              <w:ind w:left="0"/>
              <w:rPr>
                <w:rFonts w:asciiTheme="minorHAnsi" w:hAnsiTheme="minorHAnsi"/>
                <w:sz w:val="20"/>
                <w:szCs w:val="20"/>
              </w:rPr>
            </w:pPr>
            <w:r w:rsidRPr="008573C9">
              <w:rPr>
                <w:rFonts w:asciiTheme="minorHAnsi" w:hAnsiTheme="minorHAnsi"/>
                <w:sz w:val="20"/>
                <w:szCs w:val="20"/>
              </w:rPr>
              <w:t xml:space="preserve">In the case of a domain name registration where a privacy/proxy service used (e.g. where data associated with a natural person is masked), Registrar MUST include in the public WHOIS and return in </w:t>
            </w:r>
            <w:r w:rsidRPr="008573C9">
              <w:rPr>
                <w:rFonts w:asciiTheme="minorHAnsi" w:hAnsiTheme="minorHAnsi"/>
                <w:sz w:val="20"/>
                <w:szCs w:val="20"/>
              </w:rPr>
              <w:lastRenderedPageBreak/>
              <w:t xml:space="preserve">response to any query full WHOIS data, including the existing privacy/proxy pseudonymized email. </w:t>
            </w:r>
          </w:p>
          <w:p w14:paraId="781E9E07" w14:textId="77777777" w:rsidR="008573C9" w:rsidRPr="008573C9" w:rsidRDefault="008573C9" w:rsidP="008573C9">
            <w:pPr>
              <w:pStyle w:val="ColorfulList-Accent11"/>
              <w:rPr>
                <w:rFonts w:asciiTheme="minorHAnsi" w:hAnsiTheme="minorHAnsi"/>
                <w:sz w:val="20"/>
                <w:szCs w:val="20"/>
              </w:rPr>
            </w:pPr>
          </w:p>
          <w:p w14:paraId="778AD9FB" w14:textId="7BC78540" w:rsidR="008573C9" w:rsidRPr="008573C9" w:rsidRDefault="008573C9" w:rsidP="008573C9">
            <w:pPr>
              <w:pStyle w:val="ColorfulList-Accent11"/>
              <w:ind w:left="0"/>
              <w:rPr>
                <w:rFonts w:asciiTheme="minorHAnsi" w:hAnsiTheme="minorHAnsi"/>
                <w:sz w:val="20"/>
                <w:szCs w:val="20"/>
              </w:rPr>
            </w:pPr>
            <w:r w:rsidRPr="008573C9">
              <w:rPr>
                <w:rFonts w:asciiTheme="minorHAnsi" w:hAnsiTheme="minorHAnsi"/>
                <w:sz w:val="20"/>
                <w:szCs w:val="20"/>
              </w:rPr>
              <w:t>Except as set forth above, the privacy/proxy service policy should not be addressed in the EPDP, and instead, ICANN should immediately proceed with finalizing implementation of the PPSAI.</w:t>
            </w:r>
          </w:p>
        </w:tc>
        <w:tc>
          <w:tcPr>
            <w:tcW w:w="5357" w:type="dxa"/>
          </w:tcPr>
          <w:p w14:paraId="4DBDC0D3" w14:textId="06384BD5" w:rsidR="00660D47" w:rsidRPr="003F540F" w:rsidRDefault="008573C9" w:rsidP="003F540F">
            <w:pPr>
              <w:contextualSpacing/>
              <w:rPr>
                <w:rFonts w:asciiTheme="minorHAnsi" w:hAnsiTheme="minorHAnsi"/>
                <w:sz w:val="20"/>
                <w:szCs w:val="20"/>
              </w:rPr>
            </w:pPr>
            <w:r w:rsidRPr="003F540F">
              <w:rPr>
                <w:rFonts w:asciiTheme="minorHAnsi" w:hAnsiTheme="minorHAnsi"/>
                <w:sz w:val="20"/>
                <w:szCs w:val="20"/>
              </w:rPr>
              <w:lastRenderedPageBreak/>
              <w:t>Brian King; IPC</w:t>
            </w:r>
          </w:p>
        </w:tc>
        <w:tc>
          <w:tcPr>
            <w:tcW w:w="3502" w:type="dxa"/>
          </w:tcPr>
          <w:p w14:paraId="3CAFD141" w14:textId="7F5E1C4B" w:rsidR="00287321" w:rsidRPr="002860E2" w:rsidRDefault="00287321" w:rsidP="00287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743D922B"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91D6B7C"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8B17B97"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BDF4053" w14:textId="77777777" w:rsidR="00A87111" w:rsidRPr="002860E2" w:rsidRDefault="00A87111" w:rsidP="00A87111">
            <w:pPr>
              <w:contextualSpacing/>
              <w:rPr>
                <w:rFonts w:asciiTheme="minorHAnsi" w:hAnsiTheme="minorHAnsi"/>
                <w:sz w:val="20"/>
                <w:szCs w:val="20"/>
              </w:rPr>
            </w:pPr>
          </w:p>
          <w:p w14:paraId="4EB37C5B" w14:textId="77777777" w:rsidR="00A87111" w:rsidRPr="002860E2" w:rsidRDefault="00A87111" w:rsidP="00A8711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6B67E7B" w14:textId="77777777" w:rsidR="00A87111" w:rsidRPr="002860E2" w:rsidRDefault="00A87111" w:rsidP="00A87111">
            <w:pPr>
              <w:contextualSpacing/>
              <w:rPr>
                <w:rFonts w:asciiTheme="minorHAnsi" w:hAnsiTheme="minorHAnsi"/>
                <w:sz w:val="20"/>
                <w:szCs w:val="20"/>
              </w:rPr>
            </w:pPr>
          </w:p>
        </w:tc>
      </w:tr>
      <w:tr w:rsidR="003F540F" w:rsidRPr="002860E2" w14:paraId="139D2BBF" w14:textId="77777777" w:rsidTr="00F917C9">
        <w:trPr>
          <w:cantSplit/>
        </w:trPr>
        <w:tc>
          <w:tcPr>
            <w:tcW w:w="0" w:type="auto"/>
          </w:tcPr>
          <w:p w14:paraId="5BC91C7C" w14:textId="77777777" w:rsidR="003F540F" w:rsidRPr="002860E2" w:rsidRDefault="003F540F" w:rsidP="00A87111">
            <w:pPr>
              <w:numPr>
                <w:ilvl w:val="0"/>
                <w:numId w:val="1"/>
              </w:numPr>
              <w:contextualSpacing/>
              <w:rPr>
                <w:rFonts w:asciiTheme="minorHAnsi" w:hAnsiTheme="minorHAnsi"/>
                <w:b/>
                <w:sz w:val="20"/>
                <w:szCs w:val="20"/>
              </w:rPr>
            </w:pPr>
          </w:p>
        </w:tc>
        <w:tc>
          <w:tcPr>
            <w:tcW w:w="5859" w:type="dxa"/>
          </w:tcPr>
          <w:p w14:paraId="2A544F72" w14:textId="516E4F5D" w:rsidR="003F540F" w:rsidRPr="003F540F" w:rsidRDefault="003F540F" w:rsidP="003F540F">
            <w:pPr>
              <w:pStyle w:val="ColorfulList-Accent11"/>
              <w:ind w:left="0"/>
              <w:rPr>
                <w:rFonts w:asciiTheme="minorHAnsi" w:hAnsiTheme="minorHAnsi"/>
                <w:sz w:val="20"/>
                <w:szCs w:val="20"/>
              </w:rPr>
            </w:pPr>
            <w:r w:rsidRPr="003F540F">
              <w:rPr>
                <w:rFonts w:asciiTheme="minorHAnsi" w:hAnsiTheme="minorHAnsi"/>
                <w:sz w:val="20"/>
                <w:szCs w:val="20"/>
              </w:rPr>
              <w:t>Modify opening paragraph to read:</w:t>
            </w:r>
          </w:p>
          <w:p w14:paraId="7277CC4F" w14:textId="77777777" w:rsidR="003F540F" w:rsidRDefault="003F540F" w:rsidP="003F540F">
            <w:pPr>
              <w:pStyle w:val="ColorfulList-Accent11"/>
              <w:ind w:left="0"/>
              <w:rPr>
                <w:rFonts w:asciiTheme="minorHAnsi" w:hAnsiTheme="minorHAnsi"/>
                <w:sz w:val="20"/>
                <w:szCs w:val="20"/>
              </w:rPr>
            </w:pPr>
            <w:r w:rsidRPr="003F540F">
              <w:rPr>
                <w:rFonts w:asciiTheme="minorHAnsi" w:hAnsiTheme="minorHAnsi"/>
                <w:sz w:val="20"/>
                <w:szCs w:val="20"/>
              </w:rPr>
              <w:t>The EPDP Team recommends that as part of the implementation of these policy recommendations, updates are made to the following existing policies / procedures, and any others that may have been omitted, to ensure consistency with these policy recommendations as a number of these refer to administrative and/or technical contact which may no longer be required data elements</w:t>
            </w:r>
          </w:p>
          <w:p w14:paraId="280640B4" w14:textId="77777777" w:rsidR="003F540F" w:rsidRDefault="003F540F" w:rsidP="003F540F">
            <w:pPr>
              <w:pStyle w:val="ColorfulList-Accent11"/>
              <w:ind w:left="0"/>
              <w:rPr>
                <w:rFonts w:asciiTheme="minorHAnsi" w:hAnsiTheme="minorHAnsi"/>
                <w:sz w:val="20"/>
                <w:szCs w:val="20"/>
              </w:rPr>
            </w:pPr>
          </w:p>
          <w:p w14:paraId="12EC2019" w14:textId="0E2E0383" w:rsidR="003F540F" w:rsidRPr="003F540F" w:rsidRDefault="003F540F" w:rsidP="003F540F">
            <w:pPr>
              <w:pStyle w:val="ColorfulList-Accent11"/>
              <w:ind w:left="0"/>
              <w:rPr>
                <w:rFonts w:asciiTheme="minorHAnsi" w:hAnsiTheme="minorHAnsi"/>
                <w:sz w:val="20"/>
                <w:szCs w:val="20"/>
              </w:rPr>
            </w:pPr>
            <w:r w:rsidRPr="003F540F">
              <w:rPr>
                <w:rFonts w:asciiTheme="minorHAnsi" w:hAnsiTheme="minorHAnsi"/>
                <w:sz w:val="20"/>
                <w:szCs w:val="20"/>
              </w:rPr>
              <w:t xml:space="preserve">COA believes the word “may” should be substituted for the word “will” in the last line of the opening paragraph because the word “will” </w:t>
            </w:r>
            <w:proofErr w:type="gramStart"/>
            <w:r w:rsidRPr="003F540F">
              <w:rPr>
                <w:rFonts w:asciiTheme="minorHAnsi" w:hAnsiTheme="minorHAnsi"/>
                <w:sz w:val="20"/>
                <w:szCs w:val="20"/>
              </w:rPr>
              <w:t>presupposes</w:t>
            </w:r>
            <w:proofErr w:type="gramEnd"/>
            <w:r w:rsidRPr="003F540F">
              <w:rPr>
                <w:rFonts w:asciiTheme="minorHAnsi" w:hAnsiTheme="minorHAnsi"/>
                <w:sz w:val="20"/>
                <w:szCs w:val="20"/>
              </w:rPr>
              <w:t xml:space="preserve"> a final conclusion.</w:t>
            </w:r>
          </w:p>
          <w:p w14:paraId="07982B5D" w14:textId="77777777" w:rsidR="003F540F" w:rsidRPr="003F540F" w:rsidRDefault="003F540F" w:rsidP="003F540F">
            <w:pPr>
              <w:pStyle w:val="ColorfulList-Accent11"/>
              <w:rPr>
                <w:rFonts w:asciiTheme="minorHAnsi" w:hAnsiTheme="minorHAnsi"/>
                <w:sz w:val="20"/>
                <w:szCs w:val="20"/>
              </w:rPr>
            </w:pPr>
          </w:p>
          <w:p w14:paraId="4D569CA5" w14:textId="1B30A96D" w:rsidR="003F540F" w:rsidRPr="008573C9" w:rsidRDefault="003F540F" w:rsidP="003F540F">
            <w:pPr>
              <w:pStyle w:val="ColorfulList-Accent11"/>
              <w:ind w:left="0"/>
              <w:rPr>
                <w:rFonts w:asciiTheme="minorHAnsi" w:hAnsiTheme="minorHAnsi"/>
                <w:sz w:val="20"/>
                <w:szCs w:val="20"/>
              </w:rPr>
            </w:pPr>
            <w:r w:rsidRPr="003F540F">
              <w:rPr>
                <w:rFonts w:asciiTheme="minorHAnsi" w:hAnsiTheme="minorHAnsi"/>
                <w:sz w:val="20"/>
                <w:szCs w:val="20"/>
              </w:rPr>
              <w:t>Furthermore, while COA agrees with the IPC that in general ICANN consensus policies should be updated to ensure consistency with whichever of these GDPR related policy recommendations are ultimately adopted, and that the Privacy/Proxy Service Accreditation policy is one of those consensus policies (although ICANN has decided to delay indefinitely its implementation), we note that the Privacy/Proxy consensus policy was developed in full awareness of the EU Data Protection Framework Directive (the predecessor to the GDPR), so we anticipate that few, if any, changes to its implementation would be necessary.  We also note that there is nothing in the Charter of the EPDP addressing privacy/proxy services, and thus join the IPC request that implementation work on this privacy/proxy consensus policy be resumed immediately.</w:t>
            </w:r>
          </w:p>
        </w:tc>
        <w:tc>
          <w:tcPr>
            <w:tcW w:w="5357" w:type="dxa"/>
          </w:tcPr>
          <w:p w14:paraId="0EC45523" w14:textId="14FC9E07" w:rsidR="003F540F" w:rsidRPr="003F540F" w:rsidRDefault="003F540F" w:rsidP="003F540F">
            <w:pPr>
              <w:contextualSpacing/>
              <w:rPr>
                <w:rFonts w:asciiTheme="minorHAnsi" w:hAnsiTheme="minorHAnsi"/>
                <w:sz w:val="20"/>
                <w:szCs w:val="20"/>
              </w:rPr>
            </w:pPr>
            <w:r w:rsidRPr="003F540F">
              <w:rPr>
                <w:rFonts w:asciiTheme="minorHAnsi" w:hAnsiTheme="minorHAnsi"/>
                <w:sz w:val="20"/>
                <w:szCs w:val="20"/>
              </w:rPr>
              <w:t>Dean S. Marks; Coalition for Online Accountability</w:t>
            </w:r>
          </w:p>
        </w:tc>
        <w:tc>
          <w:tcPr>
            <w:tcW w:w="3502" w:type="dxa"/>
          </w:tcPr>
          <w:p w14:paraId="71FDCA68" w14:textId="77777777" w:rsidR="003F540F" w:rsidRPr="002860E2" w:rsidRDefault="003F540F" w:rsidP="003F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304AECF8" w14:textId="77777777" w:rsidR="003F540F" w:rsidRPr="002B3C04" w:rsidRDefault="003F540F" w:rsidP="003F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571C33B" w14:textId="77777777" w:rsidR="003F540F" w:rsidRPr="002860E2" w:rsidRDefault="003F540F" w:rsidP="003F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85B7FCE" w14:textId="77777777" w:rsidR="003F540F" w:rsidRPr="002B3C04" w:rsidRDefault="003F540F" w:rsidP="003F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942E5B8" w14:textId="77777777" w:rsidR="003F540F" w:rsidRPr="002860E2" w:rsidRDefault="003F540F" w:rsidP="003F540F">
            <w:pPr>
              <w:contextualSpacing/>
              <w:rPr>
                <w:rFonts w:asciiTheme="minorHAnsi" w:hAnsiTheme="minorHAnsi"/>
                <w:sz w:val="20"/>
                <w:szCs w:val="20"/>
              </w:rPr>
            </w:pPr>
          </w:p>
          <w:p w14:paraId="06737C32" w14:textId="77777777" w:rsidR="003F540F" w:rsidRPr="002860E2" w:rsidRDefault="003F540F" w:rsidP="003F540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D02E879" w14:textId="77777777" w:rsidR="003F540F" w:rsidRDefault="003F540F" w:rsidP="00287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F540F" w:rsidRPr="002860E2" w14:paraId="75E5E896" w14:textId="77777777" w:rsidTr="00F917C9">
        <w:trPr>
          <w:cantSplit/>
        </w:trPr>
        <w:tc>
          <w:tcPr>
            <w:tcW w:w="0" w:type="auto"/>
          </w:tcPr>
          <w:p w14:paraId="40ECB986" w14:textId="77777777" w:rsidR="003F540F" w:rsidRPr="002860E2" w:rsidRDefault="003F540F" w:rsidP="00A87111">
            <w:pPr>
              <w:numPr>
                <w:ilvl w:val="0"/>
                <w:numId w:val="1"/>
              </w:numPr>
              <w:contextualSpacing/>
              <w:rPr>
                <w:rFonts w:asciiTheme="minorHAnsi" w:hAnsiTheme="minorHAnsi"/>
                <w:b/>
                <w:sz w:val="20"/>
                <w:szCs w:val="20"/>
              </w:rPr>
            </w:pPr>
          </w:p>
        </w:tc>
        <w:tc>
          <w:tcPr>
            <w:tcW w:w="5859" w:type="dxa"/>
          </w:tcPr>
          <w:p w14:paraId="168572D4" w14:textId="16CCC37F" w:rsidR="00050B5B" w:rsidRPr="00050B5B" w:rsidRDefault="00050B5B" w:rsidP="00050B5B">
            <w:pPr>
              <w:pStyle w:val="ColorfulList-Accent11"/>
              <w:ind w:left="0"/>
              <w:rPr>
                <w:rFonts w:asciiTheme="minorHAnsi" w:hAnsiTheme="minorHAnsi"/>
                <w:sz w:val="20"/>
                <w:szCs w:val="20"/>
              </w:rPr>
            </w:pPr>
            <w:r w:rsidRPr="00050B5B">
              <w:rPr>
                <w:rFonts w:asciiTheme="minorHAnsi" w:hAnsiTheme="minorHAnsi"/>
                <w:sz w:val="20"/>
                <w:szCs w:val="20"/>
              </w:rPr>
              <w:t>The EPDP Team recommends that as part of the implementation of these policy recommendations, updates are made to the following existing policies / procedures, and any others that may have been omitted, to ensure consistency with these policy recommendations:</w:t>
            </w:r>
          </w:p>
          <w:p w14:paraId="1892F873" w14:textId="60FC14AD" w:rsidR="00050B5B" w:rsidRPr="00050B5B" w:rsidRDefault="00050B5B" w:rsidP="00050B5B">
            <w:pPr>
              <w:pStyle w:val="ColorfulList-Accent11"/>
              <w:numPr>
                <w:ilvl w:val="0"/>
                <w:numId w:val="11"/>
              </w:numPr>
              <w:rPr>
                <w:rFonts w:asciiTheme="minorHAnsi" w:hAnsiTheme="minorHAnsi"/>
                <w:sz w:val="20"/>
                <w:szCs w:val="20"/>
              </w:rPr>
            </w:pPr>
            <w:r w:rsidRPr="00050B5B">
              <w:rPr>
                <w:rFonts w:asciiTheme="minorHAnsi" w:hAnsiTheme="minorHAnsi"/>
                <w:sz w:val="20"/>
                <w:szCs w:val="20"/>
              </w:rPr>
              <w:t>Registry Registration Data Directory Services Consistent Labeling and Display Policy</w:t>
            </w:r>
          </w:p>
          <w:p w14:paraId="5952078D" w14:textId="7C01B611" w:rsidR="00050B5B" w:rsidRPr="00050B5B" w:rsidRDefault="00050B5B" w:rsidP="00050B5B">
            <w:pPr>
              <w:pStyle w:val="ColorfulList-Accent11"/>
              <w:numPr>
                <w:ilvl w:val="0"/>
                <w:numId w:val="11"/>
              </w:numPr>
              <w:rPr>
                <w:rFonts w:asciiTheme="minorHAnsi" w:hAnsiTheme="minorHAnsi"/>
                <w:sz w:val="20"/>
                <w:szCs w:val="20"/>
              </w:rPr>
            </w:pPr>
            <w:r w:rsidRPr="00050B5B">
              <w:rPr>
                <w:rFonts w:asciiTheme="minorHAnsi" w:hAnsiTheme="minorHAnsi"/>
                <w:sz w:val="20"/>
                <w:szCs w:val="20"/>
              </w:rPr>
              <w:t>Thick WHOIS Transition Policy for .COM, .NET, .JOBS</w:t>
            </w:r>
          </w:p>
          <w:p w14:paraId="3AF899C5" w14:textId="68B29CAA" w:rsidR="00050B5B" w:rsidRPr="00050B5B" w:rsidRDefault="00050B5B" w:rsidP="00050B5B">
            <w:pPr>
              <w:pStyle w:val="ColorfulList-Accent11"/>
              <w:numPr>
                <w:ilvl w:val="0"/>
                <w:numId w:val="11"/>
              </w:numPr>
              <w:rPr>
                <w:rFonts w:asciiTheme="minorHAnsi" w:hAnsiTheme="minorHAnsi"/>
                <w:sz w:val="20"/>
                <w:szCs w:val="20"/>
              </w:rPr>
            </w:pPr>
            <w:r w:rsidRPr="00050B5B">
              <w:rPr>
                <w:rFonts w:asciiTheme="minorHAnsi" w:hAnsiTheme="minorHAnsi"/>
                <w:sz w:val="20"/>
                <w:szCs w:val="20"/>
              </w:rPr>
              <w:t>Rules for Uniform Domain Name Dispute Resolution Policy</w:t>
            </w:r>
          </w:p>
          <w:p w14:paraId="6E2FE378" w14:textId="27311494" w:rsidR="00050B5B" w:rsidRPr="00050B5B" w:rsidRDefault="00050B5B" w:rsidP="00050B5B">
            <w:pPr>
              <w:pStyle w:val="ColorfulList-Accent11"/>
              <w:numPr>
                <w:ilvl w:val="0"/>
                <w:numId w:val="11"/>
              </w:numPr>
              <w:rPr>
                <w:rFonts w:asciiTheme="minorHAnsi" w:hAnsiTheme="minorHAnsi"/>
                <w:sz w:val="20"/>
                <w:szCs w:val="20"/>
              </w:rPr>
            </w:pPr>
            <w:r w:rsidRPr="00050B5B">
              <w:rPr>
                <w:rFonts w:asciiTheme="minorHAnsi" w:hAnsiTheme="minorHAnsi"/>
                <w:sz w:val="20"/>
                <w:szCs w:val="20"/>
              </w:rPr>
              <w:t>WHOIS Data Reminder Policy</w:t>
            </w:r>
          </w:p>
          <w:p w14:paraId="3E3668AE" w14:textId="20EF3E0B" w:rsidR="00050B5B" w:rsidRPr="00050B5B" w:rsidRDefault="00050B5B" w:rsidP="00050B5B">
            <w:pPr>
              <w:pStyle w:val="ColorfulList-Accent11"/>
              <w:numPr>
                <w:ilvl w:val="0"/>
                <w:numId w:val="11"/>
              </w:numPr>
              <w:rPr>
                <w:rFonts w:asciiTheme="minorHAnsi" w:hAnsiTheme="minorHAnsi"/>
                <w:sz w:val="20"/>
                <w:szCs w:val="20"/>
              </w:rPr>
            </w:pPr>
            <w:r w:rsidRPr="00050B5B">
              <w:rPr>
                <w:rFonts w:asciiTheme="minorHAnsi" w:hAnsiTheme="minorHAnsi"/>
                <w:sz w:val="20"/>
                <w:szCs w:val="20"/>
              </w:rPr>
              <w:t>Transfer Policy</w:t>
            </w:r>
          </w:p>
          <w:p w14:paraId="485ABF3D" w14:textId="152C0264" w:rsidR="00050B5B" w:rsidRPr="00050B5B" w:rsidRDefault="00050B5B" w:rsidP="00050B5B">
            <w:pPr>
              <w:pStyle w:val="ColorfulList-Accent11"/>
              <w:numPr>
                <w:ilvl w:val="0"/>
                <w:numId w:val="11"/>
              </w:numPr>
              <w:rPr>
                <w:rFonts w:asciiTheme="minorHAnsi" w:hAnsiTheme="minorHAnsi"/>
                <w:sz w:val="20"/>
                <w:szCs w:val="20"/>
              </w:rPr>
            </w:pPr>
            <w:r w:rsidRPr="00050B5B">
              <w:rPr>
                <w:rFonts w:asciiTheme="minorHAnsi" w:hAnsiTheme="minorHAnsi"/>
                <w:sz w:val="20"/>
                <w:szCs w:val="20"/>
              </w:rPr>
              <w:t>Uniform Rapid Suspension System (URS) Rules</w:t>
            </w:r>
          </w:p>
          <w:p w14:paraId="5C6773CE" w14:textId="54647A5D" w:rsidR="00050B5B" w:rsidRPr="00050B5B" w:rsidRDefault="00050B5B" w:rsidP="00050B5B">
            <w:pPr>
              <w:pStyle w:val="ColorfulList-Accent11"/>
              <w:numPr>
                <w:ilvl w:val="0"/>
                <w:numId w:val="11"/>
              </w:numPr>
              <w:rPr>
                <w:rFonts w:asciiTheme="minorHAnsi" w:hAnsiTheme="minorHAnsi"/>
                <w:sz w:val="20"/>
                <w:szCs w:val="20"/>
              </w:rPr>
            </w:pPr>
            <w:r w:rsidRPr="00050B5B">
              <w:rPr>
                <w:rFonts w:asciiTheme="minorHAnsi" w:hAnsiTheme="minorHAnsi"/>
                <w:sz w:val="20"/>
                <w:szCs w:val="20"/>
              </w:rPr>
              <w:t xml:space="preserve">Privacy &amp; Proxy Services Accreditation Issues (PPSAI) </w:t>
            </w:r>
            <w:proofErr w:type="gramStart"/>
            <w:r w:rsidRPr="00050B5B">
              <w:rPr>
                <w:rFonts w:asciiTheme="minorHAnsi" w:hAnsiTheme="minorHAnsi"/>
                <w:sz w:val="20"/>
                <w:szCs w:val="20"/>
              </w:rPr>
              <w:t>Policy  [</w:t>
            </w:r>
            <w:proofErr w:type="gramEnd"/>
            <w:r w:rsidRPr="00050B5B">
              <w:rPr>
                <w:rFonts w:asciiTheme="minorHAnsi" w:hAnsiTheme="minorHAnsi"/>
                <w:sz w:val="20"/>
                <w:szCs w:val="20"/>
              </w:rPr>
              <w:t xml:space="preserve"> added ]</w:t>
            </w:r>
          </w:p>
          <w:p w14:paraId="07D28E37" w14:textId="2DB718EE" w:rsidR="00050B5B" w:rsidRPr="00050B5B" w:rsidRDefault="00050B5B" w:rsidP="00050B5B">
            <w:pPr>
              <w:pStyle w:val="ColorfulList-Accent11"/>
              <w:numPr>
                <w:ilvl w:val="0"/>
                <w:numId w:val="11"/>
              </w:numPr>
              <w:rPr>
                <w:rFonts w:asciiTheme="minorHAnsi" w:hAnsiTheme="minorHAnsi"/>
                <w:sz w:val="20"/>
                <w:szCs w:val="20"/>
              </w:rPr>
            </w:pPr>
            <w:r w:rsidRPr="00050B5B">
              <w:rPr>
                <w:rFonts w:asciiTheme="minorHAnsi" w:hAnsiTheme="minorHAnsi"/>
                <w:sz w:val="20"/>
                <w:szCs w:val="20"/>
              </w:rPr>
              <w:t xml:space="preserve">Additional WHOIS Information Policy, governing insertion of EPP status </w:t>
            </w:r>
            <w:proofErr w:type="gramStart"/>
            <w:r w:rsidRPr="00050B5B">
              <w:rPr>
                <w:rFonts w:asciiTheme="minorHAnsi" w:hAnsiTheme="minorHAnsi"/>
                <w:sz w:val="20"/>
                <w:szCs w:val="20"/>
              </w:rPr>
              <w:t>codes  [</w:t>
            </w:r>
            <w:proofErr w:type="gramEnd"/>
            <w:r w:rsidRPr="00050B5B">
              <w:rPr>
                <w:rFonts w:asciiTheme="minorHAnsi" w:hAnsiTheme="minorHAnsi"/>
                <w:sz w:val="20"/>
                <w:szCs w:val="20"/>
              </w:rPr>
              <w:t>added]</w:t>
            </w:r>
          </w:p>
          <w:p w14:paraId="7450F309" w14:textId="77777777" w:rsidR="003F540F" w:rsidRDefault="00050B5B" w:rsidP="00050B5B">
            <w:pPr>
              <w:pStyle w:val="ColorfulList-Accent11"/>
              <w:numPr>
                <w:ilvl w:val="0"/>
                <w:numId w:val="11"/>
              </w:numPr>
              <w:rPr>
                <w:rFonts w:asciiTheme="minorHAnsi" w:hAnsiTheme="minorHAnsi"/>
                <w:sz w:val="20"/>
                <w:szCs w:val="20"/>
              </w:rPr>
            </w:pPr>
            <w:r w:rsidRPr="00050B5B">
              <w:rPr>
                <w:rFonts w:asciiTheme="minorHAnsi" w:hAnsiTheme="minorHAnsi"/>
                <w:sz w:val="20"/>
                <w:szCs w:val="20"/>
              </w:rPr>
              <w:t>Expired Registration Recovery policy [added]</w:t>
            </w:r>
          </w:p>
          <w:p w14:paraId="21D1FB82" w14:textId="77777777" w:rsidR="00050B5B" w:rsidRDefault="00050B5B" w:rsidP="00050B5B">
            <w:pPr>
              <w:pStyle w:val="ColorfulList-Accent11"/>
              <w:ind w:left="0"/>
              <w:rPr>
                <w:rFonts w:asciiTheme="minorHAnsi" w:hAnsiTheme="minorHAnsi"/>
                <w:sz w:val="20"/>
                <w:szCs w:val="20"/>
              </w:rPr>
            </w:pPr>
          </w:p>
          <w:p w14:paraId="0D182B24" w14:textId="77777777" w:rsidR="00F917C9" w:rsidRDefault="00F917C9" w:rsidP="00050B5B">
            <w:pPr>
              <w:pStyle w:val="ColorfulList-Accent11"/>
              <w:ind w:left="0"/>
              <w:rPr>
                <w:rFonts w:asciiTheme="minorHAnsi" w:hAnsiTheme="minorHAnsi"/>
                <w:sz w:val="20"/>
                <w:szCs w:val="20"/>
              </w:rPr>
            </w:pPr>
            <w:r w:rsidRPr="00F917C9">
              <w:rPr>
                <w:rFonts w:asciiTheme="minorHAnsi" w:hAnsiTheme="minorHAnsi"/>
                <w:sz w:val="20"/>
                <w:szCs w:val="20"/>
              </w:rPr>
              <w:t>The BC supports an edited version of this recommendation, provided the data is replaced with that of an appropriate contact.  Note that the BC also recommends adding the PPSAI policy to this list.  PPSAI is in implementation phase, since it has been adopted as ICANN Consensus Policy, and Implementation should be resumed immediately.</w:t>
            </w:r>
          </w:p>
          <w:p w14:paraId="536B265D" w14:textId="77777777" w:rsidR="00F917C9" w:rsidRDefault="00F917C9" w:rsidP="00050B5B">
            <w:pPr>
              <w:pStyle w:val="ColorfulList-Accent11"/>
              <w:ind w:left="0"/>
              <w:rPr>
                <w:rFonts w:asciiTheme="minorHAnsi" w:hAnsiTheme="minorHAnsi"/>
                <w:sz w:val="20"/>
                <w:szCs w:val="20"/>
              </w:rPr>
            </w:pPr>
          </w:p>
          <w:p w14:paraId="54961309" w14:textId="1F4B780E" w:rsidR="00F917C9" w:rsidRPr="003F540F" w:rsidRDefault="00F917C9" w:rsidP="00050B5B">
            <w:pPr>
              <w:pStyle w:val="ColorfulList-Accent11"/>
              <w:ind w:left="0"/>
              <w:rPr>
                <w:rFonts w:asciiTheme="minorHAnsi" w:hAnsiTheme="minorHAnsi"/>
                <w:sz w:val="20"/>
                <w:szCs w:val="20"/>
              </w:rPr>
            </w:pPr>
            <w:r w:rsidRPr="00F917C9">
              <w:rPr>
                <w:rFonts w:asciiTheme="minorHAnsi" w:hAnsiTheme="minorHAnsi"/>
                <w:sz w:val="20"/>
                <w:szCs w:val="20"/>
              </w:rPr>
              <w:t>In the case of a domain name registration where a privacy/proxy service used (e.g. where data associated with a natural person is masked), Registrar MUST return in response to any query full WHOIS data, including the existing proxy/proxy pseudonymized email.</w:t>
            </w:r>
          </w:p>
        </w:tc>
        <w:tc>
          <w:tcPr>
            <w:tcW w:w="5357" w:type="dxa"/>
          </w:tcPr>
          <w:p w14:paraId="1C651371" w14:textId="7486A6DC" w:rsidR="003F540F" w:rsidRPr="003F540F" w:rsidRDefault="003F540F" w:rsidP="003F540F">
            <w:pPr>
              <w:contextualSpacing/>
              <w:rPr>
                <w:rFonts w:asciiTheme="minorHAnsi" w:hAnsiTheme="minorHAnsi"/>
                <w:sz w:val="20"/>
                <w:szCs w:val="20"/>
              </w:rPr>
            </w:pPr>
            <w:r w:rsidRPr="003F540F">
              <w:rPr>
                <w:rFonts w:asciiTheme="minorHAnsi" w:hAnsiTheme="minorHAnsi"/>
                <w:sz w:val="20"/>
                <w:szCs w:val="20"/>
              </w:rPr>
              <w:t>Steve DelBianco; BC</w:t>
            </w:r>
          </w:p>
        </w:tc>
        <w:tc>
          <w:tcPr>
            <w:tcW w:w="3502" w:type="dxa"/>
          </w:tcPr>
          <w:p w14:paraId="41772974"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137E28B3"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9EC2188"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2CF5BB0"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7FD3D64" w14:textId="77777777" w:rsidR="00F917C9" w:rsidRPr="002860E2" w:rsidRDefault="00F917C9" w:rsidP="00F917C9">
            <w:pPr>
              <w:contextualSpacing/>
              <w:rPr>
                <w:rFonts w:asciiTheme="minorHAnsi" w:hAnsiTheme="minorHAnsi"/>
                <w:sz w:val="20"/>
                <w:szCs w:val="20"/>
              </w:rPr>
            </w:pPr>
          </w:p>
          <w:p w14:paraId="1928DFA0" w14:textId="77777777" w:rsidR="00F917C9" w:rsidRPr="002860E2" w:rsidRDefault="00F917C9" w:rsidP="00F917C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CA7A15A" w14:textId="77777777" w:rsidR="003F540F" w:rsidRDefault="003F540F" w:rsidP="003F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F917C9" w:rsidRPr="002860E2" w14:paraId="737CD9F3" w14:textId="77777777" w:rsidTr="00F917C9">
        <w:trPr>
          <w:cantSplit/>
        </w:trPr>
        <w:tc>
          <w:tcPr>
            <w:tcW w:w="0" w:type="auto"/>
          </w:tcPr>
          <w:p w14:paraId="18301059" w14:textId="77777777" w:rsidR="00F917C9" w:rsidRPr="002860E2" w:rsidRDefault="00F917C9" w:rsidP="00A87111">
            <w:pPr>
              <w:numPr>
                <w:ilvl w:val="0"/>
                <w:numId w:val="1"/>
              </w:numPr>
              <w:contextualSpacing/>
              <w:rPr>
                <w:rFonts w:asciiTheme="minorHAnsi" w:hAnsiTheme="minorHAnsi"/>
                <w:b/>
                <w:sz w:val="20"/>
                <w:szCs w:val="20"/>
              </w:rPr>
            </w:pPr>
          </w:p>
        </w:tc>
        <w:tc>
          <w:tcPr>
            <w:tcW w:w="5859" w:type="dxa"/>
          </w:tcPr>
          <w:p w14:paraId="6C4EB55A" w14:textId="2BCDB8CF"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EPDP Team recommends that as part of the implementation of these policy recommendations, updates are made to the following existing policies / procedures, and any others that may have been omitted, to ensure consistency with these policy recommendations:</w:t>
            </w:r>
          </w:p>
          <w:p w14:paraId="229033EF" w14:textId="15D17031" w:rsidR="00F917C9" w:rsidRPr="00F917C9" w:rsidRDefault="00F917C9" w:rsidP="00F917C9">
            <w:pPr>
              <w:pStyle w:val="ColorfulList-Accent11"/>
              <w:numPr>
                <w:ilvl w:val="0"/>
                <w:numId w:val="13"/>
              </w:numPr>
              <w:rPr>
                <w:rFonts w:asciiTheme="minorHAnsi" w:hAnsiTheme="minorHAnsi"/>
                <w:sz w:val="20"/>
                <w:szCs w:val="20"/>
              </w:rPr>
            </w:pPr>
            <w:r w:rsidRPr="00F917C9">
              <w:rPr>
                <w:rFonts w:asciiTheme="minorHAnsi" w:hAnsiTheme="minorHAnsi"/>
                <w:sz w:val="20"/>
                <w:szCs w:val="20"/>
              </w:rPr>
              <w:t>Registry Registration Data Directory Services Consistent Labeling and Display Policy</w:t>
            </w:r>
          </w:p>
          <w:p w14:paraId="11252394" w14:textId="1EC9D641" w:rsidR="00F917C9" w:rsidRPr="00F917C9" w:rsidRDefault="00F917C9" w:rsidP="00F917C9">
            <w:pPr>
              <w:pStyle w:val="ColorfulList-Accent11"/>
              <w:numPr>
                <w:ilvl w:val="0"/>
                <w:numId w:val="13"/>
              </w:numPr>
              <w:rPr>
                <w:rFonts w:asciiTheme="minorHAnsi" w:hAnsiTheme="minorHAnsi"/>
                <w:sz w:val="20"/>
                <w:szCs w:val="20"/>
              </w:rPr>
            </w:pPr>
            <w:r w:rsidRPr="00F917C9">
              <w:rPr>
                <w:rFonts w:asciiTheme="minorHAnsi" w:hAnsiTheme="minorHAnsi"/>
                <w:sz w:val="20"/>
                <w:szCs w:val="20"/>
              </w:rPr>
              <w:t>Thick WHOIS Transition Policy for .COM, .NET, .JOBS</w:t>
            </w:r>
          </w:p>
          <w:p w14:paraId="58D2B0BE" w14:textId="402D35E8" w:rsidR="00F917C9" w:rsidRPr="00F917C9" w:rsidRDefault="00F917C9" w:rsidP="00F917C9">
            <w:pPr>
              <w:pStyle w:val="ColorfulList-Accent11"/>
              <w:numPr>
                <w:ilvl w:val="0"/>
                <w:numId w:val="13"/>
              </w:numPr>
              <w:rPr>
                <w:rFonts w:asciiTheme="minorHAnsi" w:hAnsiTheme="minorHAnsi"/>
                <w:sz w:val="20"/>
                <w:szCs w:val="20"/>
              </w:rPr>
            </w:pPr>
            <w:r w:rsidRPr="00F917C9">
              <w:rPr>
                <w:rFonts w:asciiTheme="minorHAnsi" w:hAnsiTheme="minorHAnsi"/>
                <w:sz w:val="20"/>
                <w:szCs w:val="20"/>
              </w:rPr>
              <w:t>Rules for Uniform Domain Name Dispute Resolution Policy</w:t>
            </w:r>
          </w:p>
          <w:p w14:paraId="25D349E8" w14:textId="2179EB43" w:rsidR="00F917C9" w:rsidRPr="00F917C9" w:rsidRDefault="00F917C9" w:rsidP="00F917C9">
            <w:pPr>
              <w:pStyle w:val="ColorfulList-Accent11"/>
              <w:numPr>
                <w:ilvl w:val="0"/>
                <w:numId w:val="13"/>
              </w:numPr>
              <w:rPr>
                <w:rFonts w:asciiTheme="minorHAnsi" w:hAnsiTheme="minorHAnsi"/>
                <w:sz w:val="20"/>
                <w:szCs w:val="20"/>
              </w:rPr>
            </w:pPr>
            <w:r w:rsidRPr="00F917C9">
              <w:rPr>
                <w:rFonts w:asciiTheme="minorHAnsi" w:hAnsiTheme="minorHAnsi"/>
                <w:sz w:val="20"/>
                <w:szCs w:val="20"/>
              </w:rPr>
              <w:t>WHOIS Data Reminder Policy</w:t>
            </w:r>
          </w:p>
          <w:p w14:paraId="35C71DCD" w14:textId="5D4324FB" w:rsidR="00F917C9" w:rsidRPr="00F917C9" w:rsidRDefault="00F917C9" w:rsidP="00F917C9">
            <w:pPr>
              <w:pStyle w:val="ColorfulList-Accent11"/>
              <w:numPr>
                <w:ilvl w:val="0"/>
                <w:numId w:val="13"/>
              </w:numPr>
              <w:rPr>
                <w:rFonts w:asciiTheme="minorHAnsi" w:hAnsiTheme="minorHAnsi"/>
                <w:sz w:val="20"/>
                <w:szCs w:val="20"/>
              </w:rPr>
            </w:pPr>
            <w:r w:rsidRPr="00F917C9">
              <w:rPr>
                <w:rFonts w:asciiTheme="minorHAnsi" w:hAnsiTheme="minorHAnsi"/>
                <w:sz w:val="20"/>
                <w:szCs w:val="20"/>
              </w:rPr>
              <w:t>Transfer Policy</w:t>
            </w:r>
          </w:p>
          <w:p w14:paraId="7E504127" w14:textId="77777777" w:rsidR="00F917C9" w:rsidRDefault="00F917C9" w:rsidP="00F917C9">
            <w:pPr>
              <w:pStyle w:val="ColorfulList-Accent11"/>
              <w:numPr>
                <w:ilvl w:val="0"/>
                <w:numId w:val="13"/>
              </w:numPr>
              <w:rPr>
                <w:rFonts w:asciiTheme="minorHAnsi" w:hAnsiTheme="minorHAnsi"/>
                <w:sz w:val="20"/>
                <w:szCs w:val="20"/>
              </w:rPr>
            </w:pPr>
            <w:r w:rsidRPr="00F917C9">
              <w:rPr>
                <w:rFonts w:asciiTheme="minorHAnsi" w:hAnsiTheme="minorHAnsi"/>
                <w:sz w:val="20"/>
                <w:szCs w:val="20"/>
              </w:rPr>
              <w:t>Uniform Rapid Suspension System (URS) Rules</w:t>
            </w:r>
          </w:p>
          <w:p w14:paraId="57BC116E" w14:textId="77777777" w:rsidR="00F917C9" w:rsidRDefault="00F917C9" w:rsidP="00F917C9">
            <w:pPr>
              <w:pStyle w:val="ColorfulList-Accent11"/>
              <w:numPr>
                <w:ilvl w:val="0"/>
                <w:numId w:val="13"/>
              </w:numPr>
              <w:rPr>
                <w:rFonts w:asciiTheme="minorHAnsi" w:hAnsiTheme="minorHAnsi"/>
                <w:sz w:val="20"/>
                <w:szCs w:val="20"/>
              </w:rPr>
            </w:pPr>
            <w:r w:rsidRPr="00F917C9">
              <w:rPr>
                <w:rFonts w:asciiTheme="minorHAnsi" w:hAnsiTheme="minorHAnsi"/>
                <w:sz w:val="20"/>
                <w:szCs w:val="20"/>
              </w:rPr>
              <w:t>Privacy &amp; Proxy Services Accreditation Issues Policy</w:t>
            </w:r>
          </w:p>
          <w:p w14:paraId="3D8A5766" w14:textId="77777777" w:rsidR="00F917C9" w:rsidRDefault="00F917C9" w:rsidP="00F917C9">
            <w:pPr>
              <w:pStyle w:val="ColorfulList-Accent11"/>
              <w:ind w:left="0"/>
              <w:rPr>
                <w:rFonts w:asciiTheme="minorHAnsi" w:hAnsiTheme="minorHAnsi"/>
                <w:sz w:val="20"/>
                <w:szCs w:val="20"/>
              </w:rPr>
            </w:pPr>
          </w:p>
          <w:p w14:paraId="06EFE799" w14:textId="6BA14DAA"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Privacy / Proxy Policy (PPSAI) should be added to the list. Even though it is still in implementation phase, it has still been adopted as ICANN Consensus Policy.</w:t>
            </w:r>
          </w:p>
        </w:tc>
        <w:tc>
          <w:tcPr>
            <w:tcW w:w="5357" w:type="dxa"/>
          </w:tcPr>
          <w:p w14:paraId="3C949413" w14:textId="25D85B1D" w:rsidR="00F917C9" w:rsidRPr="003F540F" w:rsidRDefault="00F917C9" w:rsidP="003F540F">
            <w:pPr>
              <w:contextualSpacing/>
              <w:rPr>
                <w:rFonts w:asciiTheme="minorHAnsi" w:hAnsiTheme="minorHAnsi"/>
                <w:sz w:val="20"/>
                <w:szCs w:val="20"/>
              </w:rPr>
            </w:pPr>
            <w:r w:rsidRPr="00F917C9">
              <w:rPr>
                <w:rFonts w:asciiTheme="minorHAnsi" w:hAnsiTheme="minorHAnsi"/>
                <w:sz w:val="20"/>
                <w:szCs w:val="20"/>
              </w:rPr>
              <w:t xml:space="preserve">Jeremy </w:t>
            </w:r>
            <w:proofErr w:type="spellStart"/>
            <w:r w:rsidRPr="00F917C9">
              <w:rPr>
                <w:rFonts w:asciiTheme="minorHAnsi" w:hAnsiTheme="minorHAnsi"/>
                <w:sz w:val="20"/>
                <w:szCs w:val="20"/>
              </w:rPr>
              <w:t>Dallman</w:t>
            </w:r>
            <w:proofErr w:type="spellEnd"/>
            <w:r w:rsidRPr="00F917C9">
              <w:rPr>
                <w:rFonts w:asciiTheme="minorHAnsi" w:hAnsiTheme="minorHAnsi"/>
                <w:sz w:val="20"/>
                <w:szCs w:val="20"/>
              </w:rPr>
              <w:t xml:space="preserve">, David Ladd – Microsoft Threat Intelligence Center; Amy Hogan-Burney, Richard Boscovich – Digital Crimes Unit; </w:t>
            </w:r>
            <w:proofErr w:type="spellStart"/>
            <w:r w:rsidRPr="00F917C9">
              <w:rPr>
                <w:rFonts w:asciiTheme="minorHAnsi" w:hAnsiTheme="minorHAnsi"/>
                <w:sz w:val="20"/>
                <w:szCs w:val="20"/>
              </w:rPr>
              <w:t>Makalika</w:t>
            </w:r>
            <w:proofErr w:type="spellEnd"/>
            <w:r w:rsidRPr="00F917C9">
              <w:rPr>
                <w:rFonts w:asciiTheme="minorHAnsi" w:hAnsiTheme="minorHAnsi"/>
                <w:sz w:val="20"/>
                <w:szCs w:val="20"/>
              </w:rPr>
              <w:t xml:space="preserve"> </w:t>
            </w:r>
            <w:proofErr w:type="spellStart"/>
            <w:r w:rsidRPr="00F917C9">
              <w:rPr>
                <w:rFonts w:asciiTheme="minorHAnsi" w:hAnsiTheme="minorHAnsi"/>
                <w:sz w:val="20"/>
                <w:szCs w:val="20"/>
              </w:rPr>
              <w:t>Naholowaa</w:t>
            </w:r>
            <w:proofErr w:type="spellEnd"/>
            <w:r w:rsidRPr="00F917C9">
              <w:rPr>
                <w:rFonts w:asciiTheme="minorHAnsi" w:hAnsiTheme="minorHAnsi"/>
                <w:sz w:val="20"/>
                <w:szCs w:val="20"/>
              </w:rPr>
              <w:t xml:space="preserve">, Teresa </w:t>
            </w:r>
            <w:proofErr w:type="spellStart"/>
            <w:r w:rsidRPr="00F917C9">
              <w:rPr>
                <w:rFonts w:asciiTheme="minorHAnsi" w:hAnsiTheme="minorHAnsi"/>
                <w:sz w:val="20"/>
                <w:szCs w:val="20"/>
              </w:rPr>
              <w:t>Rodewald</w:t>
            </w:r>
            <w:proofErr w:type="spellEnd"/>
            <w:r w:rsidRPr="00F917C9">
              <w:rPr>
                <w:rFonts w:asciiTheme="minorHAnsi" w:hAnsiTheme="minorHAnsi"/>
                <w:sz w:val="20"/>
                <w:szCs w:val="20"/>
              </w:rPr>
              <w:t xml:space="preserve">, Cam </w:t>
            </w:r>
            <w:proofErr w:type="spellStart"/>
            <w:r w:rsidRPr="00F917C9">
              <w:rPr>
                <w:rFonts w:asciiTheme="minorHAnsi" w:hAnsiTheme="minorHAnsi"/>
                <w:sz w:val="20"/>
                <w:szCs w:val="20"/>
              </w:rPr>
              <w:t>Gatta</w:t>
            </w:r>
            <w:proofErr w:type="spellEnd"/>
            <w:r w:rsidRPr="00F917C9">
              <w:rPr>
                <w:rFonts w:asciiTheme="minorHAnsi" w:hAnsiTheme="minorHAnsi"/>
                <w:sz w:val="20"/>
                <w:szCs w:val="20"/>
              </w:rPr>
              <w:t xml:space="preserve"> – Trademark; Mark </w:t>
            </w:r>
            <w:proofErr w:type="spellStart"/>
            <w:r w:rsidRPr="00F917C9">
              <w:rPr>
                <w:rFonts w:asciiTheme="minorHAnsi" w:hAnsiTheme="minorHAnsi"/>
                <w:sz w:val="20"/>
                <w:szCs w:val="20"/>
              </w:rPr>
              <w:t>Svancarek</w:t>
            </w:r>
            <w:proofErr w:type="spellEnd"/>
            <w:r w:rsidRPr="00F917C9">
              <w:rPr>
                <w:rFonts w:asciiTheme="minorHAnsi" w:hAnsiTheme="minorHAnsi"/>
                <w:sz w:val="20"/>
                <w:szCs w:val="20"/>
              </w:rPr>
              <w:t>, Ben Wallace, Paul Mitchell – Internet Technology &amp; Governance Policy; Cole Quinn – Domains and Registry; Joanne Charles – Privacy &amp; Regulatory Affairs; Microsoft Corporation</w:t>
            </w:r>
          </w:p>
        </w:tc>
        <w:tc>
          <w:tcPr>
            <w:tcW w:w="3502" w:type="dxa"/>
          </w:tcPr>
          <w:p w14:paraId="5017BCBD"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39B080AB"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344EA13"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5D4BF75"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DC1BC34" w14:textId="77777777" w:rsidR="00F917C9" w:rsidRPr="002860E2" w:rsidRDefault="00F917C9" w:rsidP="00F917C9">
            <w:pPr>
              <w:contextualSpacing/>
              <w:rPr>
                <w:rFonts w:asciiTheme="minorHAnsi" w:hAnsiTheme="minorHAnsi"/>
                <w:sz w:val="20"/>
                <w:szCs w:val="20"/>
              </w:rPr>
            </w:pPr>
          </w:p>
          <w:p w14:paraId="5C5DE26B" w14:textId="77777777" w:rsidR="00F917C9" w:rsidRPr="002860E2" w:rsidRDefault="00F917C9" w:rsidP="00F917C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B017F49" w14:textId="77777777" w:rsidR="00F917C9" w:rsidRDefault="00F917C9" w:rsidP="003F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F917C9" w:rsidRPr="002860E2" w14:paraId="64F71247" w14:textId="77777777" w:rsidTr="00F917C9">
        <w:trPr>
          <w:cantSplit/>
        </w:trPr>
        <w:tc>
          <w:tcPr>
            <w:tcW w:w="0" w:type="auto"/>
          </w:tcPr>
          <w:p w14:paraId="7AB1E29C" w14:textId="77777777" w:rsidR="00F917C9" w:rsidRPr="002860E2" w:rsidRDefault="00F917C9" w:rsidP="00A87111">
            <w:pPr>
              <w:numPr>
                <w:ilvl w:val="0"/>
                <w:numId w:val="1"/>
              </w:numPr>
              <w:contextualSpacing/>
              <w:rPr>
                <w:rFonts w:asciiTheme="minorHAnsi" w:hAnsiTheme="minorHAnsi"/>
                <w:b/>
                <w:sz w:val="20"/>
                <w:szCs w:val="20"/>
              </w:rPr>
            </w:pPr>
          </w:p>
        </w:tc>
        <w:tc>
          <w:tcPr>
            <w:tcW w:w="5859" w:type="dxa"/>
          </w:tcPr>
          <w:p w14:paraId="7754A757" w14:textId="77777777" w:rsidR="00F917C9" w:rsidRDefault="00F917C9" w:rsidP="00050B5B">
            <w:pPr>
              <w:pStyle w:val="ColorfulList-Accent11"/>
              <w:ind w:left="0"/>
              <w:rPr>
                <w:rFonts w:asciiTheme="minorHAnsi" w:hAnsiTheme="minorHAnsi"/>
                <w:sz w:val="20"/>
                <w:szCs w:val="20"/>
              </w:rPr>
            </w:pPr>
            <w:r w:rsidRPr="00F917C9">
              <w:rPr>
                <w:rFonts w:asciiTheme="minorHAnsi" w:hAnsiTheme="minorHAnsi"/>
                <w:sz w:val="20"/>
                <w:szCs w:val="20"/>
              </w:rPr>
              <w:t>".... as a number of these refer to administrative and/or technical contact [insert: "or other registration data elements"] which will no longer be required data elements [insert: "or there may be other changes"]: ...."</w:t>
            </w:r>
          </w:p>
          <w:p w14:paraId="1940ABD1" w14:textId="77777777" w:rsidR="00F917C9" w:rsidRDefault="00F917C9" w:rsidP="00050B5B">
            <w:pPr>
              <w:pStyle w:val="ColorfulList-Accent11"/>
              <w:ind w:left="0"/>
              <w:rPr>
                <w:rFonts w:asciiTheme="minorHAnsi" w:hAnsiTheme="minorHAnsi"/>
                <w:sz w:val="20"/>
                <w:szCs w:val="20"/>
              </w:rPr>
            </w:pPr>
          </w:p>
          <w:p w14:paraId="154F6599" w14:textId="65B11366" w:rsidR="00F917C9" w:rsidRPr="00050B5B" w:rsidRDefault="00F917C9" w:rsidP="00050B5B">
            <w:pPr>
              <w:pStyle w:val="ColorfulList-Accent11"/>
              <w:ind w:left="0"/>
              <w:rPr>
                <w:rFonts w:asciiTheme="minorHAnsi" w:hAnsiTheme="minorHAnsi"/>
                <w:sz w:val="20"/>
                <w:szCs w:val="20"/>
              </w:rPr>
            </w:pPr>
            <w:r w:rsidRPr="00F917C9">
              <w:rPr>
                <w:rFonts w:asciiTheme="minorHAnsi" w:hAnsiTheme="minorHAnsi"/>
                <w:sz w:val="20"/>
                <w:szCs w:val="20"/>
              </w:rPr>
              <w:t>There could be other changes which might affect the above referenced policies and procedures.</w:t>
            </w:r>
          </w:p>
        </w:tc>
        <w:tc>
          <w:tcPr>
            <w:tcW w:w="5357" w:type="dxa"/>
          </w:tcPr>
          <w:p w14:paraId="21F959DA" w14:textId="7859D73E" w:rsidR="00F917C9" w:rsidRPr="003F540F" w:rsidRDefault="00F917C9" w:rsidP="003F540F">
            <w:pPr>
              <w:contextualSpacing/>
              <w:rPr>
                <w:rFonts w:asciiTheme="minorHAnsi" w:hAnsiTheme="minorHAnsi"/>
                <w:sz w:val="20"/>
                <w:szCs w:val="20"/>
              </w:rPr>
            </w:pPr>
            <w:r w:rsidRPr="00F917C9">
              <w:rPr>
                <w:rFonts w:asciiTheme="minorHAnsi" w:hAnsiTheme="minorHAnsi"/>
                <w:sz w:val="20"/>
                <w:szCs w:val="20"/>
              </w:rPr>
              <w:t>John Poole; Domain Name Registrant</w:t>
            </w:r>
          </w:p>
        </w:tc>
        <w:tc>
          <w:tcPr>
            <w:tcW w:w="3502" w:type="dxa"/>
          </w:tcPr>
          <w:p w14:paraId="18C4004F"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324C9D95"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0463086"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FC064E3"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72EB3AFE" w14:textId="77777777" w:rsidR="00F917C9" w:rsidRPr="002860E2" w:rsidRDefault="00F917C9" w:rsidP="00F917C9">
            <w:pPr>
              <w:contextualSpacing/>
              <w:rPr>
                <w:rFonts w:asciiTheme="minorHAnsi" w:hAnsiTheme="minorHAnsi"/>
                <w:sz w:val="20"/>
                <w:szCs w:val="20"/>
              </w:rPr>
            </w:pPr>
          </w:p>
          <w:p w14:paraId="45431D02" w14:textId="77777777" w:rsidR="00F917C9" w:rsidRPr="002860E2" w:rsidRDefault="00F917C9" w:rsidP="00F917C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5F8CDAB" w14:textId="77777777" w:rsidR="00F917C9" w:rsidRDefault="00F917C9" w:rsidP="003F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F917C9" w:rsidRPr="002860E2" w14:paraId="2F47CB50" w14:textId="77777777" w:rsidTr="00F917C9">
        <w:trPr>
          <w:cantSplit/>
        </w:trPr>
        <w:tc>
          <w:tcPr>
            <w:tcW w:w="0" w:type="auto"/>
          </w:tcPr>
          <w:p w14:paraId="0735A103" w14:textId="77777777" w:rsidR="00F917C9" w:rsidRPr="002860E2" w:rsidRDefault="00F917C9" w:rsidP="00A87111">
            <w:pPr>
              <w:numPr>
                <w:ilvl w:val="0"/>
                <w:numId w:val="1"/>
              </w:numPr>
              <w:contextualSpacing/>
              <w:rPr>
                <w:rFonts w:asciiTheme="minorHAnsi" w:hAnsiTheme="minorHAnsi"/>
                <w:b/>
                <w:sz w:val="20"/>
                <w:szCs w:val="20"/>
              </w:rPr>
            </w:pPr>
          </w:p>
        </w:tc>
        <w:tc>
          <w:tcPr>
            <w:tcW w:w="5859" w:type="dxa"/>
          </w:tcPr>
          <w:p w14:paraId="2F6EA5BD" w14:textId="3BA3982B" w:rsidR="00F917C9" w:rsidRPr="00050B5B" w:rsidRDefault="00F917C9" w:rsidP="00050B5B">
            <w:pPr>
              <w:pStyle w:val="ColorfulList-Accent11"/>
              <w:ind w:left="0"/>
              <w:rPr>
                <w:rFonts w:asciiTheme="minorHAnsi" w:hAnsiTheme="minorHAnsi"/>
                <w:sz w:val="20"/>
                <w:szCs w:val="20"/>
              </w:rPr>
            </w:pPr>
            <w:r>
              <w:rPr>
                <w:rFonts w:asciiTheme="minorHAnsi" w:hAnsiTheme="minorHAnsi"/>
                <w:sz w:val="20"/>
                <w:szCs w:val="20"/>
              </w:rPr>
              <w:t>No additional comments added.</w:t>
            </w:r>
          </w:p>
        </w:tc>
        <w:tc>
          <w:tcPr>
            <w:tcW w:w="5357" w:type="dxa"/>
          </w:tcPr>
          <w:p w14:paraId="42D91F99" w14:textId="7E6D3EFF" w:rsidR="00F917C9" w:rsidRPr="003F540F" w:rsidRDefault="00F917C9" w:rsidP="003F540F">
            <w:pPr>
              <w:contextualSpacing/>
              <w:rPr>
                <w:rFonts w:asciiTheme="minorHAnsi" w:hAnsiTheme="minorHAnsi"/>
                <w:sz w:val="20"/>
                <w:szCs w:val="20"/>
              </w:rPr>
            </w:pPr>
            <w:r w:rsidRPr="00F917C9">
              <w:rPr>
                <w:rFonts w:asciiTheme="minorHAnsi" w:hAnsiTheme="minorHAnsi"/>
                <w:sz w:val="20"/>
                <w:szCs w:val="20"/>
              </w:rPr>
              <w:t>A. Mark Massey; Domain Name Rights Coalition</w:t>
            </w:r>
          </w:p>
        </w:tc>
        <w:tc>
          <w:tcPr>
            <w:tcW w:w="3502" w:type="dxa"/>
          </w:tcPr>
          <w:p w14:paraId="3ABC9D95"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70F63E62"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31C42CF7"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DFDC0D8"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1ADBF264" w14:textId="77777777" w:rsidR="00F917C9" w:rsidRPr="002860E2" w:rsidRDefault="00F917C9" w:rsidP="00F917C9">
            <w:pPr>
              <w:contextualSpacing/>
              <w:rPr>
                <w:rFonts w:asciiTheme="minorHAnsi" w:hAnsiTheme="minorHAnsi"/>
                <w:sz w:val="20"/>
                <w:szCs w:val="20"/>
              </w:rPr>
            </w:pPr>
          </w:p>
          <w:p w14:paraId="1E9E058E" w14:textId="1913288B" w:rsidR="00F917C9" w:rsidRPr="00F917C9" w:rsidRDefault="00F917C9" w:rsidP="00F917C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F917C9" w:rsidRPr="002860E2" w14:paraId="71892B18" w14:textId="77777777" w:rsidTr="00F917C9">
        <w:trPr>
          <w:cantSplit/>
        </w:trPr>
        <w:tc>
          <w:tcPr>
            <w:tcW w:w="0" w:type="auto"/>
          </w:tcPr>
          <w:p w14:paraId="08C9BE37" w14:textId="77777777" w:rsidR="00F917C9" w:rsidRPr="002860E2" w:rsidRDefault="00F917C9" w:rsidP="00A87111">
            <w:pPr>
              <w:numPr>
                <w:ilvl w:val="0"/>
                <w:numId w:val="1"/>
              </w:numPr>
              <w:contextualSpacing/>
              <w:rPr>
                <w:rFonts w:asciiTheme="minorHAnsi" w:hAnsiTheme="minorHAnsi"/>
                <w:b/>
                <w:sz w:val="20"/>
                <w:szCs w:val="20"/>
              </w:rPr>
            </w:pPr>
          </w:p>
        </w:tc>
        <w:tc>
          <w:tcPr>
            <w:tcW w:w="5859" w:type="dxa"/>
          </w:tcPr>
          <w:p w14:paraId="153004CD" w14:textId="227144E2"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EPDP Team recommends that as part of the implementation of these policy recommendations, updates are made to the following existing policies / procedures, to ensure consistency with these policy recommendations, specifically by modifying the references to administrative and/or technical contacts, which will no longer be required data elements:</w:t>
            </w:r>
          </w:p>
          <w:p w14:paraId="6E34E305" w14:textId="0CF6D68A" w:rsidR="00F917C9" w:rsidRPr="00F917C9" w:rsidRDefault="00F917C9" w:rsidP="00F917C9">
            <w:pPr>
              <w:pStyle w:val="ColorfulList-Accent11"/>
              <w:numPr>
                <w:ilvl w:val="2"/>
                <w:numId w:val="1"/>
              </w:numPr>
              <w:ind w:left="460"/>
              <w:rPr>
                <w:rFonts w:asciiTheme="minorHAnsi" w:hAnsiTheme="minorHAnsi"/>
                <w:sz w:val="20"/>
                <w:szCs w:val="20"/>
              </w:rPr>
            </w:pPr>
            <w:r w:rsidRPr="00F917C9">
              <w:rPr>
                <w:rFonts w:asciiTheme="minorHAnsi" w:hAnsiTheme="minorHAnsi"/>
                <w:sz w:val="20"/>
                <w:szCs w:val="20"/>
              </w:rPr>
              <w:t>Registry Registration Data Directory Services Consistent Labeling and Display Policy</w:t>
            </w:r>
          </w:p>
          <w:p w14:paraId="7DF619A5" w14:textId="74911797" w:rsidR="00F917C9" w:rsidRPr="00F917C9" w:rsidRDefault="00F917C9" w:rsidP="00F917C9">
            <w:pPr>
              <w:pStyle w:val="ColorfulList-Accent11"/>
              <w:numPr>
                <w:ilvl w:val="2"/>
                <w:numId w:val="1"/>
              </w:numPr>
              <w:ind w:left="460"/>
              <w:rPr>
                <w:rFonts w:asciiTheme="minorHAnsi" w:hAnsiTheme="minorHAnsi"/>
                <w:sz w:val="20"/>
                <w:szCs w:val="20"/>
              </w:rPr>
            </w:pPr>
            <w:r w:rsidRPr="00F917C9">
              <w:rPr>
                <w:rFonts w:asciiTheme="minorHAnsi" w:hAnsiTheme="minorHAnsi"/>
                <w:sz w:val="20"/>
                <w:szCs w:val="20"/>
              </w:rPr>
              <w:t>Thick WHOIS Transition Policy for .COM, .NET, .JOBS</w:t>
            </w:r>
          </w:p>
          <w:p w14:paraId="6542BF42" w14:textId="7D42E32E" w:rsidR="00F917C9" w:rsidRPr="00F917C9" w:rsidRDefault="00F917C9" w:rsidP="00F917C9">
            <w:pPr>
              <w:pStyle w:val="ColorfulList-Accent11"/>
              <w:numPr>
                <w:ilvl w:val="2"/>
                <w:numId w:val="1"/>
              </w:numPr>
              <w:ind w:left="460"/>
              <w:rPr>
                <w:rFonts w:asciiTheme="minorHAnsi" w:hAnsiTheme="minorHAnsi"/>
                <w:sz w:val="20"/>
                <w:szCs w:val="20"/>
              </w:rPr>
            </w:pPr>
            <w:r w:rsidRPr="00F917C9">
              <w:rPr>
                <w:rFonts w:asciiTheme="minorHAnsi" w:hAnsiTheme="minorHAnsi"/>
                <w:sz w:val="20"/>
                <w:szCs w:val="20"/>
              </w:rPr>
              <w:t>Rules for Uniform Domain Name Dispute Resolution Policy</w:t>
            </w:r>
          </w:p>
          <w:p w14:paraId="4CB02B9B" w14:textId="0A124823" w:rsidR="00F917C9" w:rsidRPr="00F917C9" w:rsidRDefault="00F917C9" w:rsidP="00F917C9">
            <w:pPr>
              <w:pStyle w:val="ColorfulList-Accent11"/>
              <w:numPr>
                <w:ilvl w:val="2"/>
                <w:numId w:val="1"/>
              </w:numPr>
              <w:ind w:left="460"/>
              <w:rPr>
                <w:rFonts w:asciiTheme="minorHAnsi" w:hAnsiTheme="minorHAnsi"/>
                <w:sz w:val="20"/>
                <w:szCs w:val="20"/>
              </w:rPr>
            </w:pPr>
            <w:r w:rsidRPr="00F917C9">
              <w:rPr>
                <w:rFonts w:asciiTheme="minorHAnsi" w:hAnsiTheme="minorHAnsi"/>
                <w:sz w:val="20"/>
                <w:szCs w:val="20"/>
              </w:rPr>
              <w:t>WHOIS Data Reminder Policy</w:t>
            </w:r>
          </w:p>
          <w:p w14:paraId="1D85B0FA" w14:textId="7A6613E5" w:rsidR="00F917C9" w:rsidRPr="00F917C9" w:rsidRDefault="00F917C9" w:rsidP="00F917C9">
            <w:pPr>
              <w:pStyle w:val="ColorfulList-Accent11"/>
              <w:numPr>
                <w:ilvl w:val="2"/>
                <w:numId w:val="1"/>
              </w:numPr>
              <w:ind w:left="460"/>
              <w:rPr>
                <w:rFonts w:asciiTheme="minorHAnsi" w:hAnsiTheme="minorHAnsi"/>
                <w:sz w:val="20"/>
                <w:szCs w:val="20"/>
              </w:rPr>
            </w:pPr>
            <w:r w:rsidRPr="00F917C9">
              <w:rPr>
                <w:rFonts w:asciiTheme="minorHAnsi" w:hAnsiTheme="minorHAnsi"/>
                <w:sz w:val="20"/>
                <w:szCs w:val="20"/>
              </w:rPr>
              <w:t>Transfer Policy</w:t>
            </w:r>
          </w:p>
          <w:p w14:paraId="21C98BAF" w14:textId="489F907D" w:rsidR="00F917C9" w:rsidRDefault="00F917C9" w:rsidP="00F917C9">
            <w:pPr>
              <w:pStyle w:val="ColorfulList-Accent11"/>
              <w:numPr>
                <w:ilvl w:val="0"/>
                <w:numId w:val="14"/>
              </w:numPr>
              <w:ind w:left="0"/>
              <w:rPr>
                <w:rFonts w:asciiTheme="minorHAnsi" w:hAnsiTheme="minorHAnsi"/>
                <w:sz w:val="20"/>
                <w:szCs w:val="20"/>
              </w:rPr>
            </w:pPr>
            <w:r w:rsidRPr="00F917C9">
              <w:rPr>
                <w:rFonts w:asciiTheme="minorHAnsi" w:hAnsiTheme="minorHAnsi"/>
                <w:sz w:val="20"/>
                <w:szCs w:val="20"/>
              </w:rPr>
              <w:t>•</w:t>
            </w:r>
            <w:r w:rsidRPr="00F917C9">
              <w:rPr>
                <w:rFonts w:asciiTheme="minorHAnsi" w:hAnsiTheme="minorHAnsi"/>
                <w:sz w:val="20"/>
                <w:szCs w:val="20"/>
              </w:rPr>
              <w:tab/>
              <w:t>Uniform Rapid Suspension System (URS) Rules</w:t>
            </w:r>
          </w:p>
          <w:p w14:paraId="2C76DCA2" w14:textId="66FB08CB" w:rsidR="00F917C9" w:rsidRDefault="00F917C9" w:rsidP="00F917C9">
            <w:pPr>
              <w:pStyle w:val="ColorfulList-Accent11"/>
              <w:ind w:left="0"/>
              <w:rPr>
                <w:rFonts w:asciiTheme="minorHAnsi" w:hAnsiTheme="minorHAnsi"/>
                <w:sz w:val="20"/>
                <w:szCs w:val="20"/>
              </w:rPr>
            </w:pPr>
          </w:p>
          <w:p w14:paraId="3E92F25D" w14:textId="41A48F85" w:rsid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Specificity is important so that there is no confusion around what policies are recommended for review and modification or what the proposed changes are.</w:t>
            </w:r>
          </w:p>
        </w:tc>
        <w:tc>
          <w:tcPr>
            <w:tcW w:w="5357" w:type="dxa"/>
          </w:tcPr>
          <w:p w14:paraId="26689DF9" w14:textId="57CE5364" w:rsidR="00F917C9" w:rsidRPr="00F917C9" w:rsidRDefault="00F917C9" w:rsidP="003F540F">
            <w:pPr>
              <w:contextualSpacing/>
              <w:rPr>
                <w:rFonts w:asciiTheme="minorHAnsi" w:hAnsiTheme="minorHAnsi"/>
                <w:sz w:val="20"/>
                <w:szCs w:val="20"/>
              </w:rPr>
            </w:pPr>
            <w:r w:rsidRPr="00F917C9">
              <w:rPr>
                <w:rFonts w:asciiTheme="minorHAnsi" w:hAnsiTheme="minorHAnsi"/>
                <w:sz w:val="20"/>
                <w:szCs w:val="20"/>
              </w:rPr>
              <w:t>Tucows Domains Inc.</w:t>
            </w:r>
          </w:p>
        </w:tc>
        <w:tc>
          <w:tcPr>
            <w:tcW w:w="3502" w:type="dxa"/>
          </w:tcPr>
          <w:p w14:paraId="281F49C4"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535DB31A"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CACD08D"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CC97E7A"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7905CC35" w14:textId="77777777" w:rsidR="00F917C9" w:rsidRPr="002860E2" w:rsidRDefault="00F917C9" w:rsidP="00F917C9">
            <w:pPr>
              <w:contextualSpacing/>
              <w:rPr>
                <w:rFonts w:asciiTheme="minorHAnsi" w:hAnsiTheme="minorHAnsi"/>
                <w:sz w:val="20"/>
                <w:szCs w:val="20"/>
              </w:rPr>
            </w:pPr>
          </w:p>
          <w:p w14:paraId="1681182D" w14:textId="6E780ECD" w:rsidR="00F917C9"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F917C9" w:rsidRPr="002860E2" w14:paraId="60E649C8" w14:textId="77777777" w:rsidTr="00F917C9">
        <w:trPr>
          <w:cantSplit/>
        </w:trPr>
        <w:tc>
          <w:tcPr>
            <w:tcW w:w="0" w:type="auto"/>
          </w:tcPr>
          <w:p w14:paraId="068F62F6" w14:textId="77777777" w:rsidR="00F917C9" w:rsidRPr="002860E2" w:rsidRDefault="00F917C9" w:rsidP="00A87111">
            <w:pPr>
              <w:numPr>
                <w:ilvl w:val="0"/>
                <w:numId w:val="1"/>
              </w:numPr>
              <w:contextualSpacing/>
              <w:rPr>
                <w:rFonts w:asciiTheme="minorHAnsi" w:hAnsiTheme="minorHAnsi"/>
                <w:b/>
                <w:sz w:val="20"/>
                <w:szCs w:val="20"/>
              </w:rPr>
            </w:pPr>
          </w:p>
        </w:tc>
        <w:tc>
          <w:tcPr>
            <w:tcW w:w="5859" w:type="dxa"/>
          </w:tcPr>
          <w:p w14:paraId="2AC9DEE0" w14:textId="1EF7A229"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RySG recommends the following edits to Recommendation #22:</w:t>
            </w:r>
          </w:p>
          <w:p w14:paraId="66738497" w14:textId="77777777" w:rsidR="00F917C9" w:rsidRDefault="00F917C9" w:rsidP="00F917C9">
            <w:pPr>
              <w:pStyle w:val="ColorfulList-Accent11"/>
              <w:ind w:left="0"/>
              <w:rPr>
                <w:rFonts w:asciiTheme="minorHAnsi" w:hAnsiTheme="minorHAnsi"/>
                <w:sz w:val="20"/>
                <w:szCs w:val="20"/>
              </w:rPr>
            </w:pPr>
          </w:p>
          <w:p w14:paraId="34D7AC4B" w14:textId="77777777" w:rsid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 xml:space="preserve">“The EPDP Team recommends that as part of the implementation of policy recommendations, conforming updates are identified to existing policies / procedures to ensure consistency with policy recommendations.” </w:t>
            </w:r>
          </w:p>
          <w:p w14:paraId="10E00C6D" w14:textId="77777777" w:rsidR="00F917C9" w:rsidRDefault="00F917C9" w:rsidP="00F917C9">
            <w:pPr>
              <w:pStyle w:val="ColorfulList-Accent11"/>
              <w:ind w:left="0"/>
              <w:rPr>
                <w:rFonts w:asciiTheme="minorHAnsi" w:hAnsiTheme="minorHAnsi"/>
                <w:sz w:val="20"/>
                <w:szCs w:val="20"/>
              </w:rPr>
            </w:pPr>
          </w:p>
          <w:p w14:paraId="52287AB9" w14:textId="77777777" w:rsid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 xml:space="preserve">The RySG recognizes that a general Recommendation to identify any necessary conforming edits to impacted consensus policies to ensure conformity with the resultant policy will be important for continuity across policies. However, the RySG does not feel that the EPDP reached consensus on this issue and that further discussion within the group is required.  </w:t>
            </w:r>
          </w:p>
          <w:p w14:paraId="6C0CC5C6" w14:textId="77777777" w:rsidR="00F917C9" w:rsidRDefault="00F917C9" w:rsidP="00F917C9">
            <w:pPr>
              <w:pStyle w:val="ColorfulList-Accent11"/>
              <w:ind w:left="0"/>
              <w:rPr>
                <w:rFonts w:asciiTheme="minorHAnsi" w:hAnsiTheme="minorHAnsi"/>
                <w:sz w:val="20"/>
                <w:szCs w:val="20"/>
              </w:rPr>
            </w:pPr>
          </w:p>
          <w:p w14:paraId="45D427D9" w14:textId="0B1F9EE3" w:rsid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RySG could not identify any explicit instances where the EPDP Team has discussed which individual policies need to be updated, with the exception of the URS. While we agree with the importance of maintaining consistency across the wide variety of policies the EPDP touches on, we cannot express support for or advise changes to this recommendation at this time. In particular, we cannot express support or advise changes until further deliberations have been made to ensure the comprehensiveness and accuracy of such a list, which should be included as part of the implementation phase of this policy development process.</w:t>
            </w:r>
          </w:p>
        </w:tc>
        <w:tc>
          <w:tcPr>
            <w:tcW w:w="5357" w:type="dxa"/>
          </w:tcPr>
          <w:p w14:paraId="77097750" w14:textId="3FE462B6" w:rsidR="00F917C9" w:rsidRPr="00F917C9" w:rsidRDefault="00F917C9" w:rsidP="003F540F">
            <w:pPr>
              <w:contextualSpacing/>
              <w:rPr>
                <w:rFonts w:asciiTheme="minorHAnsi" w:hAnsiTheme="minorHAnsi"/>
                <w:sz w:val="20"/>
                <w:szCs w:val="20"/>
              </w:rPr>
            </w:pPr>
            <w:r w:rsidRPr="00F917C9">
              <w:rPr>
                <w:rFonts w:asciiTheme="minorHAnsi" w:hAnsiTheme="minorHAnsi"/>
                <w:sz w:val="20"/>
                <w:szCs w:val="20"/>
              </w:rPr>
              <w:t xml:space="preserve">Wim </w:t>
            </w:r>
            <w:proofErr w:type="spellStart"/>
            <w:proofErr w:type="gramStart"/>
            <w:r w:rsidRPr="00F917C9">
              <w:rPr>
                <w:rFonts w:asciiTheme="minorHAnsi" w:hAnsiTheme="minorHAnsi"/>
                <w:sz w:val="20"/>
                <w:szCs w:val="20"/>
              </w:rPr>
              <w:t>Degezelle</w:t>
            </w:r>
            <w:proofErr w:type="spellEnd"/>
            <w:r w:rsidRPr="00F917C9">
              <w:rPr>
                <w:rFonts w:asciiTheme="minorHAnsi" w:hAnsiTheme="minorHAnsi"/>
                <w:sz w:val="20"/>
                <w:szCs w:val="20"/>
              </w:rPr>
              <w:t xml:space="preserve"> ;</w:t>
            </w:r>
            <w:proofErr w:type="gramEnd"/>
            <w:r w:rsidRPr="00F917C9">
              <w:rPr>
                <w:rFonts w:asciiTheme="minorHAnsi" w:hAnsiTheme="minorHAnsi"/>
                <w:sz w:val="20"/>
                <w:szCs w:val="20"/>
              </w:rPr>
              <w:t xml:space="preserve"> RySG</w:t>
            </w:r>
          </w:p>
        </w:tc>
        <w:tc>
          <w:tcPr>
            <w:tcW w:w="3502" w:type="dxa"/>
          </w:tcPr>
          <w:p w14:paraId="5CCFAA00"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25B9B70A"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0AFC9D5"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2DEC9FE"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7F7F867" w14:textId="77777777" w:rsidR="00F917C9" w:rsidRPr="002860E2" w:rsidRDefault="00F917C9" w:rsidP="00F917C9">
            <w:pPr>
              <w:contextualSpacing/>
              <w:rPr>
                <w:rFonts w:asciiTheme="minorHAnsi" w:hAnsiTheme="minorHAnsi"/>
                <w:sz w:val="20"/>
                <w:szCs w:val="20"/>
              </w:rPr>
            </w:pPr>
          </w:p>
          <w:p w14:paraId="41331CD7" w14:textId="0F016D2D" w:rsidR="00F917C9"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F917C9" w:rsidRPr="002860E2" w14:paraId="50F53742" w14:textId="77777777" w:rsidTr="00F917C9">
        <w:trPr>
          <w:cantSplit/>
        </w:trPr>
        <w:tc>
          <w:tcPr>
            <w:tcW w:w="0" w:type="auto"/>
          </w:tcPr>
          <w:p w14:paraId="51E0BB27" w14:textId="779FEFF8" w:rsidR="00F917C9" w:rsidRPr="002860E2" w:rsidRDefault="00F917C9" w:rsidP="00F917C9">
            <w:pPr>
              <w:ind w:left="90"/>
              <w:contextualSpacing/>
              <w:rPr>
                <w:rFonts w:asciiTheme="minorHAnsi" w:hAnsiTheme="minorHAnsi"/>
                <w:b/>
                <w:sz w:val="20"/>
                <w:szCs w:val="20"/>
              </w:rPr>
            </w:pPr>
            <w:r>
              <w:rPr>
                <w:rFonts w:asciiTheme="minorHAnsi" w:hAnsiTheme="minorHAnsi"/>
                <w:b/>
                <w:sz w:val="20"/>
                <w:szCs w:val="20"/>
              </w:rPr>
              <w:lastRenderedPageBreak/>
              <w:t>10.</w:t>
            </w:r>
          </w:p>
        </w:tc>
        <w:tc>
          <w:tcPr>
            <w:tcW w:w="5859" w:type="dxa"/>
          </w:tcPr>
          <w:p w14:paraId="1952FE11" w14:textId="325C7012"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EPDP Team recommends that as part of the implementation of these policy recommendations, updates are made to the following existing policies / procedures, and any others that may have been omitted, to ensure consistency with these policy recommendations as a number of these refer to administrative and/or technical contact which will no longer be required data elements:</w:t>
            </w:r>
          </w:p>
          <w:p w14:paraId="1FE99E74" w14:textId="3292CB14" w:rsidR="00F917C9" w:rsidRPr="00F917C9" w:rsidRDefault="00F917C9" w:rsidP="00F917C9">
            <w:pPr>
              <w:pStyle w:val="ColorfulList-Accent11"/>
              <w:numPr>
                <w:ilvl w:val="0"/>
                <w:numId w:val="15"/>
              </w:numPr>
              <w:ind w:left="720"/>
              <w:rPr>
                <w:rFonts w:asciiTheme="minorHAnsi" w:hAnsiTheme="minorHAnsi"/>
                <w:sz w:val="20"/>
                <w:szCs w:val="20"/>
              </w:rPr>
            </w:pPr>
            <w:r w:rsidRPr="00F917C9">
              <w:rPr>
                <w:rFonts w:asciiTheme="minorHAnsi" w:hAnsiTheme="minorHAnsi"/>
                <w:sz w:val="20"/>
                <w:szCs w:val="20"/>
              </w:rPr>
              <w:t>Registry Registration Data Directory Services Consistent Labeling and Display Policy</w:t>
            </w:r>
          </w:p>
          <w:p w14:paraId="60709E88" w14:textId="4F145B53" w:rsidR="00F917C9" w:rsidRPr="00F917C9" w:rsidRDefault="00F917C9" w:rsidP="00F917C9">
            <w:pPr>
              <w:pStyle w:val="ColorfulList-Accent11"/>
              <w:numPr>
                <w:ilvl w:val="0"/>
                <w:numId w:val="15"/>
              </w:numPr>
              <w:ind w:left="720"/>
              <w:rPr>
                <w:rFonts w:asciiTheme="minorHAnsi" w:hAnsiTheme="minorHAnsi"/>
                <w:sz w:val="20"/>
                <w:szCs w:val="20"/>
              </w:rPr>
            </w:pPr>
            <w:r w:rsidRPr="00F917C9">
              <w:rPr>
                <w:rFonts w:asciiTheme="minorHAnsi" w:hAnsiTheme="minorHAnsi"/>
                <w:sz w:val="20"/>
                <w:szCs w:val="20"/>
              </w:rPr>
              <w:t>Thick WHOIS Transition Policy for .COM, .NET, .JOBS</w:t>
            </w:r>
          </w:p>
          <w:p w14:paraId="5B7EB1CE" w14:textId="5B006B7F" w:rsidR="00F917C9" w:rsidRPr="00F917C9" w:rsidRDefault="00F917C9" w:rsidP="00F917C9">
            <w:pPr>
              <w:pStyle w:val="ColorfulList-Accent11"/>
              <w:numPr>
                <w:ilvl w:val="0"/>
                <w:numId w:val="15"/>
              </w:numPr>
              <w:ind w:left="720"/>
              <w:rPr>
                <w:rFonts w:asciiTheme="minorHAnsi" w:hAnsiTheme="minorHAnsi"/>
                <w:sz w:val="20"/>
                <w:szCs w:val="20"/>
              </w:rPr>
            </w:pPr>
            <w:r w:rsidRPr="00F917C9">
              <w:rPr>
                <w:rFonts w:asciiTheme="minorHAnsi" w:hAnsiTheme="minorHAnsi"/>
                <w:sz w:val="20"/>
                <w:szCs w:val="20"/>
              </w:rPr>
              <w:t>Rules for Uniform Domain Name Dispute Resolution Policy</w:t>
            </w:r>
          </w:p>
          <w:p w14:paraId="267802FB" w14:textId="3A28DA01" w:rsidR="00F917C9" w:rsidRPr="00F917C9" w:rsidRDefault="00F917C9" w:rsidP="00F917C9">
            <w:pPr>
              <w:pStyle w:val="ColorfulList-Accent11"/>
              <w:numPr>
                <w:ilvl w:val="0"/>
                <w:numId w:val="15"/>
              </w:numPr>
              <w:ind w:left="720"/>
              <w:rPr>
                <w:rFonts w:asciiTheme="minorHAnsi" w:hAnsiTheme="minorHAnsi"/>
                <w:sz w:val="20"/>
                <w:szCs w:val="20"/>
              </w:rPr>
            </w:pPr>
            <w:r w:rsidRPr="00F917C9">
              <w:rPr>
                <w:rFonts w:asciiTheme="minorHAnsi" w:hAnsiTheme="minorHAnsi"/>
                <w:sz w:val="20"/>
                <w:szCs w:val="20"/>
              </w:rPr>
              <w:t>WHOIS Data Reminder Policy</w:t>
            </w:r>
          </w:p>
          <w:p w14:paraId="6517142C" w14:textId="4C401D4C" w:rsidR="00F917C9" w:rsidRPr="00F917C9" w:rsidRDefault="00F917C9" w:rsidP="00F917C9">
            <w:pPr>
              <w:pStyle w:val="ColorfulList-Accent11"/>
              <w:numPr>
                <w:ilvl w:val="0"/>
                <w:numId w:val="15"/>
              </w:numPr>
              <w:ind w:left="720"/>
              <w:rPr>
                <w:rFonts w:asciiTheme="minorHAnsi" w:hAnsiTheme="minorHAnsi"/>
                <w:sz w:val="20"/>
                <w:szCs w:val="20"/>
              </w:rPr>
            </w:pPr>
            <w:r w:rsidRPr="00F917C9">
              <w:rPr>
                <w:rFonts w:asciiTheme="minorHAnsi" w:hAnsiTheme="minorHAnsi"/>
                <w:sz w:val="20"/>
                <w:szCs w:val="20"/>
              </w:rPr>
              <w:t>Transfer Policy</w:t>
            </w:r>
          </w:p>
          <w:p w14:paraId="55F5DF6D" w14:textId="77777777" w:rsidR="00F917C9" w:rsidRDefault="00F917C9" w:rsidP="00F917C9">
            <w:pPr>
              <w:pStyle w:val="ColorfulList-Accent11"/>
              <w:numPr>
                <w:ilvl w:val="0"/>
                <w:numId w:val="15"/>
              </w:numPr>
              <w:ind w:left="720"/>
              <w:rPr>
                <w:rFonts w:asciiTheme="minorHAnsi" w:hAnsiTheme="minorHAnsi"/>
                <w:sz w:val="20"/>
                <w:szCs w:val="20"/>
              </w:rPr>
            </w:pPr>
            <w:r w:rsidRPr="00F917C9">
              <w:rPr>
                <w:rFonts w:asciiTheme="minorHAnsi" w:hAnsiTheme="minorHAnsi"/>
                <w:sz w:val="20"/>
                <w:szCs w:val="20"/>
              </w:rPr>
              <w:t>Uniform Rapid Suspension System (URS) Rules</w:t>
            </w:r>
          </w:p>
          <w:p w14:paraId="3007515A" w14:textId="77777777" w:rsidR="00F917C9" w:rsidRDefault="00F917C9" w:rsidP="00F917C9">
            <w:pPr>
              <w:pStyle w:val="ColorfulList-Accent11"/>
              <w:numPr>
                <w:ilvl w:val="0"/>
                <w:numId w:val="15"/>
              </w:numPr>
              <w:ind w:left="720"/>
              <w:rPr>
                <w:rFonts w:asciiTheme="minorHAnsi" w:hAnsiTheme="minorHAnsi"/>
                <w:sz w:val="20"/>
                <w:szCs w:val="20"/>
              </w:rPr>
            </w:pPr>
            <w:r w:rsidRPr="00F917C9">
              <w:rPr>
                <w:rFonts w:asciiTheme="minorHAnsi" w:hAnsiTheme="minorHAnsi"/>
                <w:sz w:val="20"/>
                <w:szCs w:val="20"/>
              </w:rPr>
              <w:t>Privacy &amp; Proxy Services Accreditation Issues Policy</w:t>
            </w:r>
          </w:p>
          <w:p w14:paraId="6364C598" w14:textId="77777777" w:rsidR="00F917C9" w:rsidRDefault="00F917C9" w:rsidP="00F917C9">
            <w:pPr>
              <w:pStyle w:val="ColorfulList-Accent11"/>
              <w:rPr>
                <w:rFonts w:asciiTheme="minorHAnsi" w:hAnsiTheme="minorHAnsi"/>
                <w:sz w:val="20"/>
                <w:szCs w:val="20"/>
              </w:rPr>
            </w:pPr>
          </w:p>
          <w:p w14:paraId="40CEAD54" w14:textId="4C60E258" w:rsidR="00F917C9" w:rsidRDefault="00F917C9" w:rsidP="00F917C9">
            <w:pPr>
              <w:pStyle w:val="ColorfulList-Accent11"/>
              <w:ind w:left="0"/>
              <w:rPr>
                <w:rFonts w:asciiTheme="minorHAnsi" w:hAnsiTheme="minorHAnsi"/>
                <w:sz w:val="20"/>
                <w:szCs w:val="20"/>
              </w:rPr>
            </w:pPr>
            <w:proofErr w:type="spellStart"/>
            <w:r w:rsidRPr="00F917C9">
              <w:rPr>
                <w:rFonts w:asciiTheme="minorHAnsi" w:hAnsiTheme="minorHAnsi"/>
                <w:sz w:val="20"/>
                <w:szCs w:val="20"/>
              </w:rPr>
              <w:t>MarkMonitor</w:t>
            </w:r>
            <w:proofErr w:type="spellEnd"/>
            <w:r w:rsidRPr="00F917C9">
              <w:rPr>
                <w:rFonts w:asciiTheme="minorHAnsi" w:hAnsiTheme="minorHAnsi"/>
                <w:sz w:val="20"/>
                <w:szCs w:val="20"/>
              </w:rPr>
              <w:t xml:space="preserve"> agrees overall with reviewing all existing ICANN Consensus Policies and implementation documents for consistency with final Consensus Policy on RDDS, although the specific contours may evolve by the time the final EPDP recommendations are adopted. For instance, the specific note about admin/technical contacts may not be the case, and we suggest that this text be deleted because it presupposes a final conclusion. </w:t>
            </w:r>
          </w:p>
          <w:p w14:paraId="3BD8321F" w14:textId="77777777" w:rsidR="00F917C9" w:rsidRPr="00F917C9" w:rsidRDefault="00F917C9" w:rsidP="00F917C9">
            <w:pPr>
              <w:pStyle w:val="ColorfulList-Accent11"/>
              <w:ind w:left="0"/>
              <w:rPr>
                <w:rFonts w:asciiTheme="minorHAnsi" w:hAnsiTheme="minorHAnsi"/>
                <w:sz w:val="20"/>
                <w:szCs w:val="20"/>
              </w:rPr>
            </w:pPr>
          </w:p>
          <w:p w14:paraId="35789D7D" w14:textId="7007952B" w:rsidR="00F917C9" w:rsidRPr="00F917C9" w:rsidRDefault="00F917C9" w:rsidP="00F917C9">
            <w:pPr>
              <w:pStyle w:val="ColorfulList-Accent11"/>
              <w:ind w:left="0"/>
              <w:rPr>
                <w:rFonts w:asciiTheme="minorHAnsi" w:hAnsiTheme="minorHAnsi"/>
                <w:sz w:val="20"/>
                <w:szCs w:val="20"/>
              </w:rPr>
            </w:pPr>
            <w:proofErr w:type="spellStart"/>
            <w:r w:rsidRPr="00F917C9">
              <w:rPr>
                <w:rFonts w:asciiTheme="minorHAnsi" w:hAnsiTheme="minorHAnsi"/>
                <w:sz w:val="20"/>
                <w:szCs w:val="20"/>
              </w:rPr>
              <w:t>MarkMonitor</w:t>
            </w:r>
            <w:proofErr w:type="spellEnd"/>
            <w:r w:rsidRPr="00F917C9">
              <w:rPr>
                <w:rFonts w:asciiTheme="minorHAnsi" w:hAnsiTheme="minorHAnsi"/>
                <w:sz w:val="20"/>
                <w:szCs w:val="20"/>
              </w:rPr>
              <w:t xml:space="preserve"> also proposes adding the PPSAI policy to this list. Even though it is still in implementation phase, it has still been adopted as ICANN Consensus Policy.</w:t>
            </w:r>
          </w:p>
        </w:tc>
        <w:tc>
          <w:tcPr>
            <w:tcW w:w="5357" w:type="dxa"/>
          </w:tcPr>
          <w:p w14:paraId="6F3E8179" w14:textId="5F0797C2" w:rsidR="00F917C9" w:rsidRPr="00F917C9" w:rsidRDefault="00F917C9" w:rsidP="003F540F">
            <w:pPr>
              <w:contextualSpacing/>
              <w:rPr>
                <w:rFonts w:asciiTheme="minorHAnsi" w:hAnsiTheme="minorHAnsi"/>
                <w:sz w:val="20"/>
                <w:szCs w:val="20"/>
              </w:rPr>
            </w:pPr>
            <w:r w:rsidRPr="00F917C9">
              <w:rPr>
                <w:rFonts w:asciiTheme="minorHAnsi" w:hAnsiTheme="minorHAnsi"/>
                <w:sz w:val="20"/>
                <w:szCs w:val="20"/>
              </w:rPr>
              <w:t xml:space="preserve">Brian King; </w:t>
            </w:r>
            <w:proofErr w:type="spellStart"/>
            <w:r w:rsidRPr="00F917C9">
              <w:rPr>
                <w:rFonts w:asciiTheme="minorHAnsi" w:hAnsiTheme="minorHAnsi"/>
                <w:sz w:val="20"/>
                <w:szCs w:val="20"/>
              </w:rPr>
              <w:t>MarkMonitor</w:t>
            </w:r>
            <w:proofErr w:type="spellEnd"/>
            <w:r w:rsidRPr="00F917C9">
              <w:rPr>
                <w:rFonts w:asciiTheme="minorHAnsi" w:hAnsiTheme="minorHAnsi"/>
                <w:sz w:val="20"/>
                <w:szCs w:val="20"/>
              </w:rPr>
              <w:t>, Inc., a Clarivate Analytics company</w:t>
            </w:r>
          </w:p>
        </w:tc>
        <w:tc>
          <w:tcPr>
            <w:tcW w:w="3502" w:type="dxa"/>
          </w:tcPr>
          <w:p w14:paraId="27173C5D"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41738A76"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0893A012"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27085CB"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1C97983" w14:textId="77777777" w:rsidR="00F917C9" w:rsidRPr="002860E2" w:rsidRDefault="00F917C9" w:rsidP="00F917C9">
            <w:pPr>
              <w:contextualSpacing/>
              <w:rPr>
                <w:rFonts w:asciiTheme="minorHAnsi" w:hAnsiTheme="minorHAnsi"/>
                <w:sz w:val="20"/>
                <w:szCs w:val="20"/>
              </w:rPr>
            </w:pPr>
          </w:p>
          <w:p w14:paraId="4BFA0095" w14:textId="39477C58" w:rsidR="00F917C9"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F917C9" w:rsidRPr="002860E2" w14:paraId="7B7F89F9" w14:textId="77777777" w:rsidTr="00F917C9">
        <w:trPr>
          <w:cantSplit/>
        </w:trPr>
        <w:tc>
          <w:tcPr>
            <w:tcW w:w="0" w:type="auto"/>
          </w:tcPr>
          <w:p w14:paraId="2B5760F7" w14:textId="1AAC6BEC" w:rsidR="00F917C9" w:rsidRDefault="00F917C9" w:rsidP="00F917C9">
            <w:pPr>
              <w:ind w:left="90"/>
              <w:contextualSpacing/>
              <w:rPr>
                <w:rFonts w:asciiTheme="minorHAnsi" w:hAnsiTheme="minorHAnsi"/>
                <w:b/>
                <w:sz w:val="20"/>
                <w:szCs w:val="20"/>
              </w:rPr>
            </w:pPr>
            <w:r>
              <w:rPr>
                <w:rFonts w:asciiTheme="minorHAnsi" w:hAnsiTheme="minorHAnsi"/>
                <w:b/>
                <w:sz w:val="20"/>
                <w:szCs w:val="20"/>
              </w:rPr>
              <w:t>11.</w:t>
            </w:r>
          </w:p>
        </w:tc>
        <w:tc>
          <w:tcPr>
            <w:tcW w:w="5859" w:type="dxa"/>
          </w:tcPr>
          <w:p w14:paraId="53C8E6C1" w14:textId="77777777" w:rsid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 xml:space="preserve">The remaining thin gTLD registries should be required to move to thick status, per the Thick WHOIS Consensus Policy and Board Resolution 2014.02.07.08.  </w:t>
            </w:r>
          </w:p>
          <w:p w14:paraId="614907C2" w14:textId="77777777" w:rsidR="00F917C9" w:rsidRDefault="00F917C9" w:rsidP="00F917C9">
            <w:pPr>
              <w:pStyle w:val="ColorfulList-Accent11"/>
              <w:ind w:left="0"/>
              <w:rPr>
                <w:rFonts w:asciiTheme="minorHAnsi" w:hAnsiTheme="minorHAnsi"/>
                <w:sz w:val="20"/>
                <w:szCs w:val="20"/>
              </w:rPr>
            </w:pPr>
          </w:p>
          <w:p w14:paraId="522FBB8C" w14:textId="47F21BF4"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See SSAC's SAC101 for rationale.</w:t>
            </w:r>
          </w:p>
        </w:tc>
        <w:tc>
          <w:tcPr>
            <w:tcW w:w="5357" w:type="dxa"/>
          </w:tcPr>
          <w:p w14:paraId="0C3ABF35" w14:textId="4D2E25C0" w:rsidR="00F917C9" w:rsidRPr="00F917C9" w:rsidRDefault="00F917C9" w:rsidP="003F540F">
            <w:pPr>
              <w:contextualSpacing/>
              <w:rPr>
                <w:rFonts w:asciiTheme="minorHAnsi" w:hAnsiTheme="minorHAnsi"/>
                <w:sz w:val="20"/>
                <w:szCs w:val="20"/>
              </w:rPr>
            </w:pPr>
            <w:r w:rsidRPr="00F917C9">
              <w:rPr>
                <w:rFonts w:asciiTheme="minorHAnsi" w:hAnsiTheme="minorHAnsi"/>
                <w:sz w:val="20"/>
                <w:szCs w:val="20"/>
              </w:rPr>
              <w:t xml:space="preserve">Greg Aaron; </w:t>
            </w:r>
            <w:proofErr w:type="spellStart"/>
            <w:r w:rsidRPr="00F917C9">
              <w:rPr>
                <w:rFonts w:asciiTheme="minorHAnsi" w:hAnsiTheme="minorHAnsi"/>
                <w:sz w:val="20"/>
                <w:szCs w:val="20"/>
              </w:rPr>
              <w:t>iThreat</w:t>
            </w:r>
            <w:proofErr w:type="spellEnd"/>
            <w:r w:rsidRPr="00F917C9">
              <w:rPr>
                <w:rFonts w:asciiTheme="minorHAnsi" w:hAnsiTheme="minorHAnsi"/>
                <w:sz w:val="20"/>
                <w:szCs w:val="20"/>
              </w:rPr>
              <w:t xml:space="preserve"> Cyber Group</w:t>
            </w:r>
          </w:p>
        </w:tc>
        <w:tc>
          <w:tcPr>
            <w:tcW w:w="3502" w:type="dxa"/>
          </w:tcPr>
          <w:p w14:paraId="3AB199A9"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4A60A8C2"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936F570"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C72B728"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7E961E7" w14:textId="77777777" w:rsidR="00F917C9" w:rsidRPr="002860E2" w:rsidRDefault="00F917C9" w:rsidP="00F917C9">
            <w:pPr>
              <w:contextualSpacing/>
              <w:rPr>
                <w:rFonts w:asciiTheme="minorHAnsi" w:hAnsiTheme="minorHAnsi"/>
                <w:sz w:val="20"/>
                <w:szCs w:val="20"/>
              </w:rPr>
            </w:pPr>
          </w:p>
          <w:p w14:paraId="44C60375" w14:textId="7F5DDC17" w:rsidR="00F917C9"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A87111" w:rsidRPr="002860E2" w14:paraId="48B0E8FF" w14:textId="77777777" w:rsidTr="00F917C9">
        <w:trPr>
          <w:cantSplit/>
        </w:trPr>
        <w:tc>
          <w:tcPr>
            <w:tcW w:w="15281" w:type="dxa"/>
            <w:gridSpan w:val="4"/>
            <w:shd w:val="clear" w:color="auto" w:fill="FFFF00"/>
          </w:tcPr>
          <w:p w14:paraId="519127CE" w14:textId="77777777" w:rsidR="00A87111" w:rsidRPr="008D7EE5" w:rsidRDefault="00A87111" w:rsidP="00A87111">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283FC8" w:rsidRPr="002860E2" w14:paraId="6F5951E0" w14:textId="77777777" w:rsidTr="00F917C9">
        <w:trPr>
          <w:cantSplit/>
          <w:trHeight w:val="341"/>
        </w:trPr>
        <w:tc>
          <w:tcPr>
            <w:tcW w:w="15281" w:type="dxa"/>
            <w:gridSpan w:val="4"/>
            <w:shd w:val="clear" w:color="auto" w:fill="FF0000"/>
          </w:tcPr>
          <w:p w14:paraId="6D123A73" w14:textId="221602C9" w:rsidR="00283FC8" w:rsidRPr="002860E2" w:rsidRDefault="00283FC8"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B3C04">
              <w:rPr>
                <w:rFonts w:asciiTheme="minorHAnsi" w:hAnsiTheme="minorHAnsi"/>
                <w:b/>
                <w:color w:val="FFFFFF" w:themeColor="background1"/>
                <w:sz w:val="22"/>
                <w:szCs w:val="22"/>
              </w:rPr>
              <w:t>Delete recommendation</w:t>
            </w:r>
          </w:p>
        </w:tc>
      </w:tr>
      <w:tr w:rsidR="00283FC8" w:rsidRPr="002860E2" w14:paraId="73970316" w14:textId="77777777" w:rsidTr="0022424B">
        <w:trPr>
          <w:cantSplit/>
        </w:trPr>
        <w:tc>
          <w:tcPr>
            <w:tcW w:w="0" w:type="auto"/>
            <w:gridSpan w:val="4"/>
            <w:shd w:val="clear" w:color="auto" w:fill="DEEAF6" w:themeFill="accent5" w:themeFillTint="33"/>
          </w:tcPr>
          <w:p w14:paraId="4C4E5170" w14:textId="77777777" w:rsidR="00283FC8" w:rsidRPr="002860E2" w:rsidRDefault="00283FC8" w:rsidP="00283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283FC8" w:rsidRPr="002860E2" w14:paraId="13081EEC" w14:textId="77777777" w:rsidTr="00F917C9">
        <w:trPr>
          <w:cantSplit/>
        </w:trPr>
        <w:tc>
          <w:tcPr>
            <w:tcW w:w="0" w:type="auto"/>
          </w:tcPr>
          <w:p w14:paraId="035E5530" w14:textId="77777777" w:rsidR="00283FC8" w:rsidRPr="002860E2" w:rsidRDefault="00283FC8" w:rsidP="00283FC8">
            <w:pPr>
              <w:numPr>
                <w:ilvl w:val="0"/>
                <w:numId w:val="1"/>
              </w:numPr>
              <w:contextualSpacing/>
              <w:rPr>
                <w:rFonts w:asciiTheme="minorHAnsi" w:hAnsiTheme="minorHAnsi"/>
                <w:b/>
                <w:sz w:val="20"/>
                <w:szCs w:val="20"/>
              </w:rPr>
            </w:pPr>
          </w:p>
        </w:tc>
        <w:tc>
          <w:tcPr>
            <w:tcW w:w="5859" w:type="dxa"/>
          </w:tcPr>
          <w:p w14:paraId="190AFF95" w14:textId="77777777" w:rsidR="00283FC8" w:rsidRPr="002860E2" w:rsidRDefault="00283FC8" w:rsidP="00283FC8">
            <w:pPr>
              <w:pStyle w:val="ColorfulList-Accent11"/>
              <w:ind w:left="0"/>
              <w:rPr>
                <w:rFonts w:asciiTheme="minorHAnsi" w:hAnsiTheme="minorHAnsi"/>
                <w:sz w:val="20"/>
                <w:szCs w:val="20"/>
              </w:rPr>
            </w:pPr>
          </w:p>
          <w:p w14:paraId="55FBA5A9" w14:textId="77777777" w:rsidR="00283FC8" w:rsidRPr="002860E2" w:rsidRDefault="00283FC8" w:rsidP="00283FC8">
            <w:pPr>
              <w:pStyle w:val="ColorfulList-Accent11"/>
              <w:ind w:left="0"/>
              <w:rPr>
                <w:rFonts w:asciiTheme="minorHAnsi" w:hAnsiTheme="minorHAnsi"/>
                <w:sz w:val="20"/>
                <w:szCs w:val="20"/>
              </w:rPr>
            </w:pPr>
          </w:p>
          <w:p w14:paraId="320F1684" w14:textId="77777777" w:rsidR="00283FC8" w:rsidRPr="002860E2" w:rsidRDefault="00283FC8" w:rsidP="00283FC8">
            <w:pPr>
              <w:pStyle w:val="ColorfulList-Accent11"/>
              <w:ind w:left="0"/>
              <w:rPr>
                <w:rFonts w:asciiTheme="minorHAnsi" w:hAnsiTheme="minorHAnsi"/>
                <w:sz w:val="20"/>
                <w:szCs w:val="20"/>
              </w:rPr>
            </w:pPr>
          </w:p>
        </w:tc>
        <w:tc>
          <w:tcPr>
            <w:tcW w:w="5357" w:type="dxa"/>
          </w:tcPr>
          <w:p w14:paraId="01DA1F59" w14:textId="77777777" w:rsidR="00283FC8" w:rsidRPr="002A5081" w:rsidRDefault="00283FC8" w:rsidP="00283FC8">
            <w:pPr>
              <w:pStyle w:val="ListParagraph"/>
              <w:numPr>
                <w:ilvl w:val="0"/>
                <w:numId w:val="7"/>
              </w:numPr>
              <w:contextualSpacing/>
              <w:rPr>
                <w:rFonts w:asciiTheme="minorHAnsi" w:hAnsiTheme="minorHAnsi"/>
                <w:sz w:val="20"/>
                <w:szCs w:val="20"/>
              </w:rPr>
            </w:pPr>
            <w:proofErr w:type="spellStart"/>
            <w:r w:rsidRPr="002A5081">
              <w:rPr>
                <w:rFonts w:asciiTheme="minorHAnsi" w:hAnsiTheme="minorHAnsi"/>
                <w:sz w:val="20"/>
                <w:szCs w:val="20"/>
              </w:rPr>
              <w:t>Sivasubramanian</w:t>
            </w:r>
            <w:proofErr w:type="spellEnd"/>
            <w:r w:rsidRPr="002A5081">
              <w:rPr>
                <w:rFonts w:asciiTheme="minorHAnsi" w:hAnsiTheme="minorHAnsi"/>
                <w:sz w:val="20"/>
                <w:szCs w:val="20"/>
              </w:rPr>
              <w:t xml:space="preserve"> Muthusamy; Internet Society India Chennai</w:t>
            </w:r>
          </w:p>
          <w:p w14:paraId="27F14E3C"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Lori Schulman Senior Director, Internet Policy; International Trademark Association (INTA)</w:t>
            </w:r>
          </w:p>
          <w:p w14:paraId="6F53106A"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 xml:space="preserve">George </w:t>
            </w:r>
            <w:proofErr w:type="spellStart"/>
            <w:r w:rsidRPr="002A5081">
              <w:rPr>
                <w:rFonts w:asciiTheme="minorHAnsi" w:hAnsiTheme="minorHAnsi"/>
                <w:sz w:val="20"/>
                <w:szCs w:val="20"/>
              </w:rPr>
              <w:t>Kirikos</w:t>
            </w:r>
            <w:proofErr w:type="spellEnd"/>
            <w:r w:rsidRPr="002A5081">
              <w:rPr>
                <w:rFonts w:asciiTheme="minorHAnsi" w:hAnsiTheme="minorHAnsi"/>
                <w:sz w:val="20"/>
                <w:szCs w:val="20"/>
              </w:rPr>
              <w:t>; Leap of Faith Financial Services Inc.</w:t>
            </w:r>
          </w:p>
          <w:p w14:paraId="60A9A153"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 xml:space="preserve">Tim Chen; </w:t>
            </w:r>
            <w:proofErr w:type="spellStart"/>
            <w:r w:rsidRPr="002A5081">
              <w:rPr>
                <w:rFonts w:asciiTheme="minorHAnsi" w:hAnsiTheme="minorHAnsi"/>
                <w:sz w:val="20"/>
                <w:szCs w:val="20"/>
              </w:rPr>
              <w:t>DomainTools</w:t>
            </w:r>
            <w:proofErr w:type="spellEnd"/>
          </w:p>
          <w:p w14:paraId="669EDFDE" w14:textId="2ABA2D44"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Mark Massey; Domain Name Rights Coalition</w:t>
            </w:r>
          </w:p>
          <w:p w14:paraId="77FF2502"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 xml:space="preserve">Steve </w:t>
            </w:r>
            <w:proofErr w:type="spellStart"/>
            <w:r w:rsidRPr="002A5081">
              <w:rPr>
                <w:rFonts w:asciiTheme="minorHAnsi" w:hAnsiTheme="minorHAnsi"/>
                <w:sz w:val="20"/>
                <w:szCs w:val="20"/>
              </w:rPr>
              <w:t>Gobin</w:t>
            </w:r>
            <w:proofErr w:type="spellEnd"/>
            <w:r w:rsidRPr="002A5081">
              <w:rPr>
                <w:rFonts w:asciiTheme="minorHAnsi" w:hAnsiTheme="minorHAnsi"/>
                <w:sz w:val="20"/>
                <w:szCs w:val="20"/>
              </w:rPr>
              <w:t>; Corporate domain name management</w:t>
            </w:r>
          </w:p>
          <w:p w14:paraId="123BA402"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Ashley Heineman; NTIA</w:t>
            </w:r>
          </w:p>
          <w:p w14:paraId="150F91F5"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Neil Fried; The Motion Picture Association of America</w:t>
            </w:r>
          </w:p>
          <w:p w14:paraId="115F2472" w14:textId="77777777" w:rsidR="00283FC8" w:rsidRPr="002A5081" w:rsidRDefault="00283FC8" w:rsidP="00283FC8">
            <w:pPr>
              <w:pStyle w:val="ListParagraph"/>
              <w:numPr>
                <w:ilvl w:val="0"/>
                <w:numId w:val="7"/>
              </w:numPr>
              <w:contextualSpacing/>
              <w:rPr>
                <w:rFonts w:asciiTheme="minorHAnsi" w:hAnsiTheme="minorHAnsi"/>
                <w:sz w:val="20"/>
                <w:szCs w:val="20"/>
              </w:rPr>
            </w:pPr>
            <w:proofErr w:type="spellStart"/>
            <w:r w:rsidRPr="002A5081">
              <w:rPr>
                <w:rFonts w:asciiTheme="minorHAnsi" w:hAnsiTheme="minorHAnsi"/>
                <w:sz w:val="20"/>
                <w:szCs w:val="20"/>
              </w:rPr>
              <w:t>Sajda</w:t>
            </w:r>
            <w:proofErr w:type="spellEnd"/>
            <w:r w:rsidRPr="002A5081">
              <w:rPr>
                <w:rFonts w:asciiTheme="minorHAnsi" w:hAnsiTheme="minorHAnsi"/>
                <w:sz w:val="20"/>
                <w:szCs w:val="20"/>
              </w:rPr>
              <w:t xml:space="preserve"> </w:t>
            </w:r>
            <w:proofErr w:type="spellStart"/>
            <w:r w:rsidRPr="002A5081">
              <w:rPr>
                <w:rFonts w:asciiTheme="minorHAnsi" w:hAnsiTheme="minorHAnsi"/>
                <w:sz w:val="20"/>
                <w:szCs w:val="20"/>
              </w:rPr>
              <w:t>Ouachtouki</w:t>
            </w:r>
            <w:proofErr w:type="spellEnd"/>
            <w:r w:rsidRPr="002A5081">
              <w:rPr>
                <w:rFonts w:asciiTheme="minorHAnsi" w:hAnsiTheme="minorHAnsi"/>
                <w:sz w:val="20"/>
                <w:szCs w:val="20"/>
              </w:rPr>
              <w:t>; The Walt Disney Company</w:t>
            </w:r>
          </w:p>
          <w:p w14:paraId="0A05E4FC"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 xml:space="preserve">Greg </w:t>
            </w:r>
            <w:proofErr w:type="spellStart"/>
            <w:r w:rsidRPr="002A5081">
              <w:rPr>
                <w:rFonts w:asciiTheme="minorHAnsi" w:hAnsiTheme="minorHAnsi"/>
                <w:sz w:val="20"/>
                <w:szCs w:val="20"/>
              </w:rPr>
              <w:t>Mounier</w:t>
            </w:r>
            <w:proofErr w:type="spellEnd"/>
            <w:r w:rsidRPr="002A5081">
              <w:rPr>
                <w:rFonts w:asciiTheme="minorHAnsi" w:hAnsiTheme="minorHAnsi"/>
                <w:sz w:val="20"/>
                <w:szCs w:val="20"/>
              </w:rPr>
              <w:t xml:space="preserve"> on behalf of Europol AGIS; Europol Advisory Group on Internet Security</w:t>
            </w:r>
          </w:p>
          <w:p w14:paraId="1F2E5A89"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 xml:space="preserve">Monique A. </w:t>
            </w:r>
            <w:proofErr w:type="spellStart"/>
            <w:r w:rsidRPr="002A5081">
              <w:rPr>
                <w:rFonts w:asciiTheme="minorHAnsi" w:hAnsiTheme="minorHAnsi"/>
                <w:sz w:val="20"/>
                <w:szCs w:val="20"/>
              </w:rPr>
              <w:t>Goeschl</w:t>
            </w:r>
            <w:proofErr w:type="spellEnd"/>
            <w:r w:rsidRPr="002A5081">
              <w:rPr>
                <w:rFonts w:asciiTheme="minorHAnsi" w:hAnsiTheme="minorHAnsi"/>
                <w:sz w:val="20"/>
                <w:szCs w:val="20"/>
              </w:rPr>
              <w:t xml:space="preserve">; </w:t>
            </w:r>
            <w:proofErr w:type="spellStart"/>
            <w:r w:rsidRPr="002A5081">
              <w:rPr>
                <w:rFonts w:asciiTheme="minorHAnsi" w:hAnsiTheme="minorHAnsi"/>
                <w:sz w:val="20"/>
                <w:szCs w:val="20"/>
              </w:rPr>
              <w:t>Verein</w:t>
            </w:r>
            <w:proofErr w:type="spellEnd"/>
            <w:r w:rsidRPr="002A5081">
              <w:rPr>
                <w:rFonts w:asciiTheme="minorHAnsi" w:hAnsiTheme="minorHAnsi"/>
                <w:sz w:val="20"/>
                <w:szCs w:val="20"/>
              </w:rPr>
              <w:t xml:space="preserve"> </w:t>
            </w:r>
            <w:proofErr w:type="spellStart"/>
            <w:r w:rsidRPr="002A5081">
              <w:rPr>
                <w:rFonts w:asciiTheme="minorHAnsi" w:hAnsiTheme="minorHAnsi"/>
                <w:sz w:val="20"/>
                <w:szCs w:val="20"/>
              </w:rPr>
              <w:t>für</w:t>
            </w:r>
            <w:proofErr w:type="spellEnd"/>
            <w:r w:rsidRPr="002A5081">
              <w:rPr>
                <w:rFonts w:asciiTheme="minorHAnsi" w:hAnsiTheme="minorHAnsi"/>
                <w:sz w:val="20"/>
                <w:szCs w:val="20"/>
              </w:rPr>
              <w:t xml:space="preserve"> Anti-</w:t>
            </w:r>
            <w:proofErr w:type="spellStart"/>
            <w:r w:rsidRPr="002A5081">
              <w:rPr>
                <w:rFonts w:asciiTheme="minorHAnsi" w:hAnsiTheme="minorHAnsi"/>
                <w:sz w:val="20"/>
                <w:szCs w:val="20"/>
              </w:rPr>
              <w:t>Piraterie</w:t>
            </w:r>
            <w:proofErr w:type="spellEnd"/>
            <w:r w:rsidRPr="002A5081">
              <w:rPr>
                <w:rFonts w:asciiTheme="minorHAnsi" w:hAnsiTheme="minorHAnsi"/>
                <w:sz w:val="20"/>
                <w:szCs w:val="20"/>
              </w:rPr>
              <w:t xml:space="preserve"> der Film- und </w:t>
            </w:r>
            <w:proofErr w:type="spellStart"/>
            <w:r w:rsidRPr="002A5081">
              <w:rPr>
                <w:rFonts w:asciiTheme="minorHAnsi" w:hAnsiTheme="minorHAnsi"/>
                <w:sz w:val="20"/>
                <w:szCs w:val="20"/>
              </w:rPr>
              <w:t>Videobranche</w:t>
            </w:r>
            <w:proofErr w:type="spellEnd"/>
            <w:r w:rsidRPr="002A5081">
              <w:rPr>
                <w:rFonts w:asciiTheme="minorHAnsi" w:hAnsiTheme="minorHAnsi"/>
                <w:sz w:val="20"/>
                <w:szCs w:val="20"/>
              </w:rPr>
              <w:t xml:space="preserve"> (VAP)</w:t>
            </w:r>
          </w:p>
          <w:p w14:paraId="5053FC15"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Fabien Betremieux; GAC</w:t>
            </w:r>
          </w:p>
          <w:p w14:paraId="40FA81F4"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Brian Beckham; Head, Internet Dispute Resolution Section at WIPO</w:t>
            </w:r>
          </w:p>
          <w:p w14:paraId="65583CB0"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Theo Geurts</w:t>
            </w:r>
          </w:p>
          <w:p w14:paraId="051D1DFB" w14:textId="77777777" w:rsidR="00283FC8" w:rsidRPr="002A5081" w:rsidRDefault="00283FC8" w:rsidP="00283FC8">
            <w:pPr>
              <w:pStyle w:val="ListParagraph"/>
              <w:numPr>
                <w:ilvl w:val="0"/>
                <w:numId w:val="7"/>
              </w:numPr>
              <w:contextualSpacing/>
              <w:rPr>
                <w:rFonts w:asciiTheme="minorHAnsi" w:hAnsiTheme="minorHAnsi"/>
                <w:sz w:val="20"/>
                <w:szCs w:val="20"/>
              </w:rPr>
            </w:pPr>
            <w:proofErr w:type="spellStart"/>
            <w:r w:rsidRPr="002A5081">
              <w:rPr>
                <w:rFonts w:asciiTheme="minorHAnsi" w:hAnsiTheme="minorHAnsi"/>
                <w:sz w:val="20"/>
                <w:szCs w:val="20"/>
              </w:rPr>
              <w:t>Ivett</w:t>
            </w:r>
            <w:proofErr w:type="spellEnd"/>
            <w:r w:rsidRPr="002A5081">
              <w:rPr>
                <w:rFonts w:asciiTheme="minorHAnsi" w:hAnsiTheme="minorHAnsi"/>
                <w:sz w:val="20"/>
                <w:szCs w:val="20"/>
              </w:rPr>
              <w:t xml:space="preserve"> </w:t>
            </w:r>
            <w:proofErr w:type="spellStart"/>
            <w:r w:rsidRPr="002A5081">
              <w:rPr>
                <w:rFonts w:asciiTheme="minorHAnsi" w:hAnsiTheme="minorHAnsi"/>
                <w:sz w:val="20"/>
                <w:szCs w:val="20"/>
              </w:rPr>
              <w:t>Paulovics</w:t>
            </w:r>
            <w:proofErr w:type="spellEnd"/>
            <w:r w:rsidRPr="002A5081">
              <w:rPr>
                <w:rFonts w:asciiTheme="minorHAnsi" w:hAnsiTheme="minorHAnsi"/>
                <w:sz w:val="20"/>
                <w:szCs w:val="20"/>
              </w:rPr>
              <w:t xml:space="preserve">; MFSD </w:t>
            </w:r>
            <w:proofErr w:type="spellStart"/>
            <w:r w:rsidRPr="002A5081">
              <w:rPr>
                <w:rFonts w:asciiTheme="minorHAnsi" w:hAnsiTheme="minorHAnsi"/>
                <w:sz w:val="20"/>
                <w:szCs w:val="20"/>
              </w:rPr>
              <w:t>Srl</w:t>
            </w:r>
            <w:proofErr w:type="spellEnd"/>
            <w:r w:rsidRPr="002A5081">
              <w:rPr>
                <w:rFonts w:asciiTheme="minorHAnsi" w:hAnsiTheme="minorHAnsi"/>
                <w:sz w:val="20"/>
                <w:szCs w:val="20"/>
              </w:rPr>
              <w:t xml:space="preserve"> URS Provider</w:t>
            </w:r>
          </w:p>
          <w:p w14:paraId="4913EB31"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 xml:space="preserve">Ashley Roberts; </w:t>
            </w:r>
            <w:proofErr w:type="spellStart"/>
            <w:r w:rsidRPr="002A5081">
              <w:rPr>
                <w:rFonts w:asciiTheme="minorHAnsi" w:hAnsiTheme="minorHAnsi"/>
                <w:sz w:val="20"/>
                <w:szCs w:val="20"/>
              </w:rPr>
              <w:t>Valideus</w:t>
            </w:r>
            <w:proofErr w:type="spellEnd"/>
          </w:p>
          <w:p w14:paraId="1C329BCE"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Renee Fossen; Forum - URS and UDRP Provider</w:t>
            </w:r>
          </w:p>
          <w:p w14:paraId="3E29AAAD" w14:textId="5C9001FB"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Stephanie Perrin</w:t>
            </w:r>
          </w:p>
        </w:tc>
        <w:tc>
          <w:tcPr>
            <w:tcW w:w="3502" w:type="dxa"/>
          </w:tcPr>
          <w:p w14:paraId="5F8583BD" w14:textId="77777777" w:rsidR="00283FC8" w:rsidRPr="002860E2" w:rsidRDefault="00283FC8" w:rsidP="00283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14:paraId="201BE226" w14:textId="77777777" w:rsidR="00283FC8" w:rsidRPr="002B3C04" w:rsidRDefault="00283FC8" w:rsidP="00283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14:paraId="68BF8247" w14:textId="77777777" w:rsidR="00283FC8" w:rsidRPr="002860E2" w:rsidRDefault="00283FC8" w:rsidP="00283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5F5B9A8" w14:textId="77777777" w:rsidR="00283FC8" w:rsidRPr="002B3C04" w:rsidRDefault="00283FC8" w:rsidP="00283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0EE03009" w14:textId="77777777" w:rsidR="00283FC8" w:rsidRPr="002860E2" w:rsidRDefault="00283FC8" w:rsidP="00283FC8">
            <w:pPr>
              <w:contextualSpacing/>
              <w:rPr>
                <w:rFonts w:asciiTheme="minorHAnsi" w:hAnsiTheme="minorHAnsi"/>
                <w:sz w:val="20"/>
                <w:szCs w:val="20"/>
              </w:rPr>
            </w:pPr>
          </w:p>
          <w:p w14:paraId="499F801E" w14:textId="77777777" w:rsidR="00283FC8" w:rsidRPr="002860E2" w:rsidRDefault="00283FC8" w:rsidP="00283FC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0702D73E" w14:textId="77777777" w:rsidR="00283FC8" w:rsidRPr="002860E2" w:rsidRDefault="00283FC8" w:rsidP="00283FC8">
            <w:pPr>
              <w:contextualSpacing/>
              <w:rPr>
                <w:rFonts w:asciiTheme="minorHAnsi" w:hAnsiTheme="minorHAnsi"/>
                <w:sz w:val="20"/>
                <w:szCs w:val="20"/>
              </w:rPr>
            </w:pPr>
          </w:p>
        </w:tc>
      </w:tr>
      <w:tr w:rsidR="00F917C9" w:rsidRPr="002860E2" w14:paraId="5EDAC9EA" w14:textId="77777777" w:rsidTr="00F917C9">
        <w:trPr>
          <w:cantSplit/>
        </w:trPr>
        <w:tc>
          <w:tcPr>
            <w:tcW w:w="15281" w:type="dxa"/>
            <w:gridSpan w:val="4"/>
            <w:shd w:val="clear" w:color="auto" w:fill="7F7F7F" w:themeFill="text1" w:themeFillTint="80"/>
          </w:tcPr>
          <w:p w14:paraId="5F872672" w14:textId="667EC9C4" w:rsidR="00F917C9" w:rsidRPr="002860E2" w:rsidRDefault="00F917C9" w:rsidP="00283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F917C9">
              <w:rPr>
                <w:rFonts w:asciiTheme="minorHAnsi" w:eastAsia="Times New Roman" w:hAnsiTheme="minorHAnsi"/>
                <w:color w:val="000000"/>
                <w:sz w:val="20"/>
                <w:szCs w:val="20"/>
              </w:rPr>
              <w:t>Enter any other additional comments or observations you have on Section 3: Other Recommendations that are not covered by these questions.</w:t>
            </w:r>
          </w:p>
        </w:tc>
      </w:tr>
      <w:tr w:rsidR="00F917C9" w:rsidRPr="002860E2" w14:paraId="16F051C3" w14:textId="77777777" w:rsidTr="00F917C9">
        <w:trPr>
          <w:cantSplit/>
        </w:trPr>
        <w:tc>
          <w:tcPr>
            <w:tcW w:w="0" w:type="auto"/>
          </w:tcPr>
          <w:p w14:paraId="3F89115F" w14:textId="77777777" w:rsidR="00F917C9" w:rsidRPr="002860E2" w:rsidRDefault="00F917C9" w:rsidP="00F917C9">
            <w:pPr>
              <w:numPr>
                <w:ilvl w:val="0"/>
                <w:numId w:val="1"/>
              </w:numPr>
              <w:contextualSpacing/>
              <w:rPr>
                <w:rFonts w:asciiTheme="minorHAnsi" w:hAnsiTheme="minorHAnsi"/>
                <w:b/>
                <w:sz w:val="20"/>
                <w:szCs w:val="20"/>
              </w:rPr>
            </w:pPr>
          </w:p>
        </w:tc>
        <w:tc>
          <w:tcPr>
            <w:tcW w:w="5859" w:type="dxa"/>
          </w:tcPr>
          <w:p w14:paraId="70C87F2F" w14:textId="745713DC"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ALAC would like to note that migration from thin to thick registries should be respected and that the registrars and registry operator of .COM, .NET and .</w:t>
            </w:r>
            <w:proofErr w:type="gramStart"/>
            <w:r w:rsidRPr="00F917C9">
              <w:rPr>
                <w:rFonts w:asciiTheme="minorHAnsi" w:hAnsiTheme="minorHAnsi"/>
                <w:sz w:val="20"/>
                <w:szCs w:val="20"/>
              </w:rPr>
              <w:t>JOBS  should</w:t>
            </w:r>
            <w:proofErr w:type="gramEnd"/>
            <w:r w:rsidRPr="00F917C9">
              <w:rPr>
                <w:rFonts w:asciiTheme="minorHAnsi" w:hAnsiTheme="minorHAnsi"/>
                <w:sz w:val="20"/>
                <w:szCs w:val="20"/>
              </w:rPr>
              <w:t xml:space="preserve"> comply with the announcement made by  ICANN on 25 October 2018 which states that</w:t>
            </w:r>
          </w:p>
          <w:p w14:paraId="56C41147" w14:textId="77777777" w:rsidR="00F917C9" w:rsidRPr="00F917C9" w:rsidRDefault="00F917C9" w:rsidP="00F917C9">
            <w:pPr>
              <w:pStyle w:val="ColorfulList-Accent11"/>
              <w:rPr>
                <w:rFonts w:asciiTheme="minorHAnsi" w:hAnsiTheme="minorHAnsi"/>
                <w:sz w:val="20"/>
                <w:szCs w:val="20"/>
              </w:rPr>
            </w:pPr>
            <w:r w:rsidRPr="00F917C9">
              <w:rPr>
                <w:rFonts w:asciiTheme="minorHAnsi" w:hAnsiTheme="minorHAnsi"/>
                <w:sz w:val="20"/>
                <w:szCs w:val="20"/>
              </w:rPr>
              <w:t>- By 31 May 2019: The registry operator must begin accepting Thick WHOIS data from registrars for existing registrations in .COM, .NET and .JOBS.</w:t>
            </w:r>
          </w:p>
          <w:p w14:paraId="3AD7BD84" w14:textId="77777777" w:rsidR="00F917C9" w:rsidRPr="00F917C9" w:rsidRDefault="00F917C9" w:rsidP="00F917C9">
            <w:pPr>
              <w:pStyle w:val="ColorfulList-Accent11"/>
              <w:rPr>
                <w:rFonts w:asciiTheme="minorHAnsi" w:hAnsiTheme="minorHAnsi"/>
                <w:sz w:val="20"/>
                <w:szCs w:val="20"/>
              </w:rPr>
            </w:pPr>
            <w:r w:rsidRPr="00F917C9">
              <w:rPr>
                <w:rFonts w:asciiTheme="minorHAnsi" w:hAnsiTheme="minorHAnsi"/>
                <w:sz w:val="20"/>
                <w:szCs w:val="20"/>
              </w:rPr>
              <w:t>- By 30 November 2019: All registrars must send Thick WHOIS data to the registry operator for all new registrations in .COM, .NET and .JOBS.</w:t>
            </w:r>
          </w:p>
          <w:p w14:paraId="018E39F0" w14:textId="4BA1D768" w:rsidR="00F917C9" w:rsidRDefault="00F917C9" w:rsidP="00F917C9">
            <w:pPr>
              <w:pStyle w:val="ColorfulList-Accent11"/>
              <w:rPr>
                <w:rFonts w:asciiTheme="minorHAnsi" w:hAnsiTheme="minorHAnsi"/>
                <w:sz w:val="20"/>
                <w:szCs w:val="20"/>
              </w:rPr>
            </w:pPr>
            <w:r w:rsidRPr="00F917C9">
              <w:rPr>
                <w:rFonts w:asciiTheme="minorHAnsi" w:hAnsiTheme="minorHAnsi"/>
                <w:sz w:val="20"/>
                <w:szCs w:val="20"/>
              </w:rPr>
              <w:t>- By 31 May 2020: All registrars are required to complete the transition to Thick WHOIS data for all registrations in .COM, .NET and .JOBS.</w:t>
            </w:r>
          </w:p>
          <w:p w14:paraId="1AD18D9F" w14:textId="77777777" w:rsidR="00F917C9" w:rsidRPr="00F917C9" w:rsidRDefault="00F917C9" w:rsidP="00F917C9">
            <w:pPr>
              <w:pStyle w:val="ColorfulList-Accent11"/>
              <w:rPr>
                <w:rFonts w:asciiTheme="minorHAnsi" w:hAnsiTheme="minorHAnsi"/>
                <w:sz w:val="20"/>
                <w:szCs w:val="20"/>
              </w:rPr>
            </w:pPr>
          </w:p>
          <w:p w14:paraId="086C2DB3" w14:textId="7432C242" w:rsidR="00F917C9" w:rsidRPr="002860E2"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 xml:space="preserve">The vast majority of gTLDs are thick, and unless ICANN will take action to change all of these to thin, the results of the Thick WHOIS PDP must be </w:t>
            </w:r>
            <w:proofErr w:type="spellStart"/>
            <w:r w:rsidRPr="00F917C9">
              <w:rPr>
                <w:rFonts w:asciiTheme="minorHAnsi" w:hAnsiTheme="minorHAnsi"/>
                <w:sz w:val="20"/>
                <w:szCs w:val="20"/>
              </w:rPr>
              <w:t>honoured</w:t>
            </w:r>
            <w:proofErr w:type="spellEnd"/>
            <w:r w:rsidRPr="00F917C9">
              <w:rPr>
                <w:rFonts w:asciiTheme="minorHAnsi" w:hAnsiTheme="minorHAnsi"/>
                <w:sz w:val="20"/>
                <w:szCs w:val="20"/>
              </w:rPr>
              <w:t>.</w:t>
            </w:r>
          </w:p>
        </w:tc>
        <w:tc>
          <w:tcPr>
            <w:tcW w:w="5357" w:type="dxa"/>
          </w:tcPr>
          <w:p w14:paraId="3921EABE" w14:textId="43FCE180" w:rsidR="00F917C9" w:rsidRPr="00F917C9" w:rsidRDefault="00F917C9" w:rsidP="00F917C9">
            <w:pPr>
              <w:contextualSpacing/>
              <w:rPr>
                <w:rFonts w:asciiTheme="minorHAnsi" w:hAnsiTheme="minorHAnsi"/>
                <w:sz w:val="20"/>
                <w:szCs w:val="20"/>
              </w:rPr>
            </w:pPr>
            <w:proofErr w:type="spellStart"/>
            <w:r w:rsidRPr="00F917C9">
              <w:rPr>
                <w:rFonts w:asciiTheme="minorHAnsi" w:hAnsiTheme="minorHAnsi"/>
                <w:sz w:val="20"/>
                <w:szCs w:val="20"/>
              </w:rPr>
              <w:t>Evin</w:t>
            </w:r>
            <w:proofErr w:type="spellEnd"/>
            <w:r w:rsidRPr="00F917C9">
              <w:rPr>
                <w:rFonts w:asciiTheme="minorHAnsi" w:hAnsiTheme="minorHAnsi"/>
                <w:sz w:val="20"/>
                <w:szCs w:val="20"/>
              </w:rPr>
              <w:t xml:space="preserve"> </w:t>
            </w:r>
            <w:proofErr w:type="spellStart"/>
            <w:r w:rsidRPr="00F917C9">
              <w:rPr>
                <w:rFonts w:asciiTheme="minorHAnsi" w:hAnsiTheme="minorHAnsi"/>
                <w:sz w:val="20"/>
                <w:szCs w:val="20"/>
              </w:rPr>
              <w:t>Erdoğdu</w:t>
            </w:r>
            <w:proofErr w:type="spellEnd"/>
            <w:r w:rsidRPr="00F917C9">
              <w:rPr>
                <w:rFonts w:asciiTheme="minorHAnsi" w:hAnsiTheme="minorHAnsi"/>
                <w:sz w:val="20"/>
                <w:szCs w:val="20"/>
              </w:rPr>
              <w:t>; ALAC</w:t>
            </w:r>
          </w:p>
        </w:tc>
        <w:tc>
          <w:tcPr>
            <w:tcW w:w="3502" w:type="dxa"/>
          </w:tcPr>
          <w:p w14:paraId="63E2C062"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0CFB4C71"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1FB0408D"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7A92F39"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0857AEB" w14:textId="77777777" w:rsidR="00F917C9" w:rsidRPr="002860E2" w:rsidRDefault="00F917C9" w:rsidP="00F917C9">
            <w:pPr>
              <w:contextualSpacing/>
              <w:rPr>
                <w:rFonts w:asciiTheme="minorHAnsi" w:hAnsiTheme="minorHAnsi"/>
                <w:sz w:val="20"/>
                <w:szCs w:val="20"/>
              </w:rPr>
            </w:pPr>
          </w:p>
          <w:p w14:paraId="65375622" w14:textId="5BC961B6"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F917C9" w:rsidRPr="002860E2" w14:paraId="5E83C995" w14:textId="77777777" w:rsidTr="00F917C9">
        <w:trPr>
          <w:cantSplit/>
        </w:trPr>
        <w:tc>
          <w:tcPr>
            <w:tcW w:w="0" w:type="auto"/>
          </w:tcPr>
          <w:p w14:paraId="625FA474" w14:textId="77777777" w:rsidR="00F917C9" w:rsidRPr="002860E2" w:rsidRDefault="00F917C9" w:rsidP="00F917C9">
            <w:pPr>
              <w:numPr>
                <w:ilvl w:val="0"/>
                <w:numId w:val="1"/>
              </w:numPr>
              <w:contextualSpacing/>
              <w:rPr>
                <w:rFonts w:asciiTheme="minorHAnsi" w:hAnsiTheme="minorHAnsi"/>
                <w:b/>
                <w:sz w:val="20"/>
                <w:szCs w:val="20"/>
              </w:rPr>
            </w:pPr>
          </w:p>
        </w:tc>
        <w:tc>
          <w:tcPr>
            <w:tcW w:w="5859" w:type="dxa"/>
          </w:tcPr>
          <w:p w14:paraId="3CDB1B3C" w14:textId="69BDB18C"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Thick WHOIS Transition Policy for .COM, .NET, .JOBS</w:t>
            </w:r>
          </w:p>
          <w:p w14:paraId="69E27AE8" w14:textId="77777777" w:rsidR="00F917C9" w:rsidRDefault="00F917C9" w:rsidP="00F917C9">
            <w:pPr>
              <w:pStyle w:val="ColorfulList-Accent11"/>
              <w:ind w:left="0"/>
              <w:rPr>
                <w:rFonts w:asciiTheme="minorHAnsi" w:hAnsiTheme="minorHAnsi"/>
                <w:sz w:val="20"/>
                <w:szCs w:val="20"/>
              </w:rPr>
            </w:pPr>
          </w:p>
          <w:p w14:paraId="3CB098B3" w14:textId="021139C9"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ongoing existence of thin Whois databases is demonstrable proof that ICANN’s mandate to protect the security, stability, and resilience of the Internet does NOT require the collection of personal data by registries. It may also point to the fact that it does not require the collection of personal data by registrars. ICANN should scrap any thick Whois transition for currently-thin registries and instead look to transition currently-thick registries to thin registries. Thick Whois is unnecessary for any TLD, including these. In this matter, the principle of data minimization is instructive: if the data are not necessary for provision of the service (as they are clearly not), it ought not be collected by the registry.</w:t>
            </w:r>
          </w:p>
          <w:p w14:paraId="209A12C2" w14:textId="77777777" w:rsidR="00F917C9" w:rsidRDefault="00F917C9" w:rsidP="00F917C9">
            <w:pPr>
              <w:pStyle w:val="ColorfulList-Accent11"/>
              <w:rPr>
                <w:rFonts w:asciiTheme="minorHAnsi" w:hAnsiTheme="minorHAnsi"/>
                <w:sz w:val="20"/>
                <w:szCs w:val="20"/>
              </w:rPr>
            </w:pPr>
          </w:p>
          <w:p w14:paraId="5DDEE4F1" w14:textId="2D513CE6"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Rules for Uniform Domain Name Dispute Resolution Policy</w:t>
            </w:r>
          </w:p>
          <w:p w14:paraId="6B454BF5" w14:textId="77777777" w:rsidR="00F917C9" w:rsidRDefault="00F917C9" w:rsidP="00F917C9">
            <w:pPr>
              <w:pStyle w:val="ColorfulList-Accent11"/>
              <w:ind w:left="0"/>
              <w:rPr>
                <w:rFonts w:asciiTheme="minorHAnsi" w:hAnsiTheme="minorHAnsi"/>
                <w:sz w:val="20"/>
                <w:szCs w:val="20"/>
              </w:rPr>
            </w:pPr>
          </w:p>
          <w:p w14:paraId="4B01CA31" w14:textId="3091FA8A"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 xml:space="preserve">Tucows notes that the URS procedures require communication by the vendor via secure means and note that this should be the standard for UDRP as well. Arbitration vendors are custodians of personal data and, as such, should only be communicating with contracted parties in a secure manner. Public PGP keys as are used by the URS vendors also help confirm the identity of a vendor. The URS rules are fine as </w:t>
            </w:r>
            <w:proofErr w:type="gramStart"/>
            <w:r w:rsidRPr="00F917C9">
              <w:rPr>
                <w:rFonts w:asciiTheme="minorHAnsi" w:hAnsiTheme="minorHAnsi"/>
                <w:sz w:val="20"/>
                <w:szCs w:val="20"/>
              </w:rPr>
              <w:t>is</w:t>
            </w:r>
            <w:proofErr w:type="gramEnd"/>
            <w:r w:rsidRPr="00F917C9">
              <w:rPr>
                <w:rFonts w:asciiTheme="minorHAnsi" w:hAnsiTheme="minorHAnsi"/>
                <w:sz w:val="20"/>
                <w:szCs w:val="20"/>
              </w:rPr>
              <w:t xml:space="preserve"> but this section should be extended to UDRP.</w:t>
            </w:r>
          </w:p>
          <w:p w14:paraId="72D575B3" w14:textId="77777777" w:rsidR="00F917C9" w:rsidRDefault="00F917C9" w:rsidP="00F917C9">
            <w:pPr>
              <w:pStyle w:val="ColorfulList-Accent11"/>
              <w:ind w:left="0"/>
              <w:rPr>
                <w:rFonts w:asciiTheme="minorHAnsi" w:hAnsiTheme="minorHAnsi"/>
                <w:sz w:val="20"/>
                <w:szCs w:val="20"/>
              </w:rPr>
            </w:pPr>
          </w:p>
          <w:p w14:paraId="1EB68F12" w14:textId="51CE4FBA"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WHOIS Data Reminder Policy</w:t>
            </w:r>
          </w:p>
          <w:p w14:paraId="330CACE6" w14:textId="77777777" w:rsidR="00F917C9" w:rsidRDefault="00F917C9" w:rsidP="00F917C9">
            <w:pPr>
              <w:pStyle w:val="ColorfulList-Accent11"/>
              <w:ind w:left="0"/>
              <w:rPr>
                <w:rFonts w:asciiTheme="minorHAnsi" w:hAnsiTheme="minorHAnsi"/>
                <w:sz w:val="20"/>
                <w:szCs w:val="20"/>
              </w:rPr>
            </w:pPr>
          </w:p>
          <w:p w14:paraId="5C9B7423" w14:textId="5C7FEF50"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Whois Data Reminder Policy can be understood to require that personal data be sent via email, which is an insecure and thus problematic medium for such data transmission. This policy should be amended to allow for more secure methods of reminding the RNH of their domain data, and to clearly not require the inclusion of data that is no longer required (as the Admin and Tech contacts may be, pending the outcome of this EPDP)</w:t>
            </w:r>
          </w:p>
          <w:p w14:paraId="458F09DF" w14:textId="77777777" w:rsidR="00F917C9" w:rsidRDefault="00F917C9" w:rsidP="00F917C9">
            <w:pPr>
              <w:pStyle w:val="ColorfulList-Accent11"/>
              <w:ind w:left="0"/>
              <w:rPr>
                <w:rFonts w:asciiTheme="minorHAnsi" w:hAnsiTheme="minorHAnsi"/>
                <w:sz w:val="20"/>
                <w:szCs w:val="20"/>
              </w:rPr>
            </w:pPr>
          </w:p>
          <w:p w14:paraId="52C3514F" w14:textId="0851CF6C"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Transfer Policy</w:t>
            </w:r>
          </w:p>
          <w:p w14:paraId="47889C0C" w14:textId="77777777" w:rsidR="00F917C9" w:rsidRDefault="00F917C9" w:rsidP="00F917C9">
            <w:pPr>
              <w:pStyle w:val="ColorfulList-Accent11"/>
              <w:ind w:left="0"/>
              <w:rPr>
                <w:rFonts w:asciiTheme="minorHAnsi" w:hAnsiTheme="minorHAnsi"/>
                <w:sz w:val="20"/>
                <w:szCs w:val="20"/>
              </w:rPr>
            </w:pPr>
          </w:p>
          <w:p w14:paraId="2A132170" w14:textId="1B7A8D3A"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TechOps Group has provided helpful instruction and we recommend that the EPDP and ICANN defer to their expert opinion.</w:t>
            </w:r>
          </w:p>
          <w:p w14:paraId="065C55FC" w14:textId="77777777" w:rsidR="00F917C9" w:rsidRDefault="00F917C9" w:rsidP="00F917C9">
            <w:pPr>
              <w:pStyle w:val="ColorfulList-Accent11"/>
              <w:ind w:left="0"/>
              <w:rPr>
                <w:rFonts w:asciiTheme="minorHAnsi" w:hAnsiTheme="minorHAnsi"/>
                <w:sz w:val="20"/>
                <w:szCs w:val="20"/>
              </w:rPr>
            </w:pPr>
          </w:p>
          <w:p w14:paraId="3AF68215" w14:textId="5ED7581E"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Uniform Rapid Suspension System (URS) Rules</w:t>
            </w:r>
          </w:p>
          <w:p w14:paraId="0A34D23B" w14:textId="112F6E9E" w:rsidR="00F917C9" w:rsidRPr="002860E2"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lastRenderedPageBreak/>
              <w:t>Because URS Rules for accommodate better privacy protections, Tucows notes recommends that certain of them (namely those that relate to public PGP keys) be extended to UDRP.</w:t>
            </w:r>
          </w:p>
        </w:tc>
        <w:tc>
          <w:tcPr>
            <w:tcW w:w="5357" w:type="dxa"/>
          </w:tcPr>
          <w:p w14:paraId="2771DDFA" w14:textId="7BEAD4CA" w:rsidR="00F917C9" w:rsidRPr="00F917C9" w:rsidRDefault="00F917C9" w:rsidP="00F917C9">
            <w:pPr>
              <w:contextualSpacing/>
              <w:rPr>
                <w:rFonts w:asciiTheme="minorHAnsi" w:hAnsiTheme="minorHAnsi"/>
                <w:sz w:val="20"/>
                <w:szCs w:val="20"/>
              </w:rPr>
            </w:pPr>
            <w:r w:rsidRPr="00F917C9">
              <w:rPr>
                <w:rFonts w:asciiTheme="minorHAnsi" w:hAnsiTheme="minorHAnsi"/>
                <w:sz w:val="20"/>
                <w:szCs w:val="20"/>
              </w:rPr>
              <w:lastRenderedPageBreak/>
              <w:t>Tucows Domains In</w:t>
            </w:r>
            <w:r w:rsidRPr="00F917C9">
              <w:rPr>
                <w:rFonts w:asciiTheme="minorHAnsi" w:hAnsiTheme="minorHAnsi"/>
                <w:sz w:val="20"/>
                <w:szCs w:val="20"/>
              </w:rPr>
              <w:t>c</w:t>
            </w:r>
            <w:r w:rsidRPr="00F917C9">
              <w:rPr>
                <w:rFonts w:asciiTheme="minorHAnsi" w:hAnsiTheme="minorHAnsi"/>
                <w:sz w:val="20"/>
                <w:szCs w:val="20"/>
              </w:rPr>
              <w:t>.</w:t>
            </w:r>
          </w:p>
        </w:tc>
        <w:tc>
          <w:tcPr>
            <w:tcW w:w="3502" w:type="dxa"/>
          </w:tcPr>
          <w:p w14:paraId="565D90AB"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tc>
      </w:tr>
      <w:tr w:rsidR="00F917C9" w:rsidRPr="002860E2" w14:paraId="066E6D00" w14:textId="77777777" w:rsidTr="00F917C9">
        <w:trPr>
          <w:cantSplit/>
        </w:trPr>
        <w:tc>
          <w:tcPr>
            <w:tcW w:w="0" w:type="auto"/>
          </w:tcPr>
          <w:p w14:paraId="06366888" w14:textId="77777777" w:rsidR="00F917C9" w:rsidRPr="002860E2" w:rsidRDefault="00F917C9" w:rsidP="00F917C9">
            <w:pPr>
              <w:numPr>
                <w:ilvl w:val="0"/>
                <w:numId w:val="1"/>
              </w:numPr>
              <w:contextualSpacing/>
              <w:rPr>
                <w:rFonts w:asciiTheme="minorHAnsi" w:hAnsiTheme="minorHAnsi"/>
                <w:b/>
                <w:sz w:val="20"/>
                <w:szCs w:val="20"/>
              </w:rPr>
            </w:pPr>
          </w:p>
        </w:tc>
        <w:tc>
          <w:tcPr>
            <w:tcW w:w="5859" w:type="dxa"/>
          </w:tcPr>
          <w:p w14:paraId="7054D923" w14:textId="31492757"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transition of com, net and .jobs to "thick" should be stopped. They should remain as thin registries.</w:t>
            </w:r>
          </w:p>
        </w:tc>
        <w:tc>
          <w:tcPr>
            <w:tcW w:w="5357" w:type="dxa"/>
          </w:tcPr>
          <w:p w14:paraId="021AF93D" w14:textId="072017E9" w:rsidR="00F917C9" w:rsidRPr="00F917C9" w:rsidRDefault="00F917C9" w:rsidP="00F917C9">
            <w:pPr>
              <w:contextualSpacing/>
              <w:rPr>
                <w:rFonts w:asciiTheme="minorHAnsi" w:hAnsiTheme="minorHAnsi"/>
                <w:sz w:val="20"/>
                <w:szCs w:val="20"/>
              </w:rPr>
            </w:pPr>
            <w:r w:rsidRPr="00F917C9">
              <w:rPr>
                <w:rFonts w:asciiTheme="minorHAnsi" w:hAnsiTheme="minorHAnsi"/>
                <w:sz w:val="20"/>
                <w:szCs w:val="20"/>
              </w:rPr>
              <w:t xml:space="preserve">Michele Neylon; </w:t>
            </w:r>
            <w:proofErr w:type="spellStart"/>
            <w:r w:rsidRPr="00F917C9">
              <w:rPr>
                <w:rFonts w:asciiTheme="minorHAnsi" w:hAnsiTheme="minorHAnsi"/>
                <w:sz w:val="20"/>
                <w:szCs w:val="20"/>
              </w:rPr>
              <w:t>Blacknight</w:t>
            </w:r>
            <w:proofErr w:type="spellEnd"/>
            <w:r w:rsidRPr="00F917C9">
              <w:rPr>
                <w:rFonts w:asciiTheme="minorHAnsi" w:hAnsiTheme="minorHAnsi"/>
                <w:sz w:val="20"/>
                <w:szCs w:val="20"/>
              </w:rPr>
              <w:t xml:space="preserve"> Internet Solutions Ltd</w:t>
            </w:r>
          </w:p>
        </w:tc>
        <w:tc>
          <w:tcPr>
            <w:tcW w:w="3502" w:type="dxa"/>
          </w:tcPr>
          <w:p w14:paraId="5FD84225"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tc>
      </w:tr>
    </w:tbl>
    <w:p w14:paraId="3996FC75" w14:textId="77777777" w:rsidR="00F7266B" w:rsidRPr="002860E2" w:rsidRDefault="00F7266B" w:rsidP="00F7266B">
      <w:pPr>
        <w:rPr>
          <w:rFonts w:asciiTheme="minorHAnsi" w:hAnsiTheme="minorHAnsi"/>
        </w:rPr>
      </w:pPr>
    </w:p>
    <w:p w14:paraId="705FDB3C" w14:textId="77777777" w:rsidR="00F7266B" w:rsidRDefault="00F7266B" w:rsidP="00F7266B"/>
    <w:p w14:paraId="286A789F" w14:textId="77777777" w:rsidR="00404709" w:rsidRDefault="00404709"/>
    <w:sectPr w:rsidR="00404709" w:rsidSect="00AA0B8D">
      <w:footerReference w:type="default" r:id="rId8"/>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75696" w14:textId="77777777" w:rsidR="000E5026" w:rsidRDefault="000E5026">
      <w:r>
        <w:separator/>
      </w:r>
    </w:p>
  </w:endnote>
  <w:endnote w:type="continuationSeparator" w:id="0">
    <w:p w14:paraId="78B2B69C" w14:textId="77777777" w:rsidR="000E5026" w:rsidRDefault="000E5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08AE8" w14:textId="77777777" w:rsidR="00EC2C46" w:rsidRDefault="00A87111">
    <w:pPr>
      <w:pStyle w:val="Footer"/>
      <w:jc w:val="center"/>
    </w:pPr>
    <w:r>
      <w:fldChar w:fldCharType="begin"/>
    </w:r>
    <w:r>
      <w:instrText xml:space="preserve"> PAGE   \* MERGEFORMAT </w:instrText>
    </w:r>
    <w:r>
      <w:fldChar w:fldCharType="separate"/>
    </w:r>
    <w:r>
      <w:rPr>
        <w:noProof/>
      </w:rPr>
      <w:t>6</w:t>
    </w:r>
    <w:r>
      <w:rPr>
        <w:noProof/>
      </w:rPr>
      <w:fldChar w:fldCharType="end"/>
    </w:r>
  </w:p>
  <w:p w14:paraId="593DDA0B" w14:textId="77777777" w:rsidR="00EC2C46" w:rsidRDefault="000E50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FC655C" w14:textId="77777777" w:rsidR="000E5026" w:rsidRDefault="000E5026">
      <w:r>
        <w:separator/>
      </w:r>
    </w:p>
  </w:footnote>
  <w:footnote w:type="continuationSeparator" w:id="0">
    <w:p w14:paraId="7C431E9A" w14:textId="77777777" w:rsidR="000E5026" w:rsidRDefault="000E50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86C42"/>
    <w:multiLevelType w:val="hybridMultilevel"/>
    <w:tmpl w:val="839A358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16714D"/>
    <w:multiLevelType w:val="hybridMultilevel"/>
    <w:tmpl w:val="AFF4AD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4140574"/>
    <w:multiLevelType w:val="hybridMultilevel"/>
    <w:tmpl w:val="BC5E0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A836C0"/>
    <w:multiLevelType w:val="hybridMultilevel"/>
    <w:tmpl w:val="3FD662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4B60AC1"/>
    <w:multiLevelType w:val="hybridMultilevel"/>
    <w:tmpl w:val="63AEA996"/>
    <w:lvl w:ilvl="0" w:tplc="04090001">
      <w:start w:val="1"/>
      <w:numFmt w:val="bullet"/>
      <w:lvlText w:val=""/>
      <w:lvlJc w:val="left"/>
      <w:pPr>
        <w:ind w:left="450" w:hanging="360"/>
      </w:pPr>
      <w:rPr>
        <w:rFonts w:ascii="Symbol" w:hAnsi="Symbol" w:hint="default"/>
      </w:rPr>
    </w:lvl>
    <w:lvl w:ilvl="1" w:tplc="AA20F8F2">
      <w:start w:val="1"/>
      <w:numFmt w:val="upperLetter"/>
      <w:lvlText w:val="%2."/>
      <w:lvlJc w:val="left"/>
      <w:pPr>
        <w:ind w:left="1440" w:hanging="360"/>
      </w:pPr>
      <w:rPr>
        <w:rFonts w:hint="default"/>
      </w:rPr>
    </w:lvl>
    <w:lvl w:ilvl="2" w:tplc="89AE5916">
      <w:start w:val="1"/>
      <w:numFmt w:val="bullet"/>
      <w:lvlText w:val="•"/>
      <w:lvlJc w:val="left"/>
      <w:pPr>
        <w:ind w:left="2440" w:hanging="460"/>
      </w:pPr>
      <w:rPr>
        <w:rFonts w:ascii="Calibri" w:eastAsia="Cambria" w:hAnsi="Calibri" w:cs="Times New Roman" w:hint="default"/>
      </w:rPr>
    </w:lvl>
    <w:lvl w:ilvl="3" w:tplc="D8B06660">
      <w:start w:val="1"/>
      <w:numFmt w:val="bullet"/>
      <w:lvlText w:val="·"/>
      <w:lvlJc w:val="left"/>
      <w:pPr>
        <w:ind w:left="2980" w:hanging="460"/>
      </w:pPr>
      <w:rPr>
        <w:rFonts w:ascii="Calibri" w:eastAsia="Cambria" w:hAnsi="Calibri"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1C28C8"/>
    <w:multiLevelType w:val="hybridMultilevel"/>
    <w:tmpl w:val="60ECAC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EAF1241"/>
    <w:multiLevelType w:val="hybridMultilevel"/>
    <w:tmpl w:val="EE142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533112"/>
    <w:multiLevelType w:val="hybridMultilevel"/>
    <w:tmpl w:val="43301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485527F"/>
    <w:multiLevelType w:val="hybridMultilevel"/>
    <w:tmpl w:val="94F85C8A"/>
    <w:lvl w:ilvl="0" w:tplc="2AF695F0">
      <w:start w:val="1"/>
      <w:numFmt w:val="bullet"/>
      <w:lvlText w:val="•"/>
      <w:lvlJc w:val="left"/>
      <w:pPr>
        <w:ind w:left="1440" w:hanging="720"/>
      </w:pPr>
      <w:rPr>
        <w:rFonts w:ascii="Calibri" w:eastAsia="Cambria"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8743E8F"/>
    <w:multiLevelType w:val="hybridMultilevel"/>
    <w:tmpl w:val="8626DB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EF4040"/>
    <w:multiLevelType w:val="hybridMultilevel"/>
    <w:tmpl w:val="11CAE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7E40207"/>
    <w:multiLevelType w:val="hybridMultilevel"/>
    <w:tmpl w:val="E6549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6B4D16"/>
    <w:multiLevelType w:val="hybridMultilevel"/>
    <w:tmpl w:val="3E862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016E56"/>
    <w:multiLevelType w:val="hybridMultilevel"/>
    <w:tmpl w:val="8362D6F4"/>
    <w:lvl w:ilvl="0" w:tplc="E98886BA">
      <w:start w:val="1"/>
      <w:numFmt w:val="decimal"/>
      <w:lvlText w:val="%1."/>
      <w:lvlJc w:val="left"/>
      <w:pPr>
        <w:ind w:left="810" w:hanging="720"/>
      </w:pPr>
      <w:rPr>
        <w:rFonts w:hint="default"/>
      </w:rPr>
    </w:lvl>
    <w:lvl w:ilvl="1" w:tplc="AA20F8F2">
      <w:start w:val="1"/>
      <w:numFmt w:val="upperLetter"/>
      <w:lvlText w:val="%2."/>
      <w:lvlJc w:val="left"/>
      <w:pPr>
        <w:ind w:left="1440" w:hanging="360"/>
      </w:pPr>
      <w:rPr>
        <w:rFonts w:hint="default"/>
      </w:rPr>
    </w:lvl>
    <w:lvl w:ilvl="2" w:tplc="89AE5916">
      <w:start w:val="1"/>
      <w:numFmt w:val="bullet"/>
      <w:lvlText w:val="•"/>
      <w:lvlJc w:val="left"/>
      <w:pPr>
        <w:ind w:left="2440" w:hanging="460"/>
      </w:pPr>
      <w:rPr>
        <w:rFonts w:ascii="Calibri" w:eastAsia="Cambria" w:hAnsi="Calibri" w:cs="Times New Roman" w:hint="default"/>
      </w:rPr>
    </w:lvl>
    <w:lvl w:ilvl="3" w:tplc="D8B06660">
      <w:start w:val="1"/>
      <w:numFmt w:val="bullet"/>
      <w:lvlText w:val="·"/>
      <w:lvlJc w:val="left"/>
      <w:pPr>
        <w:ind w:left="2980" w:hanging="460"/>
      </w:pPr>
      <w:rPr>
        <w:rFonts w:ascii="Calibri" w:eastAsia="Cambria" w:hAnsi="Calibri"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D16E25"/>
    <w:multiLevelType w:val="hybridMultilevel"/>
    <w:tmpl w:val="98A2F3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7"/>
  </w:num>
  <w:num w:numId="3">
    <w:abstractNumId w:val="2"/>
  </w:num>
  <w:num w:numId="4">
    <w:abstractNumId w:val="11"/>
  </w:num>
  <w:num w:numId="5">
    <w:abstractNumId w:val="5"/>
  </w:num>
  <w:num w:numId="6">
    <w:abstractNumId w:val="14"/>
  </w:num>
  <w:num w:numId="7">
    <w:abstractNumId w:val="3"/>
  </w:num>
  <w:num w:numId="8">
    <w:abstractNumId w:val="6"/>
  </w:num>
  <w:num w:numId="9">
    <w:abstractNumId w:val="1"/>
  </w:num>
  <w:num w:numId="10">
    <w:abstractNumId w:val="10"/>
  </w:num>
  <w:num w:numId="11">
    <w:abstractNumId w:val="9"/>
  </w:num>
  <w:num w:numId="12">
    <w:abstractNumId w:val="0"/>
  </w:num>
  <w:num w:numId="13">
    <w:abstractNumId w:val="4"/>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66B"/>
    <w:rsid w:val="00050B5B"/>
    <w:rsid w:val="00060691"/>
    <w:rsid w:val="00064A4B"/>
    <w:rsid w:val="000E5026"/>
    <w:rsid w:val="00253595"/>
    <w:rsid w:val="00283FC8"/>
    <w:rsid w:val="00287321"/>
    <w:rsid w:val="002A5081"/>
    <w:rsid w:val="00301A08"/>
    <w:rsid w:val="003F540F"/>
    <w:rsid w:val="00404709"/>
    <w:rsid w:val="00440337"/>
    <w:rsid w:val="00440B65"/>
    <w:rsid w:val="005126F8"/>
    <w:rsid w:val="00631EA4"/>
    <w:rsid w:val="00660D47"/>
    <w:rsid w:val="008573C9"/>
    <w:rsid w:val="00914CE1"/>
    <w:rsid w:val="00A755C1"/>
    <w:rsid w:val="00A87111"/>
    <w:rsid w:val="00B60995"/>
    <w:rsid w:val="00BE2C60"/>
    <w:rsid w:val="00C0090B"/>
    <w:rsid w:val="00D454F2"/>
    <w:rsid w:val="00D976CF"/>
    <w:rsid w:val="00DA70C9"/>
    <w:rsid w:val="00DC58CE"/>
    <w:rsid w:val="00EE39BE"/>
    <w:rsid w:val="00F51FE4"/>
    <w:rsid w:val="00F56E30"/>
    <w:rsid w:val="00F7266B"/>
    <w:rsid w:val="00F917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A06F5"/>
  <w15:chartTrackingRefBased/>
  <w15:docId w15:val="{F52C72A4-D3F6-5149-8A18-8A6697020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7266B"/>
    <w:rPr>
      <w:rFonts w:ascii="Cambria" w:eastAsia="MS Mincho" w:hAnsi="Cambria" w:cs="Times New Roman"/>
    </w:rPr>
  </w:style>
  <w:style w:type="paragraph" w:styleId="Heading1">
    <w:name w:val="heading 1"/>
    <w:basedOn w:val="Normal"/>
    <w:next w:val="Normal"/>
    <w:link w:val="Heading1Char"/>
    <w:uiPriority w:val="9"/>
    <w:qFormat/>
    <w:rsid w:val="00F7266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266B"/>
    <w:rPr>
      <w:rFonts w:ascii="Cambria" w:eastAsia="Times New Roman" w:hAnsi="Cambria" w:cs="Times New Roman"/>
      <w:b/>
      <w:bCs/>
      <w:kern w:val="32"/>
      <w:sz w:val="32"/>
      <w:szCs w:val="32"/>
    </w:rPr>
  </w:style>
  <w:style w:type="paragraph" w:customStyle="1" w:styleId="ColorfulList-Accent11">
    <w:name w:val="Colorful List - Accent 11"/>
    <w:basedOn w:val="Normal"/>
    <w:uiPriority w:val="34"/>
    <w:qFormat/>
    <w:rsid w:val="00F7266B"/>
    <w:pPr>
      <w:ind w:left="720"/>
      <w:contextualSpacing/>
    </w:pPr>
    <w:rPr>
      <w:rFonts w:eastAsia="Cambria"/>
    </w:rPr>
  </w:style>
  <w:style w:type="paragraph" w:styleId="ListParagraph">
    <w:name w:val="List Paragraph"/>
    <w:basedOn w:val="Normal"/>
    <w:uiPriority w:val="34"/>
    <w:qFormat/>
    <w:rsid w:val="00F7266B"/>
    <w:pPr>
      <w:ind w:left="720"/>
    </w:pPr>
    <w:rPr>
      <w:rFonts w:ascii="Calibri" w:eastAsia="Calibri" w:hAnsi="Calibri"/>
      <w:sz w:val="22"/>
      <w:szCs w:val="22"/>
    </w:rPr>
  </w:style>
  <w:style w:type="paragraph" w:styleId="Footer">
    <w:name w:val="footer"/>
    <w:basedOn w:val="Normal"/>
    <w:link w:val="FooterChar"/>
    <w:uiPriority w:val="99"/>
    <w:unhideWhenUsed/>
    <w:rsid w:val="00F7266B"/>
    <w:pPr>
      <w:tabs>
        <w:tab w:val="center" w:pos="4680"/>
        <w:tab w:val="right" w:pos="9360"/>
      </w:tabs>
    </w:pPr>
  </w:style>
  <w:style w:type="character" w:customStyle="1" w:styleId="FooterChar">
    <w:name w:val="Footer Char"/>
    <w:basedOn w:val="DefaultParagraphFont"/>
    <w:link w:val="Footer"/>
    <w:uiPriority w:val="99"/>
    <w:rsid w:val="00F7266B"/>
    <w:rPr>
      <w:rFonts w:ascii="Cambria" w:eastAsia="MS Mincho" w:hAnsi="Cambria" w:cs="Times New Roman"/>
    </w:rPr>
  </w:style>
  <w:style w:type="character" w:styleId="Hyperlink">
    <w:name w:val="Hyperlink"/>
    <w:basedOn w:val="DefaultParagraphFont"/>
    <w:uiPriority w:val="99"/>
    <w:unhideWhenUsed/>
    <w:rsid w:val="00F726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47826">
      <w:bodyDiv w:val="1"/>
      <w:marLeft w:val="0"/>
      <w:marRight w:val="0"/>
      <w:marTop w:val="0"/>
      <w:marBottom w:val="0"/>
      <w:divBdr>
        <w:top w:val="none" w:sz="0" w:space="0" w:color="auto"/>
        <w:left w:val="none" w:sz="0" w:space="0" w:color="auto"/>
        <w:bottom w:val="none" w:sz="0" w:space="0" w:color="auto"/>
        <w:right w:val="none" w:sz="0" w:space="0" w:color="auto"/>
      </w:divBdr>
    </w:div>
    <w:div w:id="140268772">
      <w:bodyDiv w:val="1"/>
      <w:marLeft w:val="0"/>
      <w:marRight w:val="0"/>
      <w:marTop w:val="0"/>
      <w:marBottom w:val="0"/>
      <w:divBdr>
        <w:top w:val="none" w:sz="0" w:space="0" w:color="auto"/>
        <w:left w:val="none" w:sz="0" w:space="0" w:color="auto"/>
        <w:bottom w:val="none" w:sz="0" w:space="0" w:color="auto"/>
        <w:right w:val="none" w:sz="0" w:space="0" w:color="auto"/>
      </w:divBdr>
    </w:div>
    <w:div w:id="201477039">
      <w:bodyDiv w:val="1"/>
      <w:marLeft w:val="0"/>
      <w:marRight w:val="0"/>
      <w:marTop w:val="0"/>
      <w:marBottom w:val="0"/>
      <w:divBdr>
        <w:top w:val="none" w:sz="0" w:space="0" w:color="auto"/>
        <w:left w:val="none" w:sz="0" w:space="0" w:color="auto"/>
        <w:bottom w:val="none" w:sz="0" w:space="0" w:color="auto"/>
        <w:right w:val="none" w:sz="0" w:space="0" w:color="auto"/>
      </w:divBdr>
    </w:div>
    <w:div w:id="219756687">
      <w:bodyDiv w:val="1"/>
      <w:marLeft w:val="0"/>
      <w:marRight w:val="0"/>
      <w:marTop w:val="0"/>
      <w:marBottom w:val="0"/>
      <w:divBdr>
        <w:top w:val="none" w:sz="0" w:space="0" w:color="auto"/>
        <w:left w:val="none" w:sz="0" w:space="0" w:color="auto"/>
        <w:bottom w:val="none" w:sz="0" w:space="0" w:color="auto"/>
        <w:right w:val="none" w:sz="0" w:space="0" w:color="auto"/>
      </w:divBdr>
    </w:div>
    <w:div w:id="220020039">
      <w:bodyDiv w:val="1"/>
      <w:marLeft w:val="0"/>
      <w:marRight w:val="0"/>
      <w:marTop w:val="0"/>
      <w:marBottom w:val="0"/>
      <w:divBdr>
        <w:top w:val="none" w:sz="0" w:space="0" w:color="auto"/>
        <w:left w:val="none" w:sz="0" w:space="0" w:color="auto"/>
        <w:bottom w:val="none" w:sz="0" w:space="0" w:color="auto"/>
        <w:right w:val="none" w:sz="0" w:space="0" w:color="auto"/>
      </w:divBdr>
    </w:div>
    <w:div w:id="249898546">
      <w:bodyDiv w:val="1"/>
      <w:marLeft w:val="0"/>
      <w:marRight w:val="0"/>
      <w:marTop w:val="0"/>
      <w:marBottom w:val="0"/>
      <w:divBdr>
        <w:top w:val="none" w:sz="0" w:space="0" w:color="auto"/>
        <w:left w:val="none" w:sz="0" w:space="0" w:color="auto"/>
        <w:bottom w:val="none" w:sz="0" w:space="0" w:color="auto"/>
        <w:right w:val="none" w:sz="0" w:space="0" w:color="auto"/>
      </w:divBdr>
    </w:div>
    <w:div w:id="289943142">
      <w:bodyDiv w:val="1"/>
      <w:marLeft w:val="0"/>
      <w:marRight w:val="0"/>
      <w:marTop w:val="0"/>
      <w:marBottom w:val="0"/>
      <w:divBdr>
        <w:top w:val="none" w:sz="0" w:space="0" w:color="auto"/>
        <w:left w:val="none" w:sz="0" w:space="0" w:color="auto"/>
        <w:bottom w:val="none" w:sz="0" w:space="0" w:color="auto"/>
        <w:right w:val="none" w:sz="0" w:space="0" w:color="auto"/>
      </w:divBdr>
    </w:div>
    <w:div w:id="298921443">
      <w:bodyDiv w:val="1"/>
      <w:marLeft w:val="0"/>
      <w:marRight w:val="0"/>
      <w:marTop w:val="0"/>
      <w:marBottom w:val="0"/>
      <w:divBdr>
        <w:top w:val="none" w:sz="0" w:space="0" w:color="auto"/>
        <w:left w:val="none" w:sz="0" w:space="0" w:color="auto"/>
        <w:bottom w:val="none" w:sz="0" w:space="0" w:color="auto"/>
        <w:right w:val="none" w:sz="0" w:space="0" w:color="auto"/>
      </w:divBdr>
    </w:div>
    <w:div w:id="330525178">
      <w:bodyDiv w:val="1"/>
      <w:marLeft w:val="0"/>
      <w:marRight w:val="0"/>
      <w:marTop w:val="0"/>
      <w:marBottom w:val="0"/>
      <w:divBdr>
        <w:top w:val="none" w:sz="0" w:space="0" w:color="auto"/>
        <w:left w:val="none" w:sz="0" w:space="0" w:color="auto"/>
        <w:bottom w:val="none" w:sz="0" w:space="0" w:color="auto"/>
        <w:right w:val="none" w:sz="0" w:space="0" w:color="auto"/>
      </w:divBdr>
    </w:div>
    <w:div w:id="378668990">
      <w:bodyDiv w:val="1"/>
      <w:marLeft w:val="0"/>
      <w:marRight w:val="0"/>
      <w:marTop w:val="0"/>
      <w:marBottom w:val="0"/>
      <w:divBdr>
        <w:top w:val="none" w:sz="0" w:space="0" w:color="auto"/>
        <w:left w:val="none" w:sz="0" w:space="0" w:color="auto"/>
        <w:bottom w:val="none" w:sz="0" w:space="0" w:color="auto"/>
        <w:right w:val="none" w:sz="0" w:space="0" w:color="auto"/>
      </w:divBdr>
    </w:div>
    <w:div w:id="429088129">
      <w:bodyDiv w:val="1"/>
      <w:marLeft w:val="0"/>
      <w:marRight w:val="0"/>
      <w:marTop w:val="0"/>
      <w:marBottom w:val="0"/>
      <w:divBdr>
        <w:top w:val="none" w:sz="0" w:space="0" w:color="auto"/>
        <w:left w:val="none" w:sz="0" w:space="0" w:color="auto"/>
        <w:bottom w:val="none" w:sz="0" w:space="0" w:color="auto"/>
        <w:right w:val="none" w:sz="0" w:space="0" w:color="auto"/>
      </w:divBdr>
    </w:div>
    <w:div w:id="433134636">
      <w:bodyDiv w:val="1"/>
      <w:marLeft w:val="0"/>
      <w:marRight w:val="0"/>
      <w:marTop w:val="0"/>
      <w:marBottom w:val="0"/>
      <w:divBdr>
        <w:top w:val="none" w:sz="0" w:space="0" w:color="auto"/>
        <w:left w:val="none" w:sz="0" w:space="0" w:color="auto"/>
        <w:bottom w:val="none" w:sz="0" w:space="0" w:color="auto"/>
        <w:right w:val="none" w:sz="0" w:space="0" w:color="auto"/>
      </w:divBdr>
    </w:div>
    <w:div w:id="448085844">
      <w:bodyDiv w:val="1"/>
      <w:marLeft w:val="0"/>
      <w:marRight w:val="0"/>
      <w:marTop w:val="0"/>
      <w:marBottom w:val="0"/>
      <w:divBdr>
        <w:top w:val="none" w:sz="0" w:space="0" w:color="auto"/>
        <w:left w:val="none" w:sz="0" w:space="0" w:color="auto"/>
        <w:bottom w:val="none" w:sz="0" w:space="0" w:color="auto"/>
        <w:right w:val="none" w:sz="0" w:space="0" w:color="auto"/>
      </w:divBdr>
    </w:div>
    <w:div w:id="459344079">
      <w:bodyDiv w:val="1"/>
      <w:marLeft w:val="0"/>
      <w:marRight w:val="0"/>
      <w:marTop w:val="0"/>
      <w:marBottom w:val="0"/>
      <w:divBdr>
        <w:top w:val="none" w:sz="0" w:space="0" w:color="auto"/>
        <w:left w:val="none" w:sz="0" w:space="0" w:color="auto"/>
        <w:bottom w:val="none" w:sz="0" w:space="0" w:color="auto"/>
        <w:right w:val="none" w:sz="0" w:space="0" w:color="auto"/>
      </w:divBdr>
    </w:div>
    <w:div w:id="460459489">
      <w:bodyDiv w:val="1"/>
      <w:marLeft w:val="0"/>
      <w:marRight w:val="0"/>
      <w:marTop w:val="0"/>
      <w:marBottom w:val="0"/>
      <w:divBdr>
        <w:top w:val="none" w:sz="0" w:space="0" w:color="auto"/>
        <w:left w:val="none" w:sz="0" w:space="0" w:color="auto"/>
        <w:bottom w:val="none" w:sz="0" w:space="0" w:color="auto"/>
        <w:right w:val="none" w:sz="0" w:space="0" w:color="auto"/>
      </w:divBdr>
    </w:div>
    <w:div w:id="461657635">
      <w:bodyDiv w:val="1"/>
      <w:marLeft w:val="0"/>
      <w:marRight w:val="0"/>
      <w:marTop w:val="0"/>
      <w:marBottom w:val="0"/>
      <w:divBdr>
        <w:top w:val="none" w:sz="0" w:space="0" w:color="auto"/>
        <w:left w:val="none" w:sz="0" w:space="0" w:color="auto"/>
        <w:bottom w:val="none" w:sz="0" w:space="0" w:color="auto"/>
        <w:right w:val="none" w:sz="0" w:space="0" w:color="auto"/>
      </w:divBdr>
    </w:div>
    <w:div w:id="601307231">
      <w:bodyDiv w:val="1"/>
      <w:marLeft w:val="0"/>
      <w:marRight w:val="0"/>
      <w:marTop w:val="0"/>
      <w:marBottom w:val="0"/>
      <w:divBdr>
        <w:top w:val="none" w:sz="0" w:space="0" w:color="auto"/>
        <w:left w:val="none" w:sz="0" w:space="0" w:color="auto"/>
        <w:bottom w:val="none" w:sz="0" w:space="0" w:color="auto"/>
        <w:right w:val="none" w:sz="0" w:space="0" w:color="auto"/>
      </w:divBdr>
    </w:div>
    <w:div w:id="631256186">
      <w:bodyDiv w:val="1"/>
      <w:marLeft w:val="0"/>
      <w:marRight w:val="0"/>
      <w:marTop w:val="0"/>
      <w:marBottom w:val="0"/>
      <w:divBdr>
        <w:top w:val="none" w:sz="0" w:space="0" w:color="auto"/>
        <w:left w:val="none" w:sz="0" w:space="0" w:color="auto"/>
        <w:bottom w:val="none" w:sz="0" w:space="0" w:color="auto"/>
        <w:right w:val="none" w:sz="0" w:space="0" w:color="auto"/>
      </w:divBdr>
    </w:div>
    <w:div w:id="664553205">
      <w:bodyDiv w:val="1"/>
      <w:marLeft w:val="0"/>
      <w:marRight w:val="0"/>
      <w:marTop w:val="0"/>
      <w:marBottom w:val="0"/>
      <w:divBdr>
        <w:top w:val="none" w:sz="0" w:space="0" w:color="auto"/>
        <w:left w:val="none" w:sz="0" w:space="0" w:color="auto"/>
        <w:bottom w:val="none" w:sz="0" w:space="0" w:color="auto"/>
        <w:right w:val="none" w:sz="0" w:space="0" w:color="auto"/>
      </w:divBdr>
    </w:div>
    <w:div w:id="672218921">
      <w:bodyDiv w:val="1"/>
      <w:marLeft w:val="0"/>
      <w:marRight w:val="0"/>
      <w:marTop w:val="0"/>
      <w:marBottom w:val="0"/>
      <w:divBdr>
        <w:top w:val="none" w:sz="0" w:space="0" w:color="auto"/>
        <w:left w:val="none" w:sz="0" w:space="0" w:color="auto"/>
        <w:bottom w:val="none" w:sz="0" w:space="0" w:color="auto"/>
        <w:right w:val="none" w:sz="0" w:space="0" w:color="auto"/>
      </w:divBdr>
    </w:div>
    <w:div w:id="688146722">
      <w:bodyDiv w:val="1"/>
      <w:marLeft w:val="0"/>
      <w:marRight w:val="0"/>
      <w:marTop w:val="0"/>
      <w:marBottom w:val="0"/>
      <w:divBdr>
        <w:top w:val="none" w:sz="0" w:space="0" w:color="auto"/>
        <w:left w:val="none" w:sz="0" w:space="0" w:color="auto"/>
        <w:bottom w:val="none" w:sz="0" w:space="0" w:color="auto"/>
        <w:right w:val="none" w:sz="0" w:space="0" w:color="auto"/>
      </w:divBdr>
    </w:div>
    <w:div w:id="754476482">
      <w:bodyDiv w:val="1"/>
      <w:marLeft w:val="0"/>
      <w:marRight w:val="0"/>
      <w:marTop w:val="0"/>
      <w:marBottom w:val="0"/>
      <w:divBdr>
        <w:top w:val="none" w:sz="0" w:space="0" w:color="auto"/>
        <w:left w:val="none" w:sz="0" w:space="0" w:color="auto"/>
        <w:bottom w:val="none" w:sz="0" w:space="0" w:color="auto"/>
        <w:right w:val="none" w:sz="0" w:space="0" w:color="auto"/>
      </w:divBdr>
    </w:div>
    <w:div w:id="755440429">
      <w:bodyDiv w:val="1"/>
      <w:marLeft w:val="0"/>
      <w:marRight w:val="0"/>
      <w:marTop w:val="0"/>
      <w:marBottom w:val="0"/>
      <w:divBdr>
        <w:top w:val="none" w:sz="0" w:space="0" w:color="auto"/>
        <w:left w:val="none" w:sz="0" w:space="0" w:color="auto"/>
        <w:bottom w:val="none" w:sz="0" w:space="0" w:color="auto"/>
        <w:right w:val="none" w:sz="0" w:space="0" w:color="auto"/>
      </w:divBdr>
    </w:div>
    <w:div w:id="775096710">
      <w:bodyDiv w:val="1"/>
      <w:marLeft w:val="0"/>
      <w:marRight w:val="0"/>
      <w:marTop w:val="0"/>
      <w:marBottom w:val="0"/>
      <w:divBdr>
        <w:top w:val="none" w:sz="0" w:space="0" w:color="auto"/>
        <w:left w:val="none" w:sz="0" w:space="0" w:color="auto"/>
        <w:bottom w:val="none" w:sz="0" w:space="0" w:color="auto"/>
        <w:right w:val="none" w:sz="0" w:space="0" w:color="auto"/>
      </w:divBdr>
    </w:div>
    <w:div w:id="862549317">
      <w:bodyDiv w:val="1"/>
      <w:marLeft w:val="0"/>
      <w:marRight w:val="0"/>
      <w:marTop w:val="0"/>
      <w:marBottom w:val="0"/>
      <w:divBdr>
        <w:top w:val="none" w:sz="0" w:space="0" w:color="auto"/>
        <w:left w:val="none" w:sz="0" w:space="0" w:color="auto"/>
        <w:bottom w:val="none" w:sz="0" w:space="0" w:color="auto"/>
        <w:right w:val="none" w:sz="0" w:space="0" w:color="auto"/>
      </w:divBdr>
    </w:div>
    <w:div w:id="868184326">
      <w:bodyDiv w:val="1"/>
      <w:marLeft w:val="0"/>
      <w:marRight w:val="0"/>
      <w:marTop w:val="0"/>
      <w:marBottom w:val="0"/>
      <w:divBdr>
        <w:top w:val="none" w:sz="0" w:space="0" w:color="auto"/>
        <w:left w:val="none" w:sz="0" w:space="0" w:color="auto"/>
        <w:bottom w:val="none" w:sz="0" w:space="0" w:color="auto"/>
        <w:right w:val="none" w:sz="0" w:space="0" w:color="auto"/>
      </w:divBdr>
    </w:div>
    <w:div w:id="873345692">
      <w:bodyDiv w:val="1"/>
      <w:marLeft w:val="0"/>
      <w:marRight w:val="0"/>
      <w:marTop w:val="0"/>
      <w:marBottom w:val="0"/>
      <w:divBdr>
        <w:top w:val="none" w:sz="0" w:space="0" w:color="auto"/>
        <w:left w:val="none" w:sz="0" w:space="0" w:color="auto"/>
        <w:bottom w:val="none" w:sz="0" w:space="0" w:color="auto"/>
        <w:right w:val="none" w:sz="0" w:space="0" w:color="auto"/>
      </w:divBdr>
    </w:div>
    <w:div w:id="919827686">
      <w:bodyDiv w:val="1"/>
      <w:marLeft w:val="0"/>
      <w:marRight w:val="0"/>
      <w:marTop w:val="0"/>
      <w:marBottom w:val="0"/>
      <w:divBdr>
        <w:top w:val="none" w:sz="0" w:space="0" w:color="auto"/>
        <w:left w:val="none" w:sz="0" w:space="0" w:color="auto"/>
        <w:bottom w:val="none" w:sz="0" w:space="0" w:color="auto"/>
        <w:right w:val="none" w:sz="0" w:space="0" w:color="auto"/>
      </w:divBdr>
    </w:div>
    <w:div w:id="921135539">
      <w:bodyDiv w:val="1"/>
      <w:marLeft w:val="0"/>
      <w:marRight w:val="0"/>
      <w:marTop w:val="0"/>
      <w:marBottom w:val="0"/>
      <w:divBdr>
        <w:top w:val="none" w:sz="0" w:space="0" w:color="auto"/>
        <w:left w:val="none" w:sz="0" w:space="0" w:color="auto"/>
        <w:bottom w:val="none" w:sz="0" w:space="0" w:color="auto"/>
        <w:right w:val="none" w:sz="0" w:space="0" w:color="auto"/>
      </w:divBdr>
    </w:div>
    <w:div w:id="922879535">
      <w:bodyDiv w:val="1"/>
      <w:marLeft w:val="0"/>
      <w:marRight w:val="0"/>
      <w:marTop w:val="0"/>
      <w:marBottom w:val="0"/>
      <w:divBdr>
        <w:top w:val="none" w:sz="0" w:space="0" w:color="auto"/>
        <w:left w:val="none" w:sz="0" w:space="0" w:color="auto"/>
        <w:bottom w:val="none" w:sz="0" w:space="0" w:color="auto"/>
        <w:right w:val="none" w:sz="0" w:space="0" w:color="auto"/>
      </w:divBdr>
    </w:div>
    <w:div w:id="940913715">
      <w:bodyDiv w:val="1"/>
      <w:marLeft w:val="0"/>
      <w:marRight w:val="0"/>
      <w:marTop w:val="0"/>
      <w:marBottom w:val="0"/>
      <w:divBdr>
        <w:top w:val="none" w:sz="0" w:space="0" w:color="auto"/>
        <w:left w:val="none" w:sz="0" w:space="0" w:color="auto"/>
        <w:bottom w:val="none" w:sz="0" w:space="0" w:color="auto"/>
        <w:right w:val="none" w:sz="0" w:space="0" w:color="auto"/>
      </w:divBdr>
    </w:div>
    <w:div w:id="997735241">
      <w:bodyDiv w:val="1"/>
      <w:marLeft w:val="0"/>
      <w:marRight w:val="0"/>
      <w:marTop w:val="0"/>
      <w:marBottom w:val="0"/>
      <w:divBdr>
        <w:top w:val="none" w:sz="0" w:space="0" w:color="auto"/>
        <w:left w:val="none" w:sz="0" w:space="0" w:color="auto"/>
        <w:bottom w:val="none" w:sz="0" w:space="0" w:color="auto"/>
        <w:right w:val="none" w:sz="0" w:space="0" w:color="auto"/>
      </w:divBdr>
    </w:div>
    <w:div w:id="1000766995">
      <w:bodyDiv w:val="1"/>
      <w:marLeft w:val="0"/>
      <w:marRight w:val="0"/>
      <w:marTop w:val="0"/>
      <w:marBottom w:val="0"/>
      <w:divBdr>
        <w:top w:val="none" w:sz="0" w:space="0" w:color="auto"/>
        <w:left w:val="none" w:sz="0" w:space="0" w:color="auto"/>
        <w:bottom w:val="none" w:sz="0" w:space="0" w:color="auto"/>
        <w:right w:val="none" w:sz="0" w:space="0" w:color="auto"/>
      </w:divBdr>
    </w:div>
    <w:div w:id="1043824346">
      <w:bodyDiv w:val="1"/>
      <w:marLeft w:val="0"/>
      <w:marRight w:val="0"/>
      <w:marTop w:val="0"/>
      <w:marBottom w:val="0"/>
      <w:divBdr>
        <w:top w:val="none" w:sz="0" w:space="0" w:color="auto"/>
        <w:left w:val="none" w:sz="0" w:space="0" w:color="auto"/>
        <w:bottom w:val="none" w:sz="0" w:space="0" w:color="auto"/>
        <w:right w:val="none" w:sz="0" w:space="0" w:color="auto"/>
      </w:divBdr>
    </w:div>
    <w:div w:id="1076126527">
      <w:bodyDiv w:val="1"/>
      <w:marLeft w:val="0"/>
      <w:marRight w:val="0"/>
      <w:marTop w:val="0"/>
      <w:marBottom w:val="0"/>
      <w:divBdr>
        <w:top w:val="none" w:sz="0" w:space="0" w:color="auto"/>
        <w:left w:val="none" w:sz="0" w:space="0" w:color="auto"/>
        <w:bottom w:val="none" w:sz="0" w:space="0" w:color="auto"/>
        <w:right w:val="none" w:sz="0" w:space="0" w:color="auto"/>
      </w:divBdr>
    </w:div>
    <w:div w:id="1195581039">
      <w:bodyDiv w:val="1"/>
      <w:marLeft w:val="0"/>
      <w:marRight w:val="0"/>
      <w:marTop w:val="0"/>
      <w:marBottom w:val="0"/>
      <w:divBdr>
        <w:top w:val="none" w:sz="0" w:space="0" w:color="auto"/>
        <w:left w:val="none" w:sz="0" w:space="0" w:color="auto"/>
        <w:bottom w:val="none" w:sz="0" w:space="0" w:color="auto"/>
        <w:right w:val="none" w:sz="0" w:space="0" w:color="auto"/>
      </w:divBdr>
    </w:div>
    <w:div w:id="1226378271">
      <w:bodyDiv w:val="1"/>
      <w:marLeft w:val="0"/>
      <w:marRight w:val="0"/>
      <w:marTop w:val="0"/>
      <w:marBottom w:val="0"/>
      <w:divBdr>
        <w:top w:val="none" w:sz="0" w:space="0" w:color="auto"/>
        <w:left w:val="none" w:sz="0" w:space="0" w:color="auto"/>
        <w:bottom w:val="none" w:sz="0" w:space="0" w:color="auto"/>
        <w:right w:val="none" w:sz="0" w:space="0" w:color="auto"/>
      </w:divBdr>
    </w:div>
    <w:div w:id="1235749188">
      <w:bodyDiv w:val="1"/>
      <w:marLeft w:val="0"/>
      <w:marRight w:val="0"/>
      <w:marTop w:val="0"/>
      <w:marBottom w:val="0"/>
      <w:divBdr>
        <w:top w:val="none" w:sz="0" w:space="0" w:color="auto"/>
        <w:left w:val="none" w:sz="0" w:space="0" w:color="auto"/>
        <w:bottom w:val="none" w:sz="0" w:space="0" w:color="auto"/>
        <w:right w:val="none" w:sz="0" w:space="0" w:color="auto"/>
      </w:divBdr>
    </w:div>
    <w:div w:id="1256085880">
      <w:bodyDiv w:val="1"/>
      <w:marLeft w:val="0"/>
      <w:marRight w:val="0"/>
      <w:marTop w:val="0"/>
      <w:marBottom w:val="0"/>
      <w:divBdr>
        <w:top w:val="none" w:sz="0" w:space="0" w:color="auto"/>
        <w:left w:val="none" w:sz="0" w:space="0" w:color="auto"/>
        <w:bottom w:val="none" w:sz="0" w:space="0" w:color="auto"/>
        <w:right w:val="none" w:sz="0" w:space="0" w:color="auto"/>
      </w:divBdr>
    </w:div>
    <w:div w:id="1269854100">
      <w:bodyDiv w:val="1"/>
      <w:marLeft w:val="0"/>
      <w:marRight w:val="0"/>
      <w:marTop w:val="0"/>
      <w:marBottom w:val="0"/>
      <w:divBdr>
        <w:top w:val="none" w:sz="0" w:space="0" w:color="auto"/>
        <w:left w:val="none" w:sz="0" w:space="0" w:color="auto"/>
        <w:bottom w:val="none" w:sz="0" w:space="0" w:color="auto"/>
        <w:right w:val="none" w:sz="0" w:space="0" w:color="auto"/>
      </w:divBdr>
    </w:div>
    <w:div w:id="1336179442">
      <w:bodyDiv w:val="1"/>
      <w:marLeft w:val="0"/>
      <w:marRight w:val="0"/>
      <w:marTop w:val="0"/>
      <w:marBottom w:val="0"/>
      <w:divBdr>
        <w:top w:val="none" w:sz="0" w:space="0" w:color="auto"/>
        <w:left w:val="none" w:sz="0" w:space="0" w:color="auto"/>
        <w:bottom w:val="none" w:sz="0" w:space="0" w:color="auto"/>
        <w:right w:val="none" w:sz="0" w:space="0" w:color="auto"/>
      </w:divBdr>
    </w:div>
    <w:div w:id="1337878031">
      <w:bodyDiv w:val="1"/>
      <w:marLeft w:val="0"/>
      <w:marRight w:val="0"/>
      <w:marTop w:val="0"/>
      <w:marBottom w:val="0"/>
      <w:divBdr>
        <w:top w:val="none" w:sz="0" w:space="0" w:color="auto"/>
        <w:left w:val="none" w:sz="0" w:space="0" w:color="auto"/>
        <w:bottom w:val="none" w:sz="0" w:space="0" w:color="auto"/>
        <w:right w:val="none" w:sz="0" w:space="0" w:color="auto"/>
      </w:divBdr>
    </w:div>
    <w:div w:id="1372270421">
      <w:bodyDiv w:val="1"/>
      <w:marLeft w:val="0"/>
      <w:marRight w:val="0"/>
      <w:marTop w:val="0"/>
      <w:marBottom w:val="0"/>
      <w:divBdr>
        <w:top w:val="none" w:sz="0" w:space="0" w:color="auto"/>
        <w:left w:val="none" w:sz="0" w:space="0" w:color="auto"/>
        <w:bottom w:val="none" w:sz="0" w:space="0" w:color="auto"/>
        <w:right w:val="none" w:sz="0" w:space="0" w:color="auto"/>
      </w:divBdr>
    </w:div>
    <w:div w:id="1386486557">
      <w:bodyDiv w:val="1"/>
      <w:marLeft w:val="0"/>
      <w:marRight w:val="0"/>
      <w:marTop w:val="0"/>
      <w:marBottom w:val="0"/>
      <w:divBdr>
        <w:top w:val="none" w:sz="0" w:space="0" w:color="auto"/>
        <w:left w:val="none" w:sz="0" w:space="0" w:color="auto"/>
        <w:bottom w:val="none" w:sz="0" w:space="0" w:color="auto"/>
        <w:right w:val="none" w:sz="0" w:space="0" w:color="auto"/>
      </w:divBdr>
    </w:div>
    <w:div w:id="1499879098">
      <w:bodyDiv w:val="1"/>
      <w:marLeft w:val="0"/>
      <w:marRight w:val="0"/>
      <w:marTop w:val="0"/>
      <w:marBottom w:val="0"/>
      <w:divBdr>
        <w:top w:val="none" w:sz="0" w:space="0" w:color="auto"/>
        <w:left w:val="none" w:sz="0" w:space="0" w:color="auto"/>
        <w:bottom w:val="none" w:sz="0" w:space="0" w:color="auto"/>
        <w:right w:val="none" w:sz="0" w:space="0" w:color="auto"/>
      </w:divBdr>
    </w:div>
    <w:div w:id="1534151057">
      <w:bodyDiv w:val="1"/>
      <w:marLeft w:val="0"/>
      <w:marRight w:val="0"/>
      <w:marTop w:val="0"/>
      <w:marBottom w:val="0"/>
      <w:divBdr>
        <w:top w:val="none" w:sz="0" w:space="0" w:color="auto"/>
        <w:left w:val="none" w:sz="0" w:space="0" w:color="auto"/>
        <w:bottom w:val="none" w:sz="0" w:space="0" w:color="auto"/>
        <w:right w:val="none" w:sz="0" w:space="0" w:color="auto"/>
      </w:divBdr>
    </w:div>
    <w:div w:id="1574972786">
      <w:bodyDiv w:val="1"/>
      <w:marLeft w:val="0"/>
      <w:marRight w:val="0"/>
      <w:marTop w:val="0"/>
      <w:marBottom w:val="0"/>
      <w:divBdr>
        <w:top w:val="none" w:sz="0" w:space="0" w:color="auto"/>
        <w:left w:val="none" w:sz="0" w:space="0" w:color="auto"/>
        <w:bottom w:val="none" w:sz="0" w:space="0" w:color="auto"/>
        <w:right w:val="none" w:sz="0" w:space="0" w:color="auto"/>
      </w:divBdr>
    </w:div>
    <w:div w:id="1576282834">
      <w:bodyDiv w:val="1"/>
      <w:marLeft w:val="0"/>
      <w:marRight w:val="0"/>
      <w:marTop w:val="0"/>
      <w:marBottom w:val="0"/>
      <w:divBdr>
        <w:top w:val="none" w:sz="0" w:space="0" w:color="auto"/>
        <w:left w:val="none" w:sz="0" w:space="0" w:color="auto"/>
        <w:bottom w:val="none" w:sz="0" w:space="0" w:color="auto"/>
        <w:right w:val="none" w:sz="0" w:space="0" w:color="auto"/>
      </w:divBdr>
    </w:div>
    <w:div w:id="1577786170">
      <w:bodyDiv w:val="1"/>
      <w:marLeft w:val="0"/>
      <w:marRight w:val="0"/>
      <w:marTop w:val="0"/>
      <w:marBottom w:val="0"/>
      <w:divBdr>
        <w:top w:val="none" w:sz="0" w:space="0" w:color="auto"/>
        <w:left w:val="none" w:sz="0" w:space="0" w:color="auto"/>
        <w:bottom w:val="none" w:sz="0" w:space="0" w:color="auto"/>
        <w:right w:val="none" w:sz="0" w:space="0" w:color="auto"/>
      </w:divBdr>
    </w:div>
    <w:div w:id="1578707636">
      <w:bodyDiv w:val="1"/>
      <w:marLeft w:val="0"/>
      <w:marRight w:val="0"/>
      <w:marTop w:val="0"/>
      <w:marBottom w:val="0"/>
      <w:divBdr>
        <w:top w:val="none" w:sz="0" w:space="0" w:color="auto"/>
        <w:left w:val="none" w:sz="0" w:space="0" w:color="auto"/>
        <w:bottom w:val="none" w:sz="0" w:space="0" w:color="auto"/>
        <w:right w:val="none" w:sz="0" w:space="0" w:color="auto"/>
      </w:divBdr>
    </w:div>
    <w:div w:id="1614314669">
      <w:bodyDiv w:val="1"/>
      <w:marLeft w:val="0"/>
      <w:marRight w:val="0"/>
      <w:marTop w:val="0"/>
      <w:marBottom w:val="0"/>
      <w:divBdr>
        <w:top w:val="none" w:sz="0" w:space="0" w:color="auto"/>
        <w:left w:val="none" w:sz="0" w:space="0" w:color="auto"/>
        <w:bottom w:val="none" w:sz="0" w:space="0" w:color="auto"/>
        <w:right w:val="none" w:sz="0" w:space="0" w:color="auto"/>
      </w:divBdr>
    </w:div>
    <w:div w:id="1617525210">
      <w:bodyDiv w:val="1"/>
      <w:marLeft w:val="0"/>
      <w:marRight w:val="0"/>
      <w:marTop w:val="0"/>
      <w:marBottom w:val="0"/>
      <w:divBdr>
        <w:top w:val="none" w:sz="0" w:space="0" w:color="auto"/>
        <w:left w:val="none" w:sz="0" w:space="0" w:color="auto"/>
        <w:bottom w:val="none" w:sz="0" w:space="0" w:color="auto"/>
        <w:right w:val="none" w:sz="0" w:space="0" w:color="auto"/>
      </w:divBdr>
    </w:div>
    <w:div w:id="1639065986">
      <w:bodyDiv w:val="1"/>
      <w:marLeft w:val="0"/>
      <w:marRight w:val="0"/>
      <w:marTop w:val="0"/>
      <w:marBottom w:val="0"/>
      <w:divBdr>
        <w:top w:val="none" w:sz="0" w:space="0" w:color="auto"/>
        <w:left w:val="none" w:sz="0" w:space="0" w:color="auto"/>
        <w:bottom w:val="none" w:sz="0" w:space="0" w:color="auto"/>
        <w:right w:val="none" w:sz="0" w:space="0" w:color="auto"/>
      </w:divBdr>
    </w:div>
    <w:div w:id="1639266364">
      <w:bodyDiv w:val="1"/>
      <w:marLeft w:val="0"/>
      <w:marRight w:val="0"/>
      <w:marTop w:val="0"/>
      <w:marBottom w:val="0"/>
      <w:divBdr>
        <w:top w:val="none" w:sz="0" w:space="0" w:color="auto"/>
        <w:left w:val="none" w:sz="0" w:space="0" w:color="auto"/>
        <w:bottom w:val="none" w:sz="0" w:space="0" w:color="auto"/>
        <w:right w:val="none" w:sz="0" w:space="0" w:color="auto"/>
      </w:divBdr>
    </w:div>
    <w:div w:id="1640067370">
      <w:bodyDiv w:val="1"/>
      <w:marLeft w:val="0"/>
      <w:marRight w:val="0"/>
      <w:marTop w:val="0"/>
      <w:marBottom w:val="0"/>
      <w:divBdr>
        <w:top w:val="none" w:sz="0" w:space="0" w:color="auto"/>
        <w:left w:val="none" w:sz="0" w:space="0" w:color="auto"/>
        <w:bottom w:val="none" w:sz="0" w:space="0" w:color="auto"/>
        <w:right w:val="none" w:sz="0" w:space="0" w:color="auto"/>
      </w:divBdr>
    </w:div>
    <w:div w:id="1641420389">
      <w:bodyDiv w:val="1"/>
      <w:marLeft w:val="0"/>
      <w:marRight w:val="0"/>
      <w:marTop w:val="0"/>
      <w:marBottom w:val="0"/>
      <w:divBdr>
        <w:top w:val="none" w:sz="0" w:space="0" w:color="auto"/>
        <w:left w:val="none" w:sz="0" w:space="0" w:color="auto"/>
        <w:bottom w:val="none" w:sz="0" w:space="0" w:color="auto"/>
        <w:right w:val="none" w:sz="0" w:space="0" w:color="auto"/>
      </w:divBdr>
    </w:div>
    <w:div w:id="1690712535">
      <w:bodyDiv w:val="1"/>
      <w:marLeft w:val="0"/>
      <w:marRight w:val="0"/>
      <w:marTop w:val="0"/>
      <w:marBottom w:val="0"/>
      <w:divBdr>
        <w:top w:val="none" w:sz="0" w:space="0" w:color="auto"/>
        <w:left w:val="none" w:sz="0" w:space="0" w:color="auto"/>
        <w:bottom w:val="none" w:sz="0" w:space="0" w:color="auto"/>
        <w:right w:val="none" w:sz="0" w:space="0" w:color="auto"/>
      </w:divBdr>
    </w:div>
    <w:div w:id="1708946549">
      <w:bodyDiv w:val="1"/>
      <w:marLeft w:val="0"/>
      <w:marRight w:val="0"/>
      <w:marTop w:val="0"/>
      <w:marBottom w:val="0"/>
      <w:divBdr>
        <w:top w:val="none" w:sz="0" w:space="0" w:color="auto"/>
        <w:left w:val="none" w:sz="0" w:space="0" w:color="auto"/>
        <w:bottom w:val="none" w:sz="0" w:space="0" w:color="auto"/>
        <w:right w:val="none" w:sz="0" w:space="0" w:color="auto"/>
      </w:divBdr>
    </w:div>
    <w:div w:id="1734347076">
      <w:bodyDiv w:val="1"/>
      <w:marLeft w:val="0"/>
      <w:marRight w:val="0"/>
      <w:marTop w:val="0"/>
      <w:marBottom w:val="0"/>
      <w:divBdr>
        <w:top w:val="none" w:sz="0" w:space="0" w:color="auto"/>
        <w:left w:val="none" w:sz="0" w:space="0" w:color="auto"/>
        <w:bottom w:val="none" w:sz="0" w:space="0" w:color="auto"/>
        <w:right w:val="none" w:sz="0" w:space="0" w:color="auto"/>
      </w:divBdr>
    </w:div>
    <w:div w:id="1740785670">
      <w:bodyDiv w:val="1"/>
      <w:marLeft w:val="0"/>
      <w:marRight w:val="0"/>
      <w:marTop w:val="0"/>
      <w:marBottom w:val="0"/>
      <w:divBdr>
        <w:top w:val="none" w:sz="0" w:space="0" w:color="auto"/>
        <w:left w:val="none" w:sz="0" w:space="0" w:color="auto"/>
        <w:bottom w:val="none" w:sz="0" w:space="0" w:color="auto"/>
        <w:right w:val="none" w:sz="0" w:space="0" w:color="auto"/>
      </w:divBdr>
    </w:div>
    <w:div w:id="1784495930">
      <w:bodyDiv w:val="1"/>
      <w:marLeft w:val="0"/>
      <w:marRight w:val="0"/>
      <w:marTop w:val="0"/>
      <w:marBottom w:val="0"/>
      <w:divBdr>
        <w:top w:val="none" w:sz="0" w:space="0" w:color="auto"/>
        <w:left w:val="none" w:sz="0" w:space="0" w:color="auto"/>
        <w:bottom w:val="none" w:sz="0" w:space="0" w:color="auto"/>
        <w:right w:val="none" w:sz="0" w:space="0" w:color="auto"/>
      </w:divBdr>
    </w:div>
    <w:div w:id="1822116320">
      <w:bodyDiv w:val="1"/>
      <w:marLeft w:val="0"/>
      <w:marRight w:val="0"/>
      <w:marTop w:val="0"/>
      <w:marBottom w:val="0"/>
      <w:divBdr>
        <w:top w:val="none" w:sz="0" w:space="0" w:color="auto"/>
        <w:left w:val="none" w:sz="0" w:space="0" w:color="auto"/>
        <w:bottom w:val="none" w:sz="0" w:space="0" w:color="auto"/>
        <w:right w:val="none" w:sz="0" w:space="0" w:color="auto"/>
      </w:divBdr>
    </w:div>
    <w:div w:id="1839224933">
      <w:bodyDiv w:val="1"/>
      <w:marLeft w:val="0"/>
      <w:marRight w:val="0"/>
      <w:marTop w:val="0"/>
      <w:marBottom w:val="0"/>
      <w:divBdr>
        <w:top w:val="none" w:sz="0" w:space="0" w:color="auto"/>
        <w:left w:val="none" w:sz="0" w:space="0" w:color="auto"/>
        <w:bottom w:val="none" w:sz="0" w:space="0" w:color="auto"/>
        <w:right w:val="none" w:sz="0" w:space="0" w:color="auto"/>
      </w:divBdr>
    </w:div>
    <w:div w:id="1866795312">
      <w:bodyDiv w:val="1"/>
      <w:marLeft w:val="0"/>
      <w:marRight w:val="0"/>
      <w:marTop w:val="0"/>
      <w:marBottom w:val="0"/>
      <w:divBdr>
        <w:top w:val="none" w:sz="0" w:space="0" w:color="auto"/>
        <w:left w:val="none" w:sz="0" w:space="0" w:color="auto"/>
        <w:bottom w:val="none" w:sz="0" w:space="0" w:color="auto"/>
        <w:right w:val="none" w:sz="0" w:space="0" w:color="auto"/>
      </w:divBdr>
    </w:div>
    <w:div w:id="1881046083">
      <w:bodyDiv w:val="1"/>
      <w:marLeft w:val="0"/>
      <w:marRight w:val="0"/>
      <w:marTop w:val="0"/>
      <w:marBottom w:val="0"/>
      <w:divBdr>
        <w:top w:val="none" w:sz="0" w:space="0" w:color="auto"/>
        <w:left w:val="none" w:sz="0" w:space="0" w:color="auto"/>
        <w:bottom w:val="none" w:sz="0" w:space="0" w:color="auto"/>
        <w:right w:val="none" w:sz="0" w:space="0" w:color="auto"/>
      </w:divBdr>
    </w:div>
    <w:div w:id="1909992092">
      <w:bodyDiv w:val="1"/>
      <w:marLeft w:val="0"/>
      <w:marRight w:val="0"/>
      <w:marTop w:val="0"/>
      <w:marBottom w:val="0"/>
      <w:divBdr>
        <w:top w:val="none" w:sz="0" w:space="0" w:color="auto"/>
        <w:left w:val="none" w:sz="0" w:space="0" w:color="auto"/>
        <w:bottom w:val="none" w:sz="0" w:space="0" w:color="auto"/>
        <w:right w:val="none" w:sz="0" w:space="0" w:color="auto"/>
      </w:divBdr>
    </w:div>
    <w:div w:id="1926956020">
      <w:bodyDiv w:val="1"/>
      <w:marLeft w:val="0"/>
      <w:marRight w:val="0"/>
      <w:marTop w:val="0"/>
      <w:marBottom w:val="0"/>
      <w:divBdr>
        <w:top w:val="none" w:sz="0" w:space="0" w:color="auto"/>
        <w:left w:val="none" w:sz="0" w:space="0" w:color="auto"/>
        <w:bottom w:val="none" w:sz="0" w:space="0" w:color="auto"/>
        <w:right w:val="none" w:sz="0" w:space="0" w:color="auto"/>
      </w:divBdr>
    </w:div>
    <w:div w:id="1929147325">
      <w:bodyDiv w:val="1"/>
      <w:marLeft w:val="0"/>
      <w:marRight w:val="0"/>
      <w:marTop w:val="0"/>
      <w:marBottom w:val="0"/>
      <w:divBdr>
        <w:top w:val="none" w:sz="0" w:space="0" w:color="auto"/>
        <w:left w:val="none" w:sz="0" w:space="0" w:color="auto"/>
        <w:bottom w:val="none" w:sz="0" w:space="0" w:color="auto"/>
        <w:right w:val="none" w:sz="0" w:space="0" w:color="auto"/>
      </w:divBdr>
    </w:div>
    <w:div w:id="1941601427">
      <w:bodyDiv w:val="1"/>
      <w:marLeft w:val="0"/>
      <w:marRight w:val="0"/>
      <w:marTop w:val="0"/>
      <w:marBottom w:val="0"/>
      <w:divBdr>
        <w:top w:val="none" w:sz="0" w:space="0" w:color="auto"/>
        <w:left w:val="none" w:sz="0" w:space="0" w:color="auto"/>
        <w:bottom w:val="none" w:sz="0" w:space="0" w:color="auto"/>
        <w:right w:val="none" w:sz="0" w:space="0" w:color="auto"/>
      </w:divBdr>
    </w:div>
    <w:div w:id="1942179066">
      <w:bodyDiv w:val="1"/>
      <w:marLeft w:val="0"/>
      <w:marRight w:val="0"/>
      <w:marTop w:val="0"/>
      <w:marBottom w:val="0"/>
      <w:divBdr>
        <w:top w:val="none" w:sz="0" w:space="0" w:color="auto"/>
        <w:left w:val="none" w:sz="0" w:space="0" w:color="auto"/>
        <w:bottom w:val="none" w:sz="0" w:space="0" w:color="auto"/>
        <w:right w:val="none" w:sz="0" w:space="0" w:color="auto"/>
      </w:divBdr>
    </w:div>
    <w:div w:id="1981765911">
      <w:bodyDiv w:val="1"/>
      <w:marLeft w:val="0"/>
      <w:marRight w:val="0"/>
      <w:marTop w:val="0"/>
      <w:marBottom w:val="0"/>
      <w:divBdr>
        <w:top w:val="none" w:sz="0" w:space="0" w:color="auto"/>
        <w:left w:val="none" w:sz="0" w:space="0" w:color="auto"/>
        <w:bottom w:val="none" w:sz="0" w:space="0" w:color="auto"/>
        <w:right w:val="none" w:sz="0" w:space="0" w:color="auto"/>
      </w:divBdr>
    </w:div>
    <w:div w:id="1987542681">
      <w:bodyDiv w:val="1"/>
      <w:marLeft w:val="0"/>
      <w:marRight w:val="0"/>
      <w:marTop w:val="0"/>
      <w:marBottom w:val="0"/>
      <w:divBdr>
        <w:top w:val="none" w:sz="0" w:space="0" w:color="auto"/>
        <w:left w:val="none" w:sz="0" w:space="0" w:color="auto"/>
        <w:bottom w:val="none" w:sz="0" w:space="0" w:color="auto"/>
        <w:right w:val="none" w:sz="0" w:space="0" w:color="auto"/>
      </w:divBdr>
    </w:div>
    <w:div w:id="1989092799">
      <w:bodyDiv w:val="1"/>
      <w:marLeft w:val="0"/>
      <w:marRight w:val="0"/>
      <w:marTop w:val="0"/>
      <w:marBottom w:val="0"/>
      <w:divBdr>
        <w:top w:val="none" w:sz="0" w:space="0" w:color="auto"/>
        <w:left w:val="none" w:sz="0" w:space="0" w:color="auto"/>
        <w:bottom w:val="none" w:sz="0" w:space="0" w:color="auto"/>
        <w:right w:val="none" w:sz="0" w:space="0" w:color="auto"/>
      </w:divBdr>
    </w:div>
    <w:div w:id="1989700633">
      <w:bodyDiv w:val="1"/>
      <w:marLeft w:val="0"/>
      <w:marRight w:val="0"/>
      <w:marTop w:val="0"/>
      <w:marBottom w:val="0"/>
      <w:divBdr>
        <w:top w:val="none" w:sz="0" w:space="0" w:color="auto"/>
        <w:left w:val="none" w:sz="0" w:space="0" w:color="auto"/>
        <w:bottom w:val="none" w:sz="0" w:space="0" w:color="auto"/>
        <w:right w:val="none" w:sz="0" w:space="0" w:color="auto"/>
      </w:divBdr>
    </w:div>
    <w:div w:id="2025553059">
      <w:bodyDiv w:val="1"/>
      <w:marLeft w:val="0"/>
      <w:marRight w:val="0"/>
      <w:marTop w:val="0"/>
      <w:marBottom w:val="0"/>
      <w:divBdr>
        <w:top w:val="none" w:sz="0" w:space="0" w:color="auto"/>
        <w:left w:val="none" w:sz="0" w:space="0" w:color="auto"/>
        <w:bottom w:val="none" w:sz="0" w:space="0" w:color="auto"/>
        <w:right w:val="none" w:sz="0" w:space="0" w:color="auto"/>
      </w:divBdr>
    </w:div>
    <w:div w:id="2075228485">
      <w:bodyDiv w:val="1"/>
      <w:marLeft w:val="0"/>
      <w:marRight w:val="0"/>
      <w:marTop w:val="0"/>
      <w:marBottom w:val="0"/>
      <w:divBdr>
        <w:top w:val="none" w:sz="0" w:space="0" w:color="auto"/>
        <w:left w:val="none" w:sz="0" w:space="0" w:color="auto"/>
        <w:bottom w:val="none" w:sz="0" w:space="0" w:color="auto"/>
        <w:right w:val="none" w:sz="0" w:space="0" w:color="auto"/>
      </w:divBdr>
    </w:div>
    <w:div w:id="2089299696">
      <w:bodyDiv w:val="1"/>
      <w:marLeft w:val="0"/>
      <w:marRight w:val="0"/>
      <w:marTop w:val="0"/>
      <w:marBottom w:val="0"/>
      <w:divBdr>
        <w:top w:val="none" w:sz="0" w:space="0" w:color="auto"/>
        <w:left w:val="none" w:sz="0" w:space="0" w:color="auto"/>
        <w:bottom w:val="none" w:sz="0" w:space="0" w:color="auto"/>
        <w:right w:val="none" w:sz="0" w:space="0" w:color="auto"/>
      </w:divBdr>
    </w:div>
    <w:div w:id="2110201765">
      <w:bodyDiv w:val="1"/>
      <w:marLeft w:val="0"/>
      <w:marRight w:val="0"/>
      <w:marTop w:val="0"/>
      <w:marBottom w:val="0"/>
      <w:divBdr>
        <w:top w:val="none" w:sz="0" w:space="0" w:color="auto"/>
        <w:left w:val="none" w:sz="0" w:space="0" w:color="auto"/>
        <w:bottom w:val="none" w:sz="0" w:space="0" w:color="auto"/>
        <w:right w:val="none" w:sz="0" w:space="0" w:color="auto"/>
      </w:divBdr>
    </w:div>
    <w:div w:id="2112502710">
      <w:bodyDiv w:val="1"/>
      <w:marLeft w:val="0"/>
      <w:marRight w:val="0"/>
      <w:marTop w:val="0"/>
      <w:marBottom w:val="0"/>
      <w:divBdr>
        <w:top w:val="none" w:sz="0" w:space="0" w:color="auto"/>
        <w:left w:val="none" w:sz="0" w:space="0" w:color="auto"/>
        <w:bottom w:val="none" w:sz="0" w:space="0" w:color="auto"/>
        <w:right w:val="none" w:sz="0" w:space="0" w:color="auto"/>
      </w:divBdr>
    </w:div>
    <w:div w:id="2116779714">
      <w:bodyDiv w:val="1"/>
      <w:marLeft w:val="0"/>
      <w:marRight w:val="0"/>
      <w:marTop w:val="0"/>
      <w:marBottom w:val="0"/>
      <w:divBdr>
        <w:top w:val="none" w:sz="0" w:space="0" w:color="auto"/>
        <w:left w:val="none" w:sz="0" w:space="0" w:color="auto"/>
        <w:bottom w:val="none" w:sz="0" w:space="0" w:color="auto"/>
        <w:right w:val="none" w:sz="0" w:space="0" w:color="auto"/>
      </w:divBdr>
    </w:div>
    <w:div w:id="212541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Users/caitlin.tubergen/Downloads/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28A5-3A46-947E-9C3D2FAAEA4E}"/>
              </c:ext>
            </c:extLst>
          </c:dPt>
          <c:dPt>
            <c:idx val="1"/>
            <c:bubble3D val="0"/>
            <c:spPr>
              <a:solidFill>
                <a:srgbClr val="92D050"/>
              </a:solidFill>
            </c:spPr>
            <c:extLst>
              <c:ext xmlns:c16="http://schemas.microsoft.com/office/drawing/2014/chart" uri="{C3380CC4-5D6E-409C-BE32-E72D297353CC}">
                <c16:uniqueId val="{00000003-28A5-3A46-947E-9C3D2FAAEA4E}"/>
              </c:ext>
            </c:extLst>
          </c:dPt>
          <c:dPt>
            <c:idx val="2"/>
            <c:bubble3D val="0"/>
            <c:spPr>
              <a:solidFill>
                <a:srgbClr val="FFFF00"/>
              </a:solidFill>
            </c:spPr>
            <c:extLst>
              <c:ext xmlns:c16="http://schemas.microsoft.com/office/drawing/2014/chart" uri="{C3380CC4-5D6E-409C-BE32-E72D297353CC}">
                <c16:uniqueId val="{00000005-28A5-3A46-947E-9C3D2FAAEA4E}"/>
              </c:ext>
            </c:extLst>
          </c:dPt>
          <c:dPt>
            <c:idx val="3"/>
            <c:bubble3D val="0"/>
            <c:spPr>
              <a:solidFill>
                <a:srgbClr val="FF0000"/>
              </a:solidFill>
            </c:spPr>
            <c:extLst>
              <c:ext xmlns:c16="http://schemas.microsoft.com/office/drawing/2014/chart" uri="{C3380CC4-5D6E-409C-BE32-E72D297353CC}">
                <c16:uniqueId val="{00000007-28A5-3A46-947E-9C3D2FAAEA4E}"/>
              </c:ext>
            </c:extLst>
          </c:dPt>
          <c:dPt>
            <c:idx val="4"/>
            <c:bubble3D val="0"/>
            <c:spPr>
              <a:solidFill>
                <a:schemeClr val="accent5">
                  <a:lumMod val="20000"/>
                  <a:lumOff val="80000"/>
                </a:schemeClr>
              </a:solidFill>
            </c:spPr>
            <c:extLst>
              <c:ext xmlns:c16="http://schemas.microsoft.com/office/drawing/2014/chart" uri="{C3380CC4-5D6E-409C-BE32-E72D297353CC}">
                <c16:uniqueId val="{00000009-28A5-3A46-947E-9C3D2FAAEA4E}"/>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Responses'!$EA$47:$EA$51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Responses'!$EB$47:$EB$51</c:f>
              <c:numCache>
                <c:formatCode>General</c:formatCode>
                <c:ptCount val="5"/>
                <c:pt idx="0">
                  <c:v>16</c:v>
                </c:pt>
                <c:pt idx="1">
                  <c:v>10</c:v>
                </c:pt>
                <c:pt idx="2">
                  <c:v>1</c:v>
                </c:pt>
                <c:pt idx="3">
                  <c:v>0</c:v>
                </c:pt>
                <c:pt idx="4">
                  <c:v>14</c:v>
                </c:pt>
              </c:numCache>
            </c:numRef>
          </c:val>
          <c:extLst>
            <c:ext xmlns:c16="http://schemas.microsoft.com/office/drawing/2014/chart" uri="{C3380CC4-5D6E-409C-BE32-E72D297353CC}">
              <c16:uniqueId val="{0000000A-28A5-3A46-947E-9C3D2FAAEA4E}"/>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16</TotalTime>
  <Pages>13</Pages>
  <Words>2593</Words>
  <Characters>14785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6</cp:revision>
  <dcterms:created xsi:type="dcterms:W3CDTF">2018-12-29T01:09:00Z</dcterms:created>
  <dcterms:modified xsi:type="dcterms:W3CDTF">2018-12-29T16:14:00Z</dcterms:modified>
</cp:coreProperties>
</file>