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F95D3" w14:textId="77777777" w:rsidR="00F7266B" w:rsidRPr="002860E2" w:rsidRDefault="00F7266B" w:rsidP="00F7266B">
      <w:pPr>
        <w:contextualSpacing/>
        <w:rPr>
          <w:rFonts w:asciiTheme="minorHAnsi" w:hAnsiTheme="minorHAnsi"/>
          <w:b/>
          <w:sz w:val="22"/>
        </w:rPr>
      </w:pPr>
      <w:bookmarkStart w:id="0" w:name="_Hlk533779018"/>
      <w:bookmarkEnd w:id="0"/>
      <w:r w:rsidRPr="002860E2">
        <w:rPr>
          <w:rFonts w:asciiTheme="minorHAnsi" w:hAnsiTheme="minorHAnsi"/>
          <w:b/>
          <w:sz w:val="22"/>
        </w:rPr>
        <w:t xml:space="preserve">Public Comment Review Tool – </w:t>
      </w:r>
      <w:r>
        <w:rPr>
          <w:rFonts w:asciiTheme="minorHAnsi" w:hAnsiTheme="minorHAnsi"/>
          <w:b/>
          <w:sz w:val="22"/>
        </w:rPr>
        <w:t>EPDP</w:t>
      </w:r>
      <w:r w:rsidRPr="002860E2">
        <w:rPr>
          <w:rFonts w:asciiTheme="minorHAnsi" w:hAnsiTheme="minorHAnsi"/>
          <w:b/>
          <w:sz w:val="22"/>
        </w:rPr>
        <w:t xml:space="preserve"> – </w:t>
      </w:r>
      <w:r>
        <w:rPr>
          <w:rFonts w:asciiTheme="minorHAnsi" w:hAnsiTheme="minorHAnsi"/>
          <w:b/>
          <w:sz w:val="22"/>
        </w:rPr>
        <w:t>Initial Report</w:t>
      </w:r>
    </w:p>
    <w:p w14:paraId="3C537B5F" w14:textId="00C4D92B" w:rsidR="00F7266B" w:rsidRPr="002860E2" w:rsidRDefault="00F7266B" w:rsidP="00F7266B">
      <w:pPr>
        <w:pBdr>
          <w:bottom w:val="single" w:sz="4" w:space="1" w:color="auto"/>
        </w:pBdr>
        <w:contextualSpacing/>
        <w:rPr>
          <w:rFonts w:asciiTheme="minorHAnsi" w:hAnsiTheme="minorHAnsi"/>
          <w:sz w:val="22"/>
        </w:rPr>
      </w:pPr>
      <w:r w:rsidRPr="002860E2">
        <w:rPr>
          <w:rFonts w:asciiTheme="minorHAnsi" w:hAnsiTheme="minorHAnsi"/>
          <w:sz w:val="22"/>
        </w:rPr>
        <w:t xml:space="preserve">Updated </w:t>
      </w:r>
      <w:r>
        <w:rPr>
          <w:rFonts w:asciiTheme="minorHAnsi" w:hAnsiTheme="minorHAnsi"/>
          <w:sz w:val="22"/>
          <w:highlight w:val="yellow"/>
        </w:rPr>
        <w:t>2</w:t>
      </w:r>
      <w:r w:rsidR="00631EA4">
        <w:rPr>
          <w:rFonts w:asciiTheme="minorHAnsi" w:hAnsiTheme="minorHAnsi"/>
          <w:sz w:val="22"/>
          <w:highlight w:val="yellow"/>
        </w:rPr>
        <w:t>8</w:t>
      </w:r>
      <w:r w:rsidRPr="00072C03">
        <w:rPr>
          <w:rFonts w:asciiTheme="minorHAnsi" w:hAnsiTheme="minorHAnsi"/>
          <w:sz w:val="22"/>
          <w:highlight w:val="yellow"/>
        </w:rPr>
        <w:t xml:space="preserve"> December 2018</w:t>
      </w:r>
    </w:p>
    <w:p w14:paraId="69B0BC6F" w14:textId="12CC3094" w:rsidR="00F7266B" w:rsidRPr="002860E2" w:rsidRDefault="00F7266B" w:rsidP="00F7266B">
      <w:pPr>
        <w:pStyle w:val="Heading1"/>
        <w:shd w:val="clear" w:color="auto" w:fill="0A3251"/>
        <w:rPr>
          <w:rFonts w:asciiTheme="minorHAnsi" w:hAnsiTheme="minorHAnsi"/>
          <w:color w:val="FFFFFF" w:themeColor="background1"/>
        </w:rPr>
      </w:pPr>
      <w:bookmarkStart w:id="1" w:name="_Toc435366253"/>
      <w:r>
        <w:rPr>
          <w:rFonts w:asciiTheme="minorHAnsi" w:hAnsiTheme="minorHAnsi"/>
          <w:color w:val="FFFFFF" w:themeColor="background1"/>
        </w:rPr>
        <w:t>RECOMMENDATION</w:t>
      </w:r>
      <w:r w:rsidRPr="002860E2">
        <w:rPr>
          <w:rFonts w:asciiTheme="minorHAnsi" w:hAnsiTheme="minorHAnsi"/>
          <w:color w:val="FFFFFF" w:themeColor="background1"/>
        </w:rPr>
        <w:t xml:space="preserve"> </w:t>
      </w:r>
      <w:bookmarkEnd w:id="1"/>
      <w:r w:rsidR="00B60995">
        <w:rPr>
          <w:rFonts w:asciiTheme="minorHAnsi" w:hAnsiTheme="minorHAnsi"/>
          <w:color w:val="FFFFFF" w:themeColor="background1"/>
        </w:rPr>
        <w:t>2</w:t>
      </w:r>
      <w:r w:rsidR="00EE39BE">
        <w:rPr>
          <w:rFonts w:asciiTheme="minorHAnsi" w:hAnsiTheme="minorHAnsi"/>
          <w:color w:val="FFFFFF" w:themeColor="background1"/>
        </w:rPr>
        <w:t>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"/>
        <w:gridCol w:w="5951"/>
        <w:gridCol w:w="5446"/>
        <w:gridCol w:w="3559"/>
      </w:tblGrid>
      <w:tr w:rsidR="00F7266B" w:rsidRPr="002860E2" w14:paraId="4F75EDBD" w14:textId="77777777" w:rsidTr="00287321">
        <w:trPr>
          <w:tblHeader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1768B1"/>
          </w:tcPr>
          <w:p w14:paraId="3C39E5C3" w14:textId="77777777" w:rsidR="00F7266B" w:rsidRPr="002860E2" w:rsidRDefault="00F7266B" w:rsidP="0022424B">
            <w:pPr>
              <w:contextualSpacing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2860E2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#</w:t>
            </w:r>
          </w:p>
        </w:tc>
        <w:tc>
          <w:tcPr>
            <w:tcW w:w="5951" w:type="dxa"/>
            <w:tcBorders>
              <w:bottom w:val="single" w:sz="4" w:space="0" w:color="000000"/>
            </w:tcBorders>
            <w:shd w:val="clear" w:color="auto" w:fill="1768B1"/>
          </w:tcPr>
          <w:p w14:paraId="143031D9" w14:textId="77777777" w:rsidR="00F7266B" w:rsidRPr="002860E2" w:rsidRDefault="00F7266B" w:rsidP="0022424B">
            <w:pPr>
              <w:contextualSpacing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2860E2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Comment</w:t>
            </w:r>
          </w:p>
        </w:tc>
        <w:tc>
          <w:tcPr>
            <w:tcW w:w="5446" w:type="dxa"/>
            <w:tcBorders>
              <w:bottom w:val="single" w:sz="4" w:space="0" w:color="000000"/>
            </w:tcBorders>
            <w:shd w:val="clear" w:color="auto" w:fill="1768B1"/>
          </w:tcPr>
          <w:p w14:paraId="17F51AAA" w14:textId="77777777" w:rsidR="00F7266B" w:rsidRPr="002860E2" w:rsidRDefault="00F7266B" w:rsidP="0022424B">
            <w:pPr>
              <w:contextualSpacing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2860E2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Contributor</w:t>
            </w:r>
          </w:p>
        </w:tc>
        <w:tc>
          <w:tcPr>
            <w:tcW w:w="3559" w:type="dxa"/>
            <w:tcBorders>
              <w:bottom w:val="single" w:sz="4" w:space="0" w:color="000000"/>
            </w:tcBorders>
            <w:shd w:val="clear" w:color="auto" w:fill="1768B1"/>
          </w:tcPr>
          <w:p w14:paraId="310CB484" w14:textId="77777777" w:rsidR="00F7266B" w:rsidRPr="002860E2" w:rsidRDefault="00F7266B" w:rsidP="0022424B">
            <w:pPr>
              <w:contextualSpacing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EPDP</w:t>
            </w:r>
            <w:r w:rsidRPr="002860E2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 xml:space="preserve"> Response / Action Taken</w:t>
            </w:r>
          </w:p>
        </w:tc>
      </w:tr>
      <w:tr w:rsidR="00F7266B" w:rsidRPr="002860E2" w14:paraId="144077BF" w14:textId="77777777" w:rsidTr="00EE39BE">
        <w:tc>
          <w:tcPr>
            <w:tcW w:w="15282" w:type="dxa"/>
            <w:gridSpan w:val="4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21B98E1" w14:textId="77777777" w:rsidR="00EE39BE" w:rsidRPr="00EE39BE" w:rsidRDefault="00EE39BE" w:rsidP="00EE39BE">
            <w:pPr>
              <w:contextualSpacing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EE39BE">
              <w:rPr>
                <w:rFonts w:asciiTheme="minorHAnsi" w:hAnsiTheme="minorHAnsi"/>
                <w:noProof/>
                <w:sz w:val="20"/>
                <w:szCs w:val="20"/>
              </w:rPr>
              <w:t>The EPDP Team recommends that ICANN Org enters into required data protection</w:t>
            </w:r>
          </w:p>
          <w:p w14:paraId="47C49F78" w14:textId="77777777" w:rsidR="00EE39BE" w:rsidRPr="00EE39BE" w:rsidRDefault="00EE39BE" w:rsidP="00EE39BE">
            <w:pPr>
              <w:contextualSpacing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EE39BE">
              <w:rPr>
                <w:rFonts w:asciiTheme="minorHAnsi" w:hAnsiTheme="minorHAnsi"/>
                <w:noProof/>
                <w:sz w:val="20"/>
                <w:szCs w:val="20"/>
              </w:rPr>
              <w:t>agreements such as a Data Processing Agreement (GDPR Art. 28) or Joint Controller</w:t>
            </w:r>
          </w:p>
          <w:p w14:paraId="5D268D1E" w14:textId="77777777" w:rsidR="00EE39BE" w:rsidRPr="00EE39BE" w:rsidRDefault="00EE39BE" w:rsidP="00EE39BE">
            <w:pPr>
              <w:contextualSpacing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EE39BE">
              <w:rPr>
                <w:rFonts w:asciiTheme="minorHAnsi" w:hAnsiTheme="minorHAnsi"/>
                <w:noProof/>
                <w:sz w:val="20"/>
                <w:szCs w:val="20"/>
              </w:rPr>
              <w:t>Agreement (Art. 26), as appropriate, with the non-Contracted Party entities involved in</w:t>
            </w:r>
          </w:p>
          <w:p w14:paraId="2B009F87" w14:textId="77777777" w:rsidR="00EE39BE" w:rsidRPr="00EE39BE" w:rsidRDefault="00EE39BE" w:rsidP="00EE39BE">
            <w:pPr>
              <w:contextualSpacing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EE39BE">
              <w:rPr>
                <w:rFonts w:asciiTheme="minorHAnsi" w:hAnsiTheme="minorHAnsi"/>
                <w:noProof/>
                <w:sz w:val="20"/>
                <w:szCs w:val="20"/>
              </w:rPr>
              <w:t>registration data processing such as data escrow providers and EBERO providers. These</w:t>
            </w:r>
          </w:p>
          <w:p w14:paraId="51F4B989" w14:textId="77777777" w:rsidR="00EE39BE" w:rsidRPr="00EE39BE" w:rsidRDefault="00EE39BE" w:rsidP="00EE39BE">
            <w:pPr>
              <w:contextualSpacing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EE39BE">
              <w:rPr>
                <w:rFonts w:asciiTheme="minorHAnsi" w:hAnsiTheme="minorHAnsi"/>
                <w:noProof/>
                <w:sz w:val="20"/>
                <w:szCs w:val="20"/>
              </w:rPr>
              <w:t>agreements are expected to set out the relationship obligations and instructions for</w:t>
            </w:r>
          </w:p>
          <w:p w14:paraId="49976B76" w14:textId="347E9F27" w:rsidR="00B60995" w:rsidRDefault="00EE39BE" w:rsidP="00EE39BE">
            <w:pPr>
              <w:contextualSpacing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EE39BE">
              <w:rPr>
                <w:rFonts w:asciiTheme="minorHAnsi" w:hAnsiTheme="minorHAnsi"/>
                <w:noProof/>
                <w:sz w:val="20"/>
                <w:szCs w:val="20"/>
              </w:rPr>
              <w:t>data processing between the different parties.</w:t>
            </w:r>
          </w:p>
          <w:p w14:paraId="66D53F74" w14:textId="2CDFC3D7" w:rsidR="00B60995" w:rsidRDefault="00B60995" w:rsidP="00B60995">
            <w:pPr>
              <w:contextualSpacing/>
              <w:rPr>
                <w:rFonts w:asciiTheme="minorHAnsi" w:hAnsiTheme="minorHAnsi"/>
                <w:noProof/>
                <w:sz w:val="20"/>
                <w:szCs w:val="20"/>
              </w:rPr>
            </w:pPr>
          </w:p>
          <w:p w14:paraId="1F68CFFF" w14:textId="53752A59" w:rsidR="00EE39BE" w:rsidRDefault="00EE39BE" w:rsidP="00B60995">
            <w:pPr>
              <w:contextualSpacing/>
              <w:rPr>
                <w:rFonts w:asciiTheme="minorHAnsi" w:hAnsiTheme="minorHAnsi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E67744" wp14:editId="347A4ADD">
                  <wp:extent cx="4707864" cy="2785533"/>
                  <wp:effectExtent l="0" t="0" r="4445" b="0"/>
                  <wp:docPr id="1" name="Chart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2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4480977D" w14:textId="27031F82" w:rsidR="00BE2C60" w:rsidRPr="002860E2" w:rsidRDefault="00BE2C60" w:rsidP="00BE2C60">
            <w:pPr>
              <w:contextualSpacing/>
              <w:rPr>
                <w:rFonts w:asciiTheme="minorHAnsi" w:hAnsiTheme="minorHAnsi"/>
                <w:b/>
                <w:sz w:val="22"/>
              </w:rPr>
            </w:pPr>
          </w:p>
        </w:tc>
      </w:tr>
      <w:tr w:rsidR="00F7266B" w:rsidRPr="002860E2" w14:paraId="628D4C30" w14:textId="77777777" w:rsidTr="0022424B">
        <w:tc>
          <w:tcPr>
            <w:tcW w:w="0" w:type="auto"/>
            <w:gridSpan w:val="4"/>
            <w:tcBorders>
              <w:bottom w:val="single" w:sz="4" w:space="0" w:color="000000"/>
            </w:tcBorders>
            <w:shd w:val="clear" w:color="auto" w:fill="00B050"/>
          </w:tcPr>
          <w:p w14:paraId="083E8BFE" w14:textId="77777777" w:rsidR="00F7266B" w:rsidRPr="002E20D5" w:rsidRDefault="00F7266B" w:rsidP="0022424B">
            <w:pPr>
              <w:contextualSpacing/>
              <w:rPr>
                <w:rFonts w:asciiTheme="minorHAnsi" w:hAnsiTheme="minorHAnsi"/>
                <w:b/>
                <w:sz w:val="22"/>
              </w:rPr>
            </w:pPr>
            <w:r w:rsidRPr="002B3C04">
              <w:rPr>
                <w:rFonts w:asciiTheme="minorHAnsi" w:hAnsiTheme="minorHAnsi"/>
                <w:b/>
                <w:color w:val="FFFFFF" w:themeColor="background1"/>
                <w:sz w:val="22"/>
              </w:rPr>
              <w:t>Support recommendation as written</w:t>
            </w:r>
          </w:p>
        </w:tc>
      </w:tr>
      <w:tr w:rsidR="00F7266B" w:rsidRPr="002860E2" w14:paraId="74623BF6" w14:textId="77777777" w:rsidTr="00287321">
        <w:trPr>
          <w:cantSplit/>
        </w:trPr>
        <w:tc>
          <w:tcPr>
            <w:tcW w:w="0" w:type="auto"/>
          </w:tcPr>
          <w:p w14:paraId="61B0C120" w14:textId="77777777" w:rsidR="00F7266B" w:rsidRPr="002860E2" w:rsidRDefault="00F7266B" w:rsidP="0022424B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951" w:type="dxa"/>
          </w:tcPr>
          <w:p w14:paraId="54EDD3D9" w14:textId="77777777" w:rsidR="00F7266B" w:rsidRPr="002860E2" w:rsidRDefault="00F7266B" w:rsidP="0022424B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No comments provided in support of this recommendation</w:t>
            </w:r>
          </w:p>
          <w:p w14:paraId="42E502E6" w14:textId="77777777" w:rsidR="00F7266B" w:rsidRPr="002860E2" w:rsidRDefault="00F7266B" w:rsidP="0022424B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  <w:p w14:paraId="66AD0DF0" w14:textId="77777777" w:rsidR="00F7266B" w:rsidRPr="002860E2" w:rsidRDefault="00F7266B" w:rsidP="0022424B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  <w:p w14:paraId="17FCAEF8" w14:textId="77777777" w:rsidR="00F7266B" w:rsidRPr="002860E2" w:rsidRDefault="00F7266B" w:rsidP="0022424B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46" w:type="dxa"/>
          </w:tcPr>
          <w:p w14:paraId="15B39C28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DR. JAIDEEP KUMAR </w:t>
            </w:r>
            <w:proofErr w:type="gramStart"/>
            <w:r w:rsidRPr="002A5081">
              <w:rPr>
                <w:rFonts w:asciiTheme="minorHAnsi" w:hAnsiTheme="minorHAnsi"/>
                <w:sz w:val="20"/>
                <w:szCs w:val="20"/>
              </w:rPr>
              <w:t>MISHRA ;</w:t>
            </w:r>
            <w:proofErr w:type="gram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DIRECTOR MINISTRY OF ELECTRONICS AND INFORMATION TECHNOLOGY, GOVERNMENT OF INDIA</w:t>
            </w:r>
          </w:p>
          <w:p w14:paraId="267A79BB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Brian King; IPC</w:t>
            </w:r>
          </w:p>
          <w:p w14:paraId="439CD48C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Dean S. Marks; Coalition for Online Accountability</w:t>
            </w:r>
          </w:p>
          <w:p w14:paraId="7292E1FD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Steve DelBianco; BC</w:t>
            </w:r>
          </w:p>
          <w:p w14:paraId="07F48CAB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Jeremy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Dallman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, David Ladd – Microsoft Threat Intelligence Center; Amy Hogan-Burney, Richard Boscovich – Digital Crimes Unit;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Makalika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Naholowaa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, Teresa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Rodewald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, Cam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Gatta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– Trademark; Mark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Svancarek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>, Ben Wallace, Paul Mitchell – Internet Technology &amp; Governance Policy; Cole Quinn – Domains and Registry; Joanne Charles – Privacy &amp; Regulatory Affairs; Microsoft Corporation</w:t>
            </w:r>
          </w:p>
          <w:p w14:paraId="4BC52302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Tucows Domains Inc.</w:t>
            </w:r>
          </w:p>
          <w:p w14:paraId="64DCE7FB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Michele Neylon;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Blacknight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Internet Solutions Ltd</w:t>
            </w:r>
          </w:p>
          <w:p w14:paraId="09BC6360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Sara Bockey; GoDaddy</w:t>
            </w:r>
          </w:p>
          <w:p w14:paraId="1B3D0F87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Volker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Greimann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>; Key-Systems GmbH</w:t>
            </w:r>
          </w:p>
          <w:p w14:paraId="1089639F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Zoe Bonython;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RrSG</w:t>
            </w:r>
            <w:proofErr w:type="spellEnd"/>
          </w:p>
          <w:p w14:paraId="01BF795F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Domain.com, LLC &amp; affiliates</w:t>
            </w:r>
          </w:p>
          <w:p w14:paraId="299FE43D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Wim </w:t>
            </w:r>
            <w:proofErr w:type="spellStart"/>
            <w:proofErr w:type="gramStart"/>
            <w:r w:rsidRPr="002A5081">
              <w:rPr>
                <w:rFonts w:asciiTheme="minorHAnsi" w:hAnsiTheme="minorHAnsi"/>
                <w:sz w:val="20"/>
                <w:szCs w:val="20"/>
              </w:rPr>
              <w:t>Degezelle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;</w:t>
            </w:r>
            <w:proofErr w:type="gram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RySG</w:t>
            </w:r>
          </w:p>
          <w:p w14:paraId="7603D0E0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Brian King;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MarkMonitor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>, Inc., a Clarivate Analytics company</w:t>
            </w:r>
          </w:p>
          <w:p w14:paraId="0B71149E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Lars Steffen; eco – Association of the Internet Industry</w:t>
            </w:r>
          </w:p>
          <w:p w14:paraId="0C30B2F7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Wolf-Ulrich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Knoben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>; ISPCP Constituency</w:t>
            </w:r>
          </w:p>
          <w:p w14:paraId="434E5EBC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Monica Sanders; i2Coalition</w:t>
            </w:r>
          </w:p>
          <w:p w14:paraId="30952432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David Martel </w:t>
            </w:r>
          </w:p>
          <w:p w14:paraId="649A5A18" w14:textId="77777777" w:rsidR="002A508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Etienne Laurin</w:t>
            </w:r>
          </w:p>
          <w:p w14:paraId="33FC6B31" w14:textId="107F32F2" w:rsidR="00287321" w:rsidRPr="002A5081" w:rsidRDefault="002A5081" w:rsidP="002A5081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Ben Butler; SSAC</w:t>
            </w:r>
          </w:p>
          <w:p w14:paraId="28AC62CC" w14:textId="52E5144B" w:rsidR="00F7266B" w:rsidRPr="002A5081" w:rsidRDefault="00F7266B" w:rsidP="00B60995">
            <w:pPr>
              <w:pStyle w:val="ListParagraph"/>
              <w:ind w:left="360"/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59" w:type="dxa"/>
          </w:tcPr>
          <w:p w14:paraId="24B73A4E" w14:textId="59F920BB" w:rsidR="00F7266B" w:rsidRPr="002860E2" w:rsidRDefault="00287321" w:rsidP="0022424B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00FF00"/>
              </w:rPr>
              <w:t xml:space="preserve">   </w:t>
            </w:r>
          </w:p>
          <w:p w14:paraId="579D5B3C" w14:textId="77777777" w:rsidR="002A5081" w:rsidRPr="002A5081" w:rsidRDefault="002A5081" w:rsidP="002A5081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  <w:highlight w:val="green"/>
              </w:rPr>
              <w:t>Support</w:t>
            </w:r>
            <w:r w:rsidRPr="002A5081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14:paraId="4AC1E1FD" w14:textId="77777777" w:rsidR="002A5081" w:rsidRPr="002A5081" w:rsidRDefault="002A5081" w:rsidP="002A5081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EPDP Response: The EPDP Team appreciates the support.</w:t>
            </w:r>
          </w:p>
          <w:p w14:paraId="0B0794E9" w14:textId="77777777" w:rsidR="002A5081" w:rsidRPr="002A5081" w:rsidRDefault="002A5081" w:rsidP="002A5081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  <w:p w14:paraId="244489AB" w14:textId="1543F9B6" w:rsidR="00F7266B" w:rsidRPr="002860E2" w:rsidRDefault="002A5081" w:rsidP="002A5081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Action Taken: None </w:t>
            </w:r>
            <w:r w:rsidRPr="002860E2">
              <w:rPr>
                <w:rFonts w:asciiTheme="minorHAnsi" w:hAnsiTheme="minorHAnsi"/>
                <w:b/>
                <w:color w:val="FF0000"/>
                <w:sz w:val="20"/>
                <w:szCs w:val="20"/>
                <w:highlight w:val="yellow"/>
              </w:rPr>
              <w:t>COMPLETED</w:t>
            </w:r>
          </w:p>
        </w:tc>
      </w:tr>
      <w:tr w:rsidR="00287321" w:rsidRPr="002860E2" w14:paraId="3ACC65AB" w14:textId="77777777" w:rsidTr="00287321">
        <w:trPr>
          <w:cantSplit/>
        </w:trPr>
        <w:tc>
          <w:tcPr>
            <w:tcW w:w="15282" w:type="dxa"/>
            <w:gridSpan w:val="4"/>
            <w:shd w:val="clear" w:color="auto" w:fill="70AD47" w:themeFill="accent6"/>
          </w:tcPr>
          <w:p w14:paraId="5DD1202E" w14:textId="08EAF654" w:rsidR="00287321" w:rsidRDefault="00287321" w:rsidP="00A87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00FF00"/>
              </w:rPr>
            </w:pPr>
            <w:r w:rsidRPr="002B3C04">
              <w:rPr>
                <w:rFonts w:asciiTheme="minorHAnsi" w:hAnsiTheme="minorHAnsi"/>
                <w:b/>
                <w:color w:val="000000" w:themeColor="text1"/>
                <w:sz w:val="22"/>
              </w:rPr>
              <w:t>Support intent of recommendation with edits</w:t>
            </w:r>
          </w:p>
        </w:tc>
      </w:tr>
      <w:tr w:rsidR="00A87111" w:rsidRPr="002860E2" w14:paraId="321F2334" w14:textId="77777777" w:rsidTr="00287321">
        <w:trPr>
          <w:cantSplit/>
        </w:trPr>
        <w:tc>
          <w:tcPr>
            <w:tcW w:w="0" w:type="auto"/>
          </w:tcPr>
          <w:p w14:paraId="39A2393F" w14:textId="77777777" w:rsidR="00A87111" w:rsidRPr="002860E2" w:rsidRDefault="00A87111" w:rsidP="00A87111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951" w:type="dxa"/>
          </w:tcPr>
          <w:p w14:paraId="22260E74" w14:textId="77777777" w:rsidR="00287321" w:rsidRDefault="00283FC8" w:rsidP="00A87111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283FC8">
              <w:rPr>
                <w:rFonts w:asciiTheme="minorHAnsi" w:hAnsiTheme="minorHAnsi"/>
                <w:sz w:val="20"/>
                <w:szCs w:val="20"/>
              </w:rPr>
              <w:t>Recommendation should add “but not including the domain name registrant” after “EBERO providers”</w:t>
            </w:r>
          </w:p>
          <w:p w14:paraId="49B4380C" w14:textId="77777777" w:rsidR="00283FC8" w:rsidRDefault="00283FC8" w:rsidP="00A87111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  <w:p w14:paraId="778AD9FB" w14:textId="2414DF50" w:rsidR="00283FC8" w:rsidRPr="002860E2" w:rsidRDefault="00283FC8" w:rsidP="00A87111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283FC8">
              <w:rPr>
                <w:rFonts w:asciiTheme="minorHAnsi" w:hAnsiTheme="minorHAnsi"/>
                <w:sz w:val="20"/>
                <w:szCs w:val="20"/>
              </w:rPr>
              <w:t>We just want to make sure that it is clear that we are not recommending that ICANN enter into contracts with registrants, as they are also non-contracted parties.</w:t>
            </w:r>
          </w:p>
        </w:tc>
        <w:tc>
          <w:tcPr>
            <w:tcW w:w="5446" w:type="dxa"/>
          </w:tcPr>
          <w:p w14:paraId="307A7697" w14:textId="77777777" w:rsidR="00A87111" w:rsidRPr="00660D47" w:rsidRDefault="00283FC8" w:rsidP="00660D47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660D47">
              <w:rPr>
                <w:rFonts w:asciiTheme="minorHAnsi" w:hAnsiTheme="minorHAnsi"/>
                <w:sz w:val="20"/>
                <w:szCs w:val="20"/>
              </w:rPr>
              <w:t xml:space="preserve">Farzaneh </w:t>
            </w:r>
            <w:proofErr w:type="spellStart"/>
            <w:r w:rsidRPr="00660D47">
              <w:rPr>
                <w:rFonts w:asciiTheme="minorHAnsi" w:hAnsiTheme="minorHAnsi"/>
                <w:sz w:val="20"/>
                <w:szCs w:val="20"/>
              </w:rPr>
              <w:t>Badii</w:t>
            </w:r>
            <w:proofErr w:type="spellEnd"/>
            <w:r w:rsidRPr="00660D47">
              <w:rPr>
                <w:rFonts w:asciiTheme="minorHAnsi" w:hAnsiTheme="minorHAnsi"/>
                <w:sz w:val="20"/>
                <w:szCs w:val="20"/>
              </w:rPr>
              <w:t>; Internet Governance Project</w:t>
            </w:r>
          </w:p>
          <w:p w14:paraId="4DBDC0D3" w14:textId="65245A7E" w:rsidR="00660D47" w:rsidRPr="00660D47" w:rsidRDefault="00660D47" w:rsidP="00660D47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660D47">
              <w:rPr>
                <w:rFonts w:asciiTheme="minorHAnsi" w:hAnsiTheme="minorHAnsi"/>
                <w:sz w:val="20"/>
                <w:szCs w:val="20"/>
              </w:rPr>
              <w:t xml:space="preserve">Ayden </w:t>
            </w:r>
            <w:proofErr w:type="spellStart"/>
            <w:r w:rsidRPr="00660D47">
              <w:rPr>
                <w:rFonts w:asciiTheme="minorHAnsi" w:hAnsiTheme="minorHAnsi"/>
                <w:sz w:val="20"/>
                <w:szCs w:val="20"/>
              </w:rPr>
              <w:t>Férdeline</w:t>
            </w:r>
            <w:proofErr w:type="spellEnd"/>
            <w:r w:rsidRPr="00660D47">
              <w:rPr>
                <w:rFonts w:asciiTheme="minorHAnsi" w:hAnsiTheme="minorHAnsi"/>
                <w:sz w:val="20"/>
                <w:szCs w:val="20"/>
              </w:rPr>
              <w:t>; NCSG</w:t>
            </w:r>
          </w:p>
        </w:tc>
        <w:tc>
          <w:tcPr>
            <w:tcW w:w="3559" w:type="dxa"/>
          </w:tcPr>
          <w:p w14:paraId="3CAFD141" w14:textId="7F5E1C4B" w:rsidR="00287321" w:rsidRPr="002860E2" w:rsidRDefault="00287321" w:rsidP="00287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9900"/>
              </w:rPr>
              <w:t>C</w:t>
            </w:r>
            <w:r w:rsidRPr="002860E2"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9900"/>
              </w:rPr>
              <w:t>oncerns</w:t>
            </w:r>
            <w:r w:rsidRPr="002860E2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  </w:t>
            </w:r>
          </w:p>
          <w:p w14:paraId="743D922B" w14:textId="77777777" w:rsidR="00A87111" w:rsidRPr="002B3C04" w:rsidRDefault="00A87111" w:rsidP="00A87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EPDP</w:t>
            </w:r>
            <w:r w:rsidRPr="002860E2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 xml:space="preserve"> Response: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</w:t>
            </w:r>
          </w:p>
          <w:p w14:paraId="791D6B7C" w14:textId="77777777" w:rsidR="00A87111" w:rsidRPr="002860E2" w:rsidRDefault="00A87111" w:rsidP="00A87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</w:p>
          <w:p w14:paraId="78B17B97" w14:textId="77777777" w:rsidR="00A87111" w:rsidRPr="002B3C04" w:rsidRDefault="00A87111" w:rsidP="00A87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2860E2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Action Taken: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</w:t>
            </w:r>
          </w:p>
          <w:p w14:paraId="4BDF4053" w14:textId="77777777" w:rsidR="00A87111" w:rsidRPr="002860E2" w:rsidRDefault="00A87111" w:rsidP="00A87111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  <w:p w14:paraId="4EB37C5B" w14:textId="77777777" w:rsidR="00A87111" w:rsidRPr="002860E2" w:rsidRDefault="00A87111" w:rsidP="00A87111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860E2">
              <w:rPr>
                <w:rFonts w:asciiTheme="minorHAnsi" w:hAnsiTheme="minorHAnsi"/>
                <w:sz w:val="20"/>
                <w:szCs w:val="20"/>
              </w:rPr>
              <w:t>[</w:t>
            </w:r>
            <w:r w:rsidRPr="002860E2">
              <w:rPr>
                <w:rFonts w:asciiTheme="minorHAnsi" w:hAnsiTheme="minorHAnsi"/>
                <w:b/>
                <w:color w:val="FF0000"/>
                <w:sz w:val="20"/>
                <w:szCs w:val="20"/>
                <w:highlight w:val="yellow"/>
              </w:rPr>
              <w:t>COMPLETED / NOT COMPLETED</w:t>
            </w:r>
            <w:r w:rsidRPr="002860E2">
              <w:rPr>
                <w:rFonts w:asciiTheme="minorHAnsi" w:hAnsiTheme="minorHAnsi"/>
                <w:sz w:val="20"/>
                <w:szCs w:val="20"/>
              </w:rPr>
              <w:t>] – [Instruction of what was done.]</w:t>
            </w:r>
          </w:p>
          <w:p w14:paraId="56B67E7B" w14:textId="77777777" w:rsidR="00A87111" w:rsidRPr="002860E2" w:rsidRDefault="00A87111" w:rsidP="00A87111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87111" w:rsidRPr="002860E2" w14:paraId="48B0E8FF" w14:textId="77777777" w:rsidTr="0022424B">
        <w:trPr>
          <w:cantSplit/>
        </w:trPr>
        <w:tc>
          <w:tcPr>
            <w:tcW w:w="15282" w:type="dxa"/>
            <w:gridSpan w:val="4"/>
            <w:shd w:val="clear" w:color="auto" w:fill="FFFF00"/>
          </w:tcPr>
          <w:p w14:paraId="519127CE" w14:textId="77777777" w:rsidR="00A87111" w:rsidRPr="008D7EE5" w:rsidRDefault="00A87111" w:rsidP="00A87111">
            <w:pPr>
              <w:pStyle w:val="ColorfulList-Accent11"/>
              <w:ind w:left="0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  <w:shd w:val="clear" w:color="auto" w:fill="FF9900"/>
              </w:rPr>
            </w:pPr>
            <w:r w:rsidRPr="002B3C04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Intent and wording of this recommendation requires amendment</w:t>
            </w:r>
          </w:p>
        </w:tc>
      </w:tr>
      <w:tr w:rsidR="00283FC8" w:rsidRPr="002860E2" w14:paraId="6F5951E0" w14:textId="77777777" w:rsidTr="00283FC8">
        <w:trPr>
          <w:cantSplit/>
          <w:trHeight w:val="341"/>
        </w:trPr>
        <w:tc>
          <w:tcPr>
            <w:tcW w:w="15282" w:type="dxa"/>
            <w:gridSpan w:val="4"/>
            <w:shd w:val="clear" w:color="auto" w:fill="FF0000"/>
          </w:tcPr>
          <w:p w14:paraId="6D123A73" w14:textId="221602C9" w:rsidR="00283FC8" w:rsidRPr="002860E2" w:rsidRDefault="00283FC8" w:rsidP="00A87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9900"/>
              </w:rPr>
            </w:pPr>
            <w:bookmarkStart w:id="2" w:name="_GoBack"/>
            <w:bookmarkEnd w:id="2"/>
            <w:r w:rsidRPr="002B3C0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Delete recommendation</w:t>
            </w:r>
          </w:p>
        </w:tc>
      </w:tr>
      <w:tr w:rsidR="00283FC8" w:rsidRPr="002860E2" w14:paraId="0234DB59" w14:textId="77777777" w:rsidTr="00287321">
        <w:trPr>
          <w:cantSplit/>
          <w:trHeight w:val="1331"/>
        </w:trPr>
        <w:tc>
          <w:tcPr>
            <w:tcW w:w="0" w:type="auto"/>
          </w:tcPr>
          <w:p w14:paraId="029A3929" w14:textId="77777777" w:rsidR="00283FC8" w:rsidRPr="002860E2" w:rsidRDefault="00283FC8" w:rsidP="00283FC8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951" w:type="dxa"/>
          </w:tcPr>
          <w:p w14:paraId="5FEC7CE0" w14:textId="77777777" w:rsidR="00283FC8" w:rsidRPr="00283FC8" w:rsidRDefault="00283FC8" w:rsidP="00283FC8">
            <w:pPr>
              <w:pStyle w:val="ColorfulList-Accent11"/>
              <w:ind w:left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283FC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Not enough information to determine whether this recommendation is appropriate. Recommendation #21 also seems premature. Sure, ICANN should comply with the law. Unsure if that requires what you "recommend." Recommendation #21 as worded sounds like the EPDP working group is rendering legal advice to ICANN. I thought the EPDP working group had not yet retained independent legal counsel. Ask your "independent legal counsel" when retained, for an opinion on this.</w:t>
            </w:r>
          </w:p>
          <w:p w14:paraId="4B974472" w14:textId="77777777" w:rsidR="00283FC8" w:rsidRPr="00283FC8" w:rsidRDefault="00283FC8" w:rsidP="00283FC8">
            <w:pPr>
              <w:pStyle w:val="ColorfulList-Accent11"/>
              <w:ind w:left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  <w:p w14:paraId="718F97EF" w14:textId="35F343E9" w:rsidR="00283FC8" w:rsidRPr="00283FC8" w:rsidRDefault="00283FC8" w:rsidP="00283FC8">
            <w:pPr>
              <w:pStyle w:val="ColorfulList-Accent11"/>
              <w:ind w:left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283FC8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Roles and responsibilities re: GDPR seem to still be unclear in many areas at ICANN even though ICANN org had two years (May 2016 - May 2018) to prepare for the GDPR enforcement date of May 25, 2018. ICANN management seem to have based their delusional GDPR strategy on getting "legal guidance" and a last minute "moratorium" from the EDPB or its predecessor.</w:t>
            </w:r>
          </w:p>
        </w:tc>
        <w:tc>
          <w:tcPr>
            <w:tcW w:w="5446" w:type="dxa"/>
          </w:tcPr>
          <w:p w14:paraId="2CC494F4" w14:textId="4181EB71" w:rsidR="00283FC8" w:rsidRPr="002860E2" w:rsidRDefault="00283FC8" w:rsidP="00283FC8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83FC8">
              <w:rPr>
                <w:rFonts w:asciiTheme="minorHAnsi" w:hAnsiTheme="minorHAnsi"/>
                <w:sz w:val="20"/>
                <w:szCs w:val="20"/>
              </w:rPr>
              <w:t>John Poole; Domain Name Registrant</w:t>
            </w:r>
          </w:p>
        </w:tc>
        <w:tc>
          <w:tcPr>
            <w:tcW w:w="3559" w:type="dxa"/>
          </w:tcPr>
          <w:p w14:paraId="771EF663" w14:textId="519C5BD7" w:rsidR="00283FC8" w:rsidRPr="002860E2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283FC8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red"/>
                <w:shd w:val="clear" w:color="auto" w:fill="FF9900"/>
              </w:rPr>
              <w:t>Divergence</w:t>
            </w:r>
          </w:p>
          <w:p w14:paraId="79DF3B0F" w14:textId="77777777" w:rsidR="00283FC8" w:rsidRPr="002B3C04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EPDP</w:t>
            </w:r>
            <w:r w:rsidRPr="002860E2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 xml:space="preserve"> Response: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</w:t>
            </w:r>
          </w:p>
          <w:p w14:paraId="03E99B79" w14:textId="77777777" w:rsidR="00283FC8" w:rsidRPr="002860E2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</w:p>
          <w:p w14:paraId="33FE2F86" w14:textId="77777777" w:rsidR="00283FC8" w:rsidRPr="002B3C04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2860E2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Action Taken: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</w:t>
            </w:r>
          </w:p>
          <w:p w14:paraId="3971F4DB" w14:textId="77777777" w:rsidR="00283FC8" w:rsidRPr="002860E2" w:rsidRDefault="00283FC8" w:rsidP="00283FC8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  <w:p w14:paraId="63CB52D8" w14:textId="77777777" w:rsidR="00283FC8" w:rsidRPr="002860E2" w:rsidRDefault="00283FC8" w:rsidP="00283FC8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860E2">
              <w:rPr>
                <w:rFonts w:asciiTheme="minorHAnsi" w:hAnsiTheme="minorHAnsi"/>
                <w:sz w:val="20"/>
                <w:szCs w:val="20"/>
              </w:rPr>
              <w:t>[</w:t>
            </w:r>
            <w:r w:rsidRPr="002860E2">
              <w:rPr>
                <w:rFonts w:asciiTheme="minorHAnsi" w:hAnsiTheme="minorHAnsi"/>
                <w:b/>
                <w:color w:val="FF0000"/>
                <w:sz w:val="20"/>
                <w:szCs w:val="20"/>
                <w:highlight w:val="yellow"/>
              </w:rPr>
              <w:t>COMPLETED / NOT COMPLETED</w:t>
            </w:r>
            <w:r w:rsidRPr="002860E2">
              <w:rPr>
                <w:rFonts w:asciiTheme="minorHAnsi" w:hAnsiTheme="minorHAnsi"/>
                <w:sz w:val="20"/>
                <w:szCs w:val="20"/>
              </w:rPr>
              <w:t>] – [Instruction of what was done.]</w:t>
            </w:r>
          </w:p>
          <w:p w14:paraId="0C93190E" w14:textId="77777777" w:rsidR="00283FC8" w:rsidRPr="002860E2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9900"/>
              </w:rPr>
            </w:pPr>
          </w:p>
        </w:tc>
      </w:tr>
      <w:tr w:rsidR="00283FC8" w:rsidRPr="002860E2" w14:paraId="4662A301" w14:textId="77777777" w:rsidTr="0022424B">
        <w:trPr>
          <w:cantSplit/>
        </w:trPr>
        <w:tc>
          <w:tcPr>
            <w:tcW w:w="0" w:type="auto"/>
            <w:gridSpan w:val="4"/>
            <w:shd w:val="clear" w:color="auto" w:fill="FF0000"/>
          </w:tcPr>
          <w:p w14:paraId="27A6D5BE" w14:textId="77777777" w:rsidR="00283FC8" w:rsidRPr="008D7EE5" w:rsidRDefault="00283FC8" w:rsidP="00283FC8">
            <w:pPr>
              <w:pStyle w:val="ColorfulList-Accent11"/>
              <w:ind w:left="0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  <w:shd w:val="clear" w:color="auto" w:fill="FF9900"/>
              </w:rPr>
            </w:pPr>
            <w:r w:rsidRPr="002B3C0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Delete recommendation</w:t>
            </w:r>
          </w:p>
        </w:tc>
      </w:tr>
      <w:tr w:rsidR="00283FC8" w:rsidRPr="002860E2" w14:paraId="73970316" w14:textId="77777777" w:rsidTr="0022424B">
        <w:trPr>
          <w:cantSplit/>
        </w:trPr>
        <w:tc>
          <w:tcPr>
            <w:tcW w:w="0" w:type="auto"/>
            <w:gridSpan w:val="4"/>
            <w:shd w:val="clear" w:color="auto" w:fill="DEEAF6" w:themeFill="accent5" w:themeFillTint="33"/>
          </w:tcPr>
          <w:p w14:paraId="4C4E5170" w14:textId="77777777" w:rsidR="00283FC8" w:rsidRPr="002860E2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9900"/>
              </w:rPr>
            </w:pPr>
            <w:r w:rsidRPr="000B5015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Not designated</w:t>
            </w:r>
          </w:p>
        </w:tc>
      </w:tr>
      <w:tr w:rsidR="00283FC8" w:rsidRPr="002860E2" w14:paraId="13081EEC" w14:textId="77777777" w:rsidTr="00287321">
        <w:trPr>
          <w:cantSplit/>
        </w:trPr>
        <w:tc>
          <w:tcPr>
            <w:tcW w:w="0" w:type="auto"/>
          </w:tcPr>
          <w:p w14:paraId="035E5530" w14:textId="77777777" w:rsidR="00283FC8" w:rsidRPr="002860E2" w:rsidRDefault="00283FC8" w:rsidP="00283FC8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951" w:type="dxa"/>
          </w:tcPr>
          <w:p w14:paraId="190AFF95" w14:textId="77777777" w:rsidR="00283FC8" w:rsidRPr="002860E2" w:rsidRDefault="00283FC8" w:rsidP="00283FC8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  <w:p w14:paraId="55FBA5A9" w14:textId="77777777" w:rsidR="00283FC8" w:rsidRPr="002860E2" w:rsidRDefault="00283FC8" w:rsidP="00283FC8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  <w:p w14:paraId="320F1684" w14:textId="77777777" w:rsidR="00283FC8" w:rsidRPr="002860E2" w:rsidRDefault="00283FC8" w:rsidP="00283FC8">
            <w:pPr>
              <w:pStyle w:val="ColorfulList-Accent11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46" w:type="dxa"/>
          </w:tcPr>
          <w:p w14:paraId="01DA1F59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Sivasubramanian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Muthusamy; Internet Society India Chennai</w:t>
            </w:r>
          </w:p>
          <w:p w14:paraId="27F14E3C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Lori Schulman Senior Director, Internet Policy; International Trademark Association (INTA)</w:t>
            </w:r>
          </w:p>
          <w:p w14:paraId="6F53106A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George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Kirikos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>; Leap of Faith Financial Services Inc.</w:t>
            </w:r>
          </w:p>
          <w:p w14:paraId="60A9A153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Tim Chen;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DomainTools</w:t>
            </w:r>
            <w:proofErr w:type="spellEnd"/>
          </w:p>
          <w:p w14:paraId="669EDFDE" w14:textId="2ABA2D44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Mark Massey; Domain Name Rights Coalition</w:t>
            </w:r>
          </w:p>
          <w:p w14:paraId="77FF2502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Steve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Gobin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>; Corporate domain name management</w:t>
            </w:r>
          </w:p>
          <w:p w14:paraId="123BA402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Ashley Heineman; NTIA</w:t>
            </w:r>
          </w:p>
          <w:p w14:paraId="150F91F5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Neil Fried; The Motion Picture Association of America</w:t>
            </w:r>
          </w:p>
          <w:p w14:paraId="115F2472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Sajda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Ouachtouki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>; The Walt Disney Company</w:t>
            </w:r>
          </w:p>
          <w:p w14:paraId="0A05E4FC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Greg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Mounier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on behalf of Europol AGIS; Europol Advisory Group on Internet Security</w:t>
            </w:r>
          </w:p>
          <w:p w14:paraId="1F2E5A89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Monique A.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Goeschl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;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Verein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für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Anti-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Piraterie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der Film- und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Videobranche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(VAP)</w:t>
            </w:r>
          </w:p>
          <w:p w14:paraId="5053FC15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Fabien Betremieux; GAC</w:t>
            </w:r>
          </w:p>
          <w:p w14:paraId="40FA81F4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Brian Beckham; Head, Internet Dispute Resolution Section at WIPO</w:t>
            </w:r>
          </w:p>
          <w:p w14:paraId="65583CB0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Theo Geurts</w:t>
            </w:r>
          </w:p>
          <w:p w14:paraId="051D1DFB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Ivett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Paulovics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; MFSD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Srl</w:t>
            </w:r>
            <w:proofErr w:type="spellEnd"/>
            <w:r w:rsidRPr="002A5081">
              <w:rPr>
                <w:rFonts w:asciiTheme="minorHAnsi" w:hAnsiTheme="minorHAnsi"/>
                <w:sz w:val="20"/>
                <w:szCs w:val="20"/>
              </w:rPr>
              <w:t xml:space="preserve"> URS Provider</w:t>
            </w:r>
          </w:p>
          <w:p w14:paraId="4913EB31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 xml:space="preserve">Ashley Roberts; </w:t>
            </w:r>
            <w:proofErr w:type="spellStart"/>
            <w:r w:rsidRPr="002A5081">
              <w:rPr>
                <w:rFonts w:asciiTheme="minorHAnsi" w:hAnsiTheme="minorHAnsi"/>
                <w:sz w:val="20"/>
                <w:szCs w:val="20"/>
              </w:rPr>
              <w:t>Valideus</w:t>
            </w:r>
            <w:proofErr w:type="spellEnd"/>
          </w:p>
          <w:p w14:paraId="1C329BCE" w14:textId="77777777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Renee Fossen; Forum - URS and UDRP Provider</w:t>
            </w:r>
          </w:p>
          <w:p w14:paraId="3E29AAAD" w14:textId="5C9001FB" w:rsidR="00283FC8" w:rsidRPr="002A5081" w:rsidRDefault="00283FC8" w:rsidP="00283FC8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A5081">
              <w:rPr>
                <w:rFonts w:asciiTheme="minorHAnsi" w:hAnsiTheme="minorHAnsi"/>
                <w:sz w:val="20"/>
                <w:szCs w:val="20"/>
              </w:rPr>
              <w:t>Stephanie Perrin</w:t>
            </w:r>
          </w:p>
        </w:tc>
        <w:tc>
          <w:tcPr>
            <w:tcW w:w="3559" w:type="dxa"/>
          </w:tcPr>
          <w:p w14:paraId="5F8583BD" w14:textId="77777777" w:rsidR="00283FC8" w:rsidRPr="002860E2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2860E2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 </w:t>
            </w:r>
          </w:p>
          <w:p w14:paraId="201BE226" w14:textId="77777777" w:rsidR="00283FC8" w:rsidRPr="002B3C04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EPDP</w:t>
            </w:r>
            <w:r w:rsidRPr="002860E2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 xml:space="preserve"> Response: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none</w:t>
            </w:r>
          </w:p>
          <w:p w14:paraId="68BF8247" w14:textId="77777777" w:rsidR="00283FC8" w:rsidRPr="002860E2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</w:p>
          <w:p w14:paraId="15F5B9A8" w14:textId="77777777" w:rsidR="00283FC8" w:rsidRPr="002B3C04" w:rsidRDefault="00283FC8" w:rsidP="00283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2860E2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Action Taken: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none</w:t>
            </w:r>
          </w:p>
          <w:p w14:paraId="0EE03009" w14:textId="77777777" w:rsidR="00283FC8" w:rsidRPr="002860E2" w:rsidRDefault="00283FC8" w:rsidP="00283FC8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  <w:p w14:paraId="499F801E" w14:textId="77777777" w:rsidR="00283FC8" w:rsidRPr="002860E2" w:rsidRDefault="00283FC8" w:rsidP="00283FC8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2860E2">
              <w:rPr>
                <w:rFonts w:asciiTheme="minorHAnsi" w:hAnsiTheme="minorHAnsi"/>
                <w:sz w:val="20"/>
                <w:szCs w:val="20"/>
              </w:rPr>
              <w:t>[</w:t>
            </w:r>
            <w:r w:rsidRPr="002860E2">
              <w:rPr>
                <w:rFonts w:asciiTheme="minorHAnsi" w:hAnsiTheme="minorHAnsi"/>
                <w:b/>
                <w:color w:val="FF0000"/>
                <w:sz w:val="20"/>
                <w:szCs w:val="20"/>
                <w:highlight w:val="yellow"/>
              </w:rPr>
              <w:t>COMPLETED</w:t>
            </w:r>
            <w:r w:rsidRPr="002860E2">
              <w:rPr>
                <w:rFonts w:asciiTheme="minorHAnsi" w:hAnsiTheme="minorHAnsi"/>
                <w:sz w:val="20"/>
                <w:szCs w:val="20"/>
              </w:rPr>
              <w:t>]</w:t>
            </w:r>
          </w:p>
          <w:p w14:paraId="0702D73E" w14:textId="77777777" w:rsidR="00283FC8" w:rsidRPr="002860E2" w:rsidRDefault="00283FC8" w:rsidP="00283FC8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996FC75" w14:textId="77777777" w:rsidR="00F7266B" w:rsidRPr="002860E2" w:rsidRDefault="00F7266B" w:rsidP="00F7266B">
      <w:pPr>
        <w:rPr>
          <w:rFonts w:asciiTheme="minorHAnsi" w:hAnsiTheme="minorHAnsi"/>
        </w:rPr>
      </w:pPr>
    </w:p>
    <w:p w14:paraId="705FDB3C" w14:textId="77777777" w:rsidR="00F7266B" w:rsidRDefault="00F7266B" w:rsidP="00F7266B"/>
    <w:p w14:paraId="286A789F" w14:textId="77777777" w:rsidR="00404709" w:rsidRDefault="00404709"/>
    <w:sectPr w:rsidR="00404709" w:rsidSect="00AA0B8D">
      <w:footerReference w:type="default" r:id="rId8"/>
      <w:pgSz w:w="16840" w:h="11900" w:orient="landscape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D1ABD" w14:textId="77777777" w:rsidR="00367181" w:rsidRDefault="00367181">
      <w:r>
        <w:separator/>
      </w:r>
    </w:p>
  </w:endnote>
  <w:endnote w:type="continuationSeparator" w:id="0">
    <w:p w14:paraId="667BE9AE" w14:textId="77777777" w:rsidR="00367181" w:rsidRDefault="00367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08AE8" w14:textId="77777777" w:rsidR="00EC2C46" w:rsidRDefault="00A8711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14:paraId="593DDA0B" w14:textId="77777777" w:rsidR="00EC2C46" w:rsidRDefault="003671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188F9" w14:textId="77777777" w:rsidR="00367181" w:rsidRDefault="00367181">
      <w:r>
        <w:separator/>
      </w:r>
    </w:p>
  </w:footnote>
  <w:footnote w:type="continuationSeparator" w:id="0">
    <w:p w14:paraId="3A7CFCF4" w14:textId="77777777" w:rsidR="00367181" w:rsidRDefault="00367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40574"/>
    <w:multiLevelType w:val="hybridMultilevel"/>
    <w:tmpl w:val="BC5E0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A836C0"/>
    <w:multiLevelType w:val="hybridMultilevel"/>
    <w:tmpl w:val="3FD662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1C28C8"/>
    <w:multiLevelType w:val="hybridMultilevel"/>
    <w:tmpl w:val="60ECA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AF1241"/>
    <w:multiLevelType w:val="hybridMultilevel"/>
    <w:tmpl w:val="EE14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33112"/>
    <w:multiLevelType w:val="hybridMultilevel"/>
    <w:tmpl w:val="43301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E40207"/>
    <w:multiLevelType w:val="hybridMultilevel"/>
    <w:tmpl w:val="E654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16E56"/>
    <w:multiLevelType w:val="hybridMultilevel"/>
    <w:tmpl w:val="86CCDBFA"/>
    <w:lvl w:ilvl="0" w:tplc="E98886BA">
      <w:start w:val="1"/>
      <w:numFmt w:val="decimal"/>
      <w:lvlText w:val="%1."/>
      <w:lvlJc w:val="left"/>
      <w:pPr>
        <w:ind w:left="810" w:hanging="720"/>
      </w:pPr>
      <w:rPr>
        <w:rFonts w:hint="default"/>
      </w:rPr>
    </w:lvl>
    <w:lvl w:ilvl="1" w:tplc="AA20F8F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16E25"/>
    <w:multiLevelType w:val="hybridMultilevel"/>
    <w:tmpl w:val="98A2F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6B"/>
    <w:rsid w:val="00060691"/>
    <w:rsid w:val="00064A4B"/>
    <w:rsid w:val="00253595"/>
    <w:rsid w:val="00283FC8"/>
    <w:rsid w:val="00287321"/>
    <w:rsid w:val="002A5081"/>
    <w:rsid w:val="00301A08"/>
    <w:rsid w:val="00367181"/>
    <w:rsid w:val="00404709"/>
    <w:rsid w:val="00440337"/>
    <w:rsid w:val="00440B65"/>
    <w:rsid w:val="00631EA4"/>
    <w:rsid w:val="00660D47"/>
    <w:rsid w:val="00914CE1"/>
    <w:rsid w:val="00A755C1"/>
    <w:rsid w:val="00A87111"/>
    <w:rsid w:val="00B60995"/>
    <w:rsid w:val="00BE2C60"/>
    <w:rsid w:val="00D454F2"/>
    <w:rsid w:val="00D976CF"/>
    <w:rsid w:val="00DA70C9"/>
    <w:rsid w:val="00DC58CE"/>
    <w:rsid w:val="00EE39BE"/>
    <w:rsid w:val="00F51FE4"/>
    <w:rsid w:val="00F56E30"/>
    <w:rsid w:val="00F7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A06F5"/>
  <w15:chartTrackingRefBased/>
  <w15:docId w15:val="{F52C72A4-D3F6-5149-8A18-8A669702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7266B"/>
    <w:rPr>
      <w:rFonts w:ascii="Cambria" w:eastAsia="MS Mincho" w:hAnsi="Cambr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266B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66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7266B"/>
    <w:pPr>
      <w:ind w:left="720"/>
      <w:contextualSpacing/>
    </w:pPr>
    <w:rPr>
      <w:rFonts w:eastAsia="Cambria"/>
    </w:rPr>
  </w:style>
  <w:style w:type="paragraph" w:styleId="ListParagraph">
    <w:name w:val="List Paragraph"/>
    <w:basedOn w:val="Normal"/>
    <w:uiPriority w:val="34"/>
    <w:qFormat/>
    <w:rsid w:val="00F7266B"/>
    <w:pPr>
      <w:ind w:left="720"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726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66B"/>
    <w:rPr>
      <w:rFonts w:ascii="Cambria" w:eastAsia="MS Mincho" w:hAnsi="Cambria" w:cs="Times New Roman"/>
    </w:rPr>
  </w:style>
  <w:style w:type="character" w:styleId="Hyperlink">
    <w:name w:val="Hyperlink"/>
    <w:basedOn w:val="DefaultParagraphFont"/>
    <w:uiPriority w:val="99"/>
    <w:unhideWhenUsed/>
    <w:rsid w:val="00F726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/Users/caitlin.tubergen/Downloads/EPDP%20On%20the%20Temporary%20Specification%20for%20gTLD%20Registration%20Data%20-%20Public%20Comment%20Proceeding%20Input%20Form%20(Responses)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1-DDB2-A243-AAB9-4602BDFD35A0}"/>
              </c:ext>
            </c:extLst>
          </c:dPt>
          <c:dPt>
            <c:idx val="1"/>
            <c:bubble3D val="0"/>
            <c:spPr>
              <a:solidFill>
                <a:srgbClr val="92D050"/>
              </a:solidFill>
            </c:spPr>
            <c:extLst>
              <c:ext xmlns:c16="http://schemas.microsoft.com/office/drawing/2014/chart" uri="{C3380CC4-5D6E-409C-BE32-E72D297353CC}">
                <c16:uniqueId val="{00000003-DDB2-A243-AAB9-4602BDFD35A0}"/>
              </c:ext>
            </c:extLst>
          </c:dPt>
          <c:dPt>
            <c:idx val="2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5-DDB2-A243-AAB9-4602BDFD35A0}"/>
              </c:ext>
            </c:extLst>
          </c:dPt>
          <c:dPt>
            <c:idx val="3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7-DDB2-A243-AAB9-4602BDFD35A0}"/>
              </c:ext>
            </c:extLst>
          </c:dPt>
          <c:dPt>
            <c:idx val="4"/>
            <c:bubble3D val="0"/>
            <c:spPr>
              <a:solidFill>
                <a:schemeClr val="accent5">
                  <a:lumMod val="20000"/>
                  <a:lumOff val="8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9-DDB2-A243-AAB9-4602BDFD35A0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'Form Responses'!$DW$47:$DW$51</c:f>
              <c:strCache>
                <c:ptCount val="5"/>
                <c:pt idx="0">
                  <c:v>Support recommendation as written</c:v>
                </c:pt>
                <c:pt idx="1">
                  <c:v>Support intent of recommendation with edits</c:v>
                </c:pt>
                <c:pt idx="2">
                  <c:v>Intent and wording of this recommendation requires amendment</c:v>
                </c:pt>
                <c:pt idx="3">
                  <c:v>Delete recommendation</c:v>
                </c:pt>
                <c:pt idx="4">
                  <c:v>Not designated</c:v>
                </c:pt>
              </c:strCache>
            </c:strRef>
          </c:cat>
          <c:val>
            <c:numRef>
              <c:f>'Form Responses'!$DX$47:$DX$51</c:f>
              <c:numCache>
                <c:formatCode>General</c:formatCode>
                <c:ptCount val="5"/>
                <c:pt idx="0">
                  <c:v>19</c:v>
                </c:pt>
                <c:pt idx="1">
                  <c:v>2</c:v>
                </c:pt>
                <c:pt idx="2">
                  <c:v>0</c:v>
                </c:pt>
                <c:pt idx="3">
                  <c:v>1</c:v>
                </c:pt>
                <c:pt idx="4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DB2-A243-AAB9-4602BDFD35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solidFill>
      <a:schemeClr val="bg1">
        <a:lumMod val="85000"/>
      </a:schemeClr>
    </a:solidFill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Tubergen</dc:creator>
  <cp:keywords/>
  <dc:description/>
  <cp:lastModifiedBy>Caitlin Tubergen</cp:lastModifiedBy>
  <cp:revision>6</cp:revision>
  <dcterms:created xsi:type="dcterms:W3CDTF">2018-12-29T00:42:00Z</dcterms:created>
  <dcterms:modified xsi:type="dcterms:W3CDTF">2018-12-29T01:08:00Z</dcterms:modified>
</cp:coreProperties>
</file>