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F95D3" w14:textId="77777777" w:rsidR="00F7266B" w:rsidRPr="002860E2" w:rsidRDefault="00F7266B" w:rsidP="00F7266B">
      <w:pPr>
        <w:contextualSpacing/>
        <w:rPr>
          <w:rFonts w:asciiTheme="minorHAnsi" w:hAnsiTheme="minorHAnsi"/>
          <w:b/>
          <w:sz w:val="22"/>
        </w:rPr>
      </w:pPr>
      <w:r w:rsidRPr="002860E2">
        <w:rPr>
          <w:rFonts w:asciiTheme="minorHAnsi" w:hAnsiTheme="minorHAnsi"/>
          <w:b/>
          <w:sz w:val="22"/>
        </w:rPr>
        <w:t xml:space="preserve">Public Comment Review Tool – </w:t>
      </w:r>
      <w:r>
        <w:rPr>
          <w:rFonts w:asciiTheme="minorHAnsi" w:hAnsiTheme="minorHAnsi"/>
          <w:b/>
          <w:sz w:val="22"/>
        </w:rPr>
        <w:t>EPDP</w:t>
      </w:r>
      <w:r w:rsidRPr="002860E2">
        <w:rPr>
          <w:rFonts w:asciiTheme="minorHAnsi" w:hAnsiTheme="minorHAnsi"/>
          <w:b/>
          <w:sz w:val="22"/>
        </w:rPr>
        <w:t xml:space="preserve"> – </w:t>
      </w:r>
      <w:r>
        <w:rPr>
          <w:rFonts w:asciiTheme="minorHAnsi" w:hAnsiTheme="minorHAnsi"/>
          <w:b/>
          <w:sz w:val="22"/>
        </w:rPr>
        <w:t>Initial Report</w:t>
      </w:r>
    </w:p>
    <w:p w14:paraId="3C537B5F" w14:textId="00C4D92B" w:rsidR="00F7266B" w:rsidRPr="002860E2" w:rsidRDefault="00F7266B" w:rsidP="00F7266B">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Pr>
          <w:rFonts w:asciiTheme="minorHAnsi" w:hAnsiTheme="minorHAnsi"/>
          <w:sz w:val="22"/>
          <w:highlight w:val="yellow"/>
        </w:rPr>
        <w:t>2</w:t>
      </w:r>
      <w:r w:rsidR="00631EA4">
        <w:rPr>
          <w:rFonts w:asciiTheme="minorHAnsi" w:hAnsiTheme="minorHAnsi"/>
          <w:sz w:val="22"/>
          <w:highlight w:val="yellow"/>
        </w:rPr>
        <w:t>8</w:t>
      </w:r>
      <w:r w:rsidRPr="00072C03">
        <w:rPr>
          <w:rFonts w:asciiTheme="minorHAnsi" w:hAnsiTheme="minorHAnsi"/>
          <w:sz w:val="22"/>
          <w:highlight w:val="yellow"/>
        </w:rPr>
        <w:t xml:space="preserve"> December 2018</w:t>
      </w:r>
    </w:p>
    <w:p w14:paraId="69B0BC6F" w14:textId="006F9516" w:rsidR="00F7266B" w:rsidRPr="002860E2" w:rsidRDefault="00F7266B" w:rsidP="00F7266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Pr="002860E2">
        <w:rPr>
          <w:rFonts w:asciiTheme="minorHAnsi" w:hAnsiTheme="minorHAnsi"/>
          <w:color w:val="FFFFFF" w:themeColor="background1"/>
        </w:rPr>
        <w:t xml:space="preserve"> </w:t>
      </w:r>
      <w:bookmarkEnd w:id="0"/>
      <w:r w:rsidR="00B60995">
        <w:rPr>
          <w:rFonts w:asciiTheme="minorHAnsi" w:hAnsiTheme="minorHAnsi"/>
          <w:color w:val="FFFFFF" w:themeColor="background1"/>
        </w:rPr>
        <w:t>20</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
        <w:gridCol w:w="5951"/>
        <w:gridCol w:w="5446"/>
        <w:gridCol w:w="3559"/>
      </w:tblGrid>
      <w:tr w:rsidR="00F7266B" w:rsidRPr="002860E2" w14:paraId="4F75EDBD" w14:textId="77777777" w:rsidTr="00287321">
        <w:trPr>
          <w:tblHeader/>
        </w:trPr>
        <w:tc>
          <w:tcPr>
            <w:tcW w:w="0" w:type="auto"/>
            <w:tcBorders>
              <w:bottom w:val="single" w:sz="4" w:space="0" w:color="000000"/>
            </w:tcBorders>
            <w:shd w:val="clear" w:color="auto" w:fill="1768B1"/>
          </w:tcPr>
          <w:p w14:paraId="3C39E5C3"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5951" w:type="dxa"/>
            <w:tcBorders>
              <w:bottom w:val="single" w:sz="4" w:space="0" w:color="000000"/>
            </w:tcBorders>
            <w:shd w:val="clear" w:color="auto" w:fill="1768B1"/>
          </w:tcPr>
          <w:p w14:paraId="143031D9"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5446" w:type="dxa"/>
            <w:tcBorders>
              <w:bottom w:val="single" w:sz="4" w:space="0" w:color="000000"/>
            </w:tcBorders>
            <w:shd w:val="clear" w:color="auto" w:fill="1768B1"/>
          </w:tcPr>
          <w:p w14:paraId="17F51AAA" w14:textId="77777777" w:rsidR="00F7266B" w:rsidRPr="002860E2" w:rsidRDefault="00F7266B" w:rsidP="0022424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559" w:type="dxa"/>
            <w:tcBorders>
              <w:bottom w:val="single" w:sz="4" w:space="0" w:color="000000"/>
            </w:tcBorders>
            <w:shd w:val="clear" w:color="auto" w:fill="1768B1"/>
          </w:tcPr>
          <w:p w14:paraId="310CB484" w14:textId="77777777" w:rsidR="00F7266B" w:rsidRPr="002860E2" w:rsidRDefault="00F7266B" w:rsidP="0022424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F7266B" w:rsidRPr="002860E2" w14:paraId="144077BF" w14:textId="77777777" w:rsidTr="00B60995">
        <w:tc>
          <w:tcPr>
            <w:tcW w:w="15282" w:type="dxa"/>
            <w:gridSpan w:val="4"/>
            <w:tcBorders>
              <w:bottom w:val="single" w:sz="4" w:space="0" w:color="000000"/>
            </w:tcBorders>
            <w:shd w:val="clear" w:color="auto" w:fill="D9D9D9" w:themeFill="background1" w:themeFillShade="D9"/>
          </w:tcPr>
          <w:p w14:paraId="50DADEA2" w14:textId="77777777" w:rsidR="00B60995" w:rsidRPr="00B60995" w:rsidRDefault="00B60995" w:rsidP="00B60995">
            <w:pPr>
              <w:contextualSpacing/>
              <w:rPr>
                <w:rFonts w:asciiTheme="minorHAnsi" w:hAnsiTheme="minorHAnsi"/>
                <w:noProof/>
                <w:sz w:val="20"/>
                <w:szCs w:val="20"/>
              </w:rPr>
            </w:pPr>
            <w:r w:rsidRPr="00B60995">
              <w:rPr>
                <w:rFonts w:asciiTheme="minorHAnsi" w:hAnsiTheme="minorHAnsi"/>
                <w:noProof/>
                <w:sz w:val="20"/>
                <w:szCs w:val="20"/>
              </w:rPr>
              <w:t>The EPDP Team recommends that the GNSO Council, as part of its review of the Transfer</w:t>
            </w:r>
          </w:p>
          <w:p w14:paraId="779BBE99" w14:textId="77777777" w:rsidR="00B60995" w:rsidRPr="00B60995" w:rsidRDefault="00B60995" w:rsidP="00B60995">
            <w:pPr>
              <w:contextualSpacing/>
              <w:rPr>
                <w:rFonts w:asciiTheme="minorHAnsi" w:hAnsiTheme="minorHAnsi"/>
                <w:noProof/>
                <w:sz w:val="20"/>
                <w:szCs w:val="20"/>
              </w:rPr>
            </w:pPr>
            <w:r w:rsidRPr="00B60995">
              <w:rPr>
                <w:rFonts w:asciiTheme="minorHAnsi" w:hAnsiTheme="minorHAnsi"/>
                <w:noProof/>
                <w:sz w:val="20"/>
                <w:szCs w:val="20"/>
              </w:rPr>
              <w:t>Policy, specifically requests the review of the implications, as well as adjustments, that</w:t>
            </w:r>
          </w:p>
          <w:p w14:paraId="4CA080F8" w14:textId="71A10706" w:rsidR="00BE2C60" w:rsidRDefault="00B60995" w:rsidP="00B60995">
            <w:pPr>
              <w:contextualSpacing/>
              <w:rPr>
                <w:rFonts w:asciiTheme="minorHAnsi" w:hAnsiTheme="minorHAnsi"/>
                <w:noProof/>
                <w:sz w:val="20"/>
                <w:szCs w:val="20"/>
              </w:rPr>
            </w:pPr>
            <w:r w:rsidRPr="00B60995">
              <w:rPr>
                <w:rFonts w:asciiTheme="minorHAnsi" w:hAnsiTheme="minorHAnsi"/>
                <w:noProof/>
                <w:sz w:val="20"/>
                <w:szCs w:val="20"/>
              </w:rPr>
              <w:t>may be needed to the Transfer Policy as a result of GDPR.</w:t>
            </w:r>
          </w:p>
          <w:p w14:paraId="49976B76" w14:textId="5102787D" w:rsidR="00B60995" w:rsidRDefault="00B60995" w:rsidP="00B60995">
            <w:pPr>
              <w:contextualSpacing/>
              <w:rPr>
                <w:rFonts w:asciiTheme="minorHAnsi" w:hAnsiTheme="minorHAnsi"/>
                <w:noProof/>
                <w:sz w:val="20"/>
                <w:szCs w:val="20"/>
              </w:rPr>
            </w:pPr>
          </w:p>
          <w:p w14:paraId="66D53F74" w14:textId="425AD91B" w:rsidR="00B60995" w:rsidRDefault="00B60995" w:rsidP="00B60995">
            <w:pPr>
              <w:contextualSpacing/>
              <w:rPr>
                <w:rFonts w:asciiTheme="minorHAnsi" w:hAnsiTheme="minorHAnsi"/>
                <w:noProof/>
                <w:sz w:val="20"/>
                <w:szCs w:val="20"/>
              </w:rPr>
            </w:pPr>
            <w:r>
              <w:rPr>
                <w:noProof/>
              </w:rPr>
              <w:drawing>
                <wp:inline distT="0" distB="0" distL="0" distR="0" wp14:anchorId="3247A7D7" wp14:editId="01FEC471">
                  <wp:extent cx="4672146" cy="2785533"/>
                  <wp:effectExtent l="0" t="0" r="1905" b="0"/>
                  <wp:docPr id="1" name="Chart 1">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480977D" w14:textId="27031F82" w:rsidR="00BE2C60" w:rsidRPr="002860E2" w:rsidRDefault="00BE2C60" w:rsidP="00BE2C60">
            <w:pPr>
              <w:contextualSpacing/>
              <w:rPr>
                <w:rFonts w:asciiTheme="minorHAnsi" w:hAnsiTheme="minorHAnsi"/>
                <w:b/>
                <w:sz w:val="22"/>
              </w:rPr>
            </w:pPr>
          </w:p>
        </w:tc>
      </w:tr>
      <w:tr w:rsidR="00F7266B" w:rsidRPr="002860E2" w14:paraId="628D4C30" w14:textId="77777777" w:rsidTr="0022424B">
        <w:tc>
          <w:tcPr>
            <w:tcW w:w="0" w:type="auto"/>
            <w:gridSpan w:val="4"/>
            <w:tcBorders>
              <w:bottom w:val="single" w:sz="4" w:space="0" w:color="000000"/>
            </w:tcBorders>
            <w:shd w:val="clear" w:color="auto" w:fill="00B050"/>
          </w:tcPr>
          <w:p w14:paraId="083E8BFE" w14:textId="77777777" w:rsidR="00F7266B" w:rsidRPr="002E20D5" w:rsidRDefault="00F7266B" w:rsidP="0022424B">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F7266B" w:rsidRPr="002860E2" w14:paraId="74623BF6" w14:textId="77777777" w:rsidTr="00287321">
        <w:trPr>
          <w:cantSplit/>
        </w:trPr>
        <w:tc>
          <w:tcPr>
            <w:tcW w:w="0" w:type="auto"/>
          </w:tcPr>
          <w:p w14:paraId="61B0C120" w14:textId="77777777" w:rsidR="00F7266B" w:rsidRPr="002860E2" w:rsidRDefault="00F7266B" w:rsidP="0022424B">
            <w:pPr>
              <w:numPr>
                <w:ilvl w:val="0"/>
                <w:numId w:val="1"/>
              </w:numPr>
              <w:contextualSpacing/>
              <w:rPr>
                <w:rFonts w:asciiTheme="minorHAnsi" w:hAnsiTheme="minorHAnsi"/>
                <w:b/>
                <w:sz w:val="20"/>
                <w:szCs w:val="20"/>
              </w:rPr>
            </w:pPr>
          </w:p>
        </w:tc>
        <w:tc>
          <w:tcPr>
            <w:tcW w:w="5951" w:type="dxa"/>
          </w:tcPr>
          <w:p w14:paraId="54EDD3D9" w14:textId="77777777" w:rsidR="00F7266B" w:rsidRPr="002860E2" w:rsidRDefault="00F7266B" w:rsidP="0022424B">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42E502E6" w14:textId="77777777" w:rsidR="00F7266B" w:rsidRPr="002860E2" w:rsidRDefault="00F7266B" w:rsidP="0022424B">
            <w:pPr>
              <w:pStyle w:val="ColorfulList-Accent11"/>
              <w:ind w:left="0"/>
              <w:rPr>
                <w:rFonts w:asciiTheme="minorHAnsi" w:hAnsiTheme="minorHAnsi"/>
                <w:sz w:val="20"/>
                <w:szCs w:val="20"/>
              </w:rPr>
            </w:pPr>
          </w:p>
          <w:p w14:paraId="66AD0DF0" w14:textId="77777777" w:rsidR="00F7266B" w:rsidRPr="002860E2" w:rsidRDefault="00F7266B" w:rsidP="0022424B">
            <w:pPr>
              <w:pStyle w:val="ColorfulList-Accent11"/>
              <w:ind w:left="0"/>
              <w:rPr>
                <w:rFonts w:asciiTheme="minorHAnsi" w:hAnsiTheme="minorHAnsi"/>
                <w:sz w:val="20"/>
                <w:szCs w:val="20"/>
              </w:rPr>
            </w:pPr>
          </w:p>
          <w:p w14:paraId="17FCAEF8" w14:textId="77777777" w:rsidR="00F7266B" w:rsidRPr="002860E2" w:rsidRDefault="00F7266B" w:rsidP="0022424B">
            <w:pPr>
              <w:pStyle w:val="ColorfulList-Accent11"/>
              <w:ind w:left="0"/>
              <w:rPr>
                <w:rFonts w:asciiTheme="minorHAnsi" w:hAnsiTheme="minorHAnsi"/>
                <w:sz w:val="20"/>
                <w:szCs w:val="20"/>
              </w:rPr>
            </w:pPr>
          </w:p>
        </w:tc>
        <w:tc>
          <w:tcPr>
            <w:tcW w:w="5446" w:type="dxa"/>
          </w:tcPr>
          <w:p w14:paraId="62C6423A" w14:textId="77777777" w:rsidR="00287321" w:rsidRPr="00C23E64" w:rsidRDefault="00287321" w:rsidP="00287321">
            <w:pPr>
              <w:pStyle w:val="ListParagraph"/>
              <w:numPr>
                <w:ilvl w:val="0"/>
                <w:numId w:val="4"/>
              </w:numPr>
              <w:contextualSpacing/>
              <w:rPr>
                <w:rFonts w:eastAsia="Times New Roman" w:cs="Arial"/>
                <w:sz w:val="20"/>
                <w:szCs w:val="20"/>
              </w:rPr>
            </w:pPr>
            <w:proofErr w:type="spellStart"/>
            <w:r w:rsidRPr="00C23E64">
              <w:rPr>
                <w:rFonts w:eastAsia="Times New Roman" w:cs="Arial"/>
                <w:sz w:val="20"/>
                <w:szCs w:val="20"/>
              </w:rPr>
              <w:t>Evin</w:t>
            </w:r>
            <w:proofErr w:type="spellEnd"/>
            <w:r w:rsidRPr="00C23E64">
              <w:rPr>
                <w:rFonts w:eastAsia="Times New Roman" w:cs="Arial"/>
                <w:sz w:val="20"/>
                <w:szCs w:val="20"/>
              </w:rPr>
              <w:t xml:space="preserve"> </w:t>
            </w:r>
            <w:proofErr w:type="spellStart"/>
            <w:r w:rsidRPr="00C23E64">
              <w:rPr>
                <w:rFonts w:eastAsia="Times New Roman" w:cs="Arial"/>
                <w:sz w:val="20"/>
                <w:szCs w:val="20"/>
              </w:rPr>
              <w:t>Erdoğdu</w:t>
            </w:r>
            <w:proofErr w:type="spellEnd"/>
            <w:r w:rsidRPr="00C23E64">
              <w:rPr>
                <w:rFonts w:eastAsia="Times New Roman" w:cs="Arial"/>
                <w:sz w:val="20"/>
                <w:szCs w:val="20"/>
              </w:rPr>
              <w:t>; ALAC</w:t>
            </w:r>
          </w:p>
          <w:tbl>
            <w:tblPr>
              <w:tblW w:w="4425" w:type="dxa"/>
              <w:tblLook w:val="04A0" w:firstRow="1" w:lastRow="0" w:firstColumn="1" w:lastColumn="0" w:noHBand="0" w:noVBand="1"/>
            </w:tblPr>
            <w:tblGrid>
              <w:gridCol w:w="4425"/>
            </w:tblGrid>
            <w:tr w:rsidR="00287321" w:rsidRPr="00C23E64" w14:paraId="529185E6" w14:textId="77777777" w:rsidTr="007F6CC2">
              <w:trPr>
                <w:trHeight w:val="260"/>
              </w:trPr>
              <w:tc>
                <w:tcPr>
                  <w:tcW w:w="4425" w:type="dxa"/>
                  <w:tcBorders>
                    <w:top w:val="nil"/>
                    <w:left w:val="nil"/>
                    <w:bottom w:val="nil"/>
                    <w:right w:val="nil"/>
                  </w:tcBorders>
                  <w:shd w:val="clear" w:color="auto" w:fill="auto"/>
                  <w:noWrap/>
                  <w:hideMark/>
                </w:tcPr>
                <w:p w14:paraId="6AE79D7C"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Brian King; IPC</w:t>
                  </w:r>
                </w:p>
              </w:tc>
            </w:tr>
            <w:tr w:rsidR="00287321" w:rsidRPr="00C23E64" w14:paraId="7E605E65" w14:textId="77777777" w:rsidTr="007F6CC2">
              <w:trPr>
                <w:trHeight w:val="260"/>
              </w:trPr>
              <w:tc>
                <w:tcPr>
                  <w:tcW w:w="4425" w:type="dxa"/>
                  <w:tcBorders>
                    <w:top w:val="nil"/>
                    <w:left w:val="nil"/>
                    <w:bottom w:val="nil"/>
                    <w:right w:val="nil"/>
                  </w:tcBorders>
                  <w:shd w:val="clear" w:color="auto" w:fill="auto"/>
                  <w:noWrap/>
                  <w:hideMark/>
                </w:tcPr>
                <w:p w14:paraId="33CA991B"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Dean S. Marks; Coalition for Online Accountability</w:t>
                  </w:r>
                </w:p>
              </w:tc>
            </w:tr>
            <w:tr w:rsidR="00287321" w:rsidRPr="00C23E64" w14:paraId="24497682" w14:textId="77777777" w:rsidTr="007F6CC2">
              <w:trPr>
                <w:trHeight w:val="260"/>
              </w:trPr>
              <w:tc>
                <w:tcPr>
                  <w:tcW w:w="4425" w:type="dxa"/>
                  <w:tcBorders>
                    <w:top w:val="nil"/>
                    <w:left w:val="nil"/>
                    <w:bottom w:val="nil"/>
                    <w:right w:val="nil"/>
                  </w:tcBorders>
                  <w:shd w:val="clear" w:color="auto" w:fill="auto"/>
                  <w:noWrap/>
                  <w:hideMark/>
                </w:tcPr>
                <w:p w14:paraId="521254BB"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Steve DelBianco; BC</w:t>
                  </w:r>
                </w:p>
              </w:tc>
            </w:tr>
            <w:tr w:rsidR="00287321" w:rsidRPr="00C23E64" w14:paraId="019A7A01" w14:textId="77777777" w:rsidTr="007F6CC2">
              <w:trPr>
                <w:trHeight w:val="260"/>
              </w:trPr>
              <w:tc>
                <w:tcPr>
                  <w:tcW w:w="4425" w:type="dxa"/>
                  <w:tcBorders>
                    <w:top w:val="nil"/>
                    <w:left w:val="nil"/>
                    <w:bottom w:val="nil"/>
                    <w:right w:val="nil"/>
                  </w:tcBorders>
                  <w:shd w:val="clear" w:color="auto" w:fill="auto"/>
                  <w:noWrap/>
                  <w:hideMark/>
                </w:tcPr>
                <w:p w14:paraId="31541445"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Jeremy </w:t>
                  </w:r>
                  <w:proofErr w:type="spellStart"/>
                  <w:r w:rsidRPr="00C23E64">
                    <w:rPr>
                      <w:rFonts w:eastAsia="Times New Roman" w:cs="Arial"/>
                      <w:sz w:val="20"/>
                      <w:szCs w:val="20"/>
                    </w:rPr>
                    <w:t>Dallman</w:t>
                  </w:r>
                  <w:proofErr w:type="spellEnd"/>
                  <w:r w:rsidRPr="00C23E64">
                    <w:rPr>
                      <w:rFonts w:eastAsia="Times New Roman" w:cs="Arial"/>
                      <w:sz w:val="20"/>
                      <w:szCs w:val="20"/>
                    </w:rPr>
                    <w:t xml:space="preserve">, David Ladd – Microsoft Threat Intelligence Center; Amy Hogan-Burney, Richard Boscovich – Digital Crimes Unit; </w:t>
                  </w:r>
                  <w:proofErr w:type="spellStart"/>
                  <w:r w:rsidRPr="00C23E64">
                    <w:rPr>
                      <w:rFonts w:eastAsia="Times New Roman" w:cs="Arial"/>
                      <w:sz w:val="20"/>
                      <w:szCs w:val="20"/>
                    </w:rPr>
                    <w:t>Makalika</w:t>
                  </w:r>
                  <w:proofErr w:type="spellEnd"/>
                  <w:r w:rsidRPr="00C23E64">
                    <w:rPr>
                      <w:rFonts w:eastAsia="Times New Roman" w:cs="Arial"/>
                      <w:sz w:val="20"/>
                      <w:szCs w:val="20"/>
                    </w:rPr>
                    <w:t xml:space="preserve"> </w:t>
                  </w:r>
                  <w:proofErr w:type="spellStart"/>
                  <w:r w:rsidRPr="00C23E64">
                    <w:rPr>
                      <w:rFonts w:eastAsia="Times New Roman" w:cs="Arial"/>
                      <w:sz w:val="20"/>
                      <w:szCs w:val="20"/>
                    </w:rPr>
                    <w:t>Naholowaa</w:t>
                  </w:r>
                  <w:proofErr w:type="spellEnd"/>
                  <w:r w:rsidRPr="00C23E64">
                    <w:rPr>
                      <w:rFonts w:eastAsia="Times New Roman" w:cs="Arial"/>
                      <w:sz w:val="20"/>
                      <w:szCs w:val="20"/>
                    </w:rPr>
                    <w:t xml:space="preserve">, Teresa </w:t>
                  </w:r>
                  <w:proofErr w:type="spellStart"/>
                  <w:r w:rsidRPr="00C23E64">
                    <w:rPr>
                      <w:rFonts w:eastAsia="Times New Roman" w:cs="Arial"/>
                      <w:sz w:val="20"/>
                      <w:szCs w:val="20"/>
                    </w:rPr>
                    <w:t>Rodewald</w:t>
                  </w:r>
                  <w:proofErr w:type="spellEnd"/>
                  <w:r w:rsidRPr="00C23E64">
                    <w:rPr>
                      <w:rFonts w:eastAsia="Times New Roman" w:cs="Arial"/>
                      <w:sz w:val="20"/>
                      <w:szCs w:val="20"/>
                    </w:rPr>
                    <w:t xml:space="preserve">, Cam </w:t>
                  </w:r>
                  <w:proofErr w:type="spellStart"/>
                  <w:r w:rsidRPr="00C23E64">
                    <w:rPr>
                      <w:rFonts w:eastAsia="Times New Roman" w:cs="Arial"/>
                      <w:sz w:val="20"/>
                      <w:szCs w:val="20"/>
                    </w:rPr>
                    <w:t>Gatta</w:t>
                  </w:r>
                  <w:proofErr w:type="spellEnd"/>
                  <w:r w:rsidRPr="00C23E64">
                    <w:rPr>
                      <w:rFonts w:eastAsia="Times New Roman" w:cs="Arial"/>
                      <w:sz w:val="20"/>
                      <w:szCs w:val="20"/>
                    </w:rPr>
                    <w:t xml:space="preserve"> – Trademark; Mark </w:t>
                  </w:r>
                  <w:proofErr w:type="spellStart"/>
                  <w:r w:rsidRPr="00C23E64">
                    <w:rPr>
                      <w:rFonts w:eastAsia="Times New Roman" w:cs="Arial"/>
                      <w:sz w:val="20"/>
                      <w:szCs w:val="20"/>
                    </w:rPr>
                    <w:t>Svancarek</w:t>
                  </w:r>
                  <w:proofErr w:type="spellEnd"/>
                  <w:r w:rsidRPr="00C23E64">
                    <w:rPr>
                      <w:rFonts w:eastAsia="Times New Roman" w:cs="Arial"/>
                      <w:sz w:val="20"/>
                      <w:szCs w:val="20"/>
                    </w:rPr>
                    <w:t>, Ben Wallace, Paul Mitchell – Internet Technology &amp; Governance Policy; Cole Quinn – Domains and Registry; Joanne Charles – Privacy &amp; Regulatory Affairs; Microsoft Corporation</w:t>
                  </w:r>
                </w:p>
              </w:tc>
            </w:tr>
            <w:tr w:rsidR="00287321" w:rsidRPr="00C23E64" w14:paraId="2C35BF99" w14:textId="77777777" w:rsidTr="007F6CC2">
              <w:trPr>
                <w:trHeight w:val="260"/>
              </w:trPr>
              <w:tc>
                <w:tcPr>
                  <w:tcW w:w="4425" w:type="dxa"/>
                  <w:tcBorders>
                    <w:top w:val="nil"/>
                    <w:left w:val="nil"/>
                    <w:bottom w:val="nil"/>
                    <w:right w:val="nil"/>
                  </w:tcBorders>
                  <w:shd w:val="clear" w:color="auto" w:fill="auto"/>
                  <w:noWrap/>
                  <w:hideMark/>
                </w:tcPr>
                <w:p w14:paraId="1E473129"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John Poole; Domain Name Registrant</w:t>
                  </w:r>
                </w:p>
              </w:tc>
            </w:tr>
            <w:tr w:rsidR="00287321" w:rsidRPr="00C23E64" w14:paraId="29E98959" w14:textId="77777777" w:rsidTr="007F6CC2">
              <w:trPr>
                <w:trHeight w:val="260"/>
              </w:trPr>
              <w:tc>
                <w:tcPr>
                  <w:tcW w:w="4425" w:type="dxa"/>
                  <w:tcBorders>
                    <w:top w:val="nil"/>
                    <w:left w:val="nil"/>
                    <w:bottom w:val="nil"/>
                    <w:right w:val="nil"/>
                  </w:tcBorders>
                  <w:shd w:val="clear" w:color="auto" w:fill="auto"/>
                  <w:noWrap/>
                  <w:hideMark/>
                </w:tcPr>
                <w:p w14:paraId="25041D6C"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Tucows Domains Inc.</w:t>
                  </w:r>
                </w:p>
              </w:tc>
            </w:tr>
            <w:tr w:rsidR="00287321" w:rsidRPr="00C23E64" w14:paraId="5B321487" w14:textId="77777777" w:rsidTr="007F6CC2">
              <w:trPr>
                <w:trHeight w:val="260"/>
              </w:trPr>
              <w:tc>
                <w:tcPr>
                  <w:tcW w:w="4425" w:type="dxa"/>
                  <w:tcBorders>
                    <w:top w:val="nil"/>
                    <w:left w:val="nil"/>
                    <w:bottom w:val="nil"/>
                    <w:right w:val="nil"/>
                  </w:tcBorders>
                  <w:shd w:val="clear" w:color="auto" w:fill="auto"/>
                  <w:noWrap/>
                  <w:hideMark/>
                </w:tcPr>
                <w:p w14:paraId="7F46D3A3"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Michele Neylon; </w:t>
                  </w:r>
                  <w:proofErr w:type="spellStart"/>
                  <w:r w:rsidRPr="00C23E64">
                    <w:rPr>
                      <w:rFonts w:eastAsia="Times New Roman" w:cs="Arial"/>
                      <w:sz w:val="20"/>
                      <w:szCs w:val="20"/>
                    </w:rPr>
                    <w:t>Blacknight</w:t>
                  </w:r>
                  <w:proofErr w:type="spellEnd"/>
                  <w:r w:rsidRPr="00C23E64">
                    <w:rPr>
                      <w:rFonts w:eastAsia="Times New Roman" w:cs="Arial"/>
                      <w:sz w:val="20"/>
                      <w:szCs w:val="20"/>
                    </w:rPr>
                    <w:t xml:space="preserve"> Internet Solutions Ltd</w:t>
                  </w:r>
                </w:p>
              </w:tc>
            </w:tr>
            <w:tr w:rsidR="00287321" w:rsidRPr="00C23E64" w14:paraId="617C8287" w14:textId="77777777" w:rsidTr="007F6CC2">
              <w:trPr>
                <w:trHeight w:val="260"/>
              </w:trPr>
              <w:tc>
                <w:tcPr>
                  <w:tcW w:w="4425" w:type="dxa"/>
                  <w:tcBorders>
                    <w:top w:val="nil"/>
                    <w:left w:val="nil"/>
                    <w:bottom w:val="nil"/>
                    <w:right w:val="nil"/>
                  </w:tcBorders>
                  <w:shd w:val="clear" w:color="auto" w:fill="auto"/>
                  <w:noWrap/>
                  <w:hideMark/>
                </w:tcPr>
                <w:p w14:paraId="2B4A6E77"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Sara Bockey; GoDaddy</w:t>
                  </w:r>
                </w:p>
              </w:tc>
            </w:tr>
            <w:tr w:rsidR="00287321" w:rsidRPr="00C23E64" w14:paraId="5431C269" w14:textId="77777777" w:rsidTr="007F6CC2">
              <w:trPr>
                <w:trHeight w:val="260"/>
              </w:trPr>
              <w:tc>
                <w:tcPr>
                  <w:tcW w:w="4425" w:type="dxa"/>
                  <w:tcBorders>
                    <w:top w:val="nil"/>
                    <w:left w:val="nil"/>
                    <w:bottom w:val="nil"/>
                    <w:right w:val="nil"/>
                  </w:tcBorders>
                  <w:shd w:val="clear" w:color="auto" w:fill="auto"/>
                  <w:noWrap/>
                  <w:hideMark/>
                </w:tcPr>
                <w:p w14:paraId="00A850D6"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Volker </w:t>
                  </w:r>
                  <w:proofErr w:type="spellStart"/>
                  <w:r w:rsidRPr="00C23E64">
                    <w:rPr>
                      <w:rFonts w:eastAsia="Times New Roman" w:cs="Arial"/>
                      <w:sz w:val="20"/>
                      <w:szCs w:val="20"/>
                    </w:rPr>
                    <w:t>Greimann</w:t>
                  </w:r>
                  <w:proofErr w:type="spellEnd"/>
                  <w:r w:rsidRPr="00C23E64">
                    <w:rPr>
                      <w:rFonts w:eastAsia="Times New Roman" w:cs="Arial"/>
                      <w:sz w:val="20"/>
                      <w:szCs w:val="20"/>
                    </w:rPr>
                    <w:t>; Key-Systems GmbH</w:t>
                  </w:r>
                </w:p>
              </w:tc>
            </w:tr>
            <w:tr w:rsidR="00287321" w:rsidRPr="00C23E64" w14:paraId="491D86C0" w14:textId="77777777" w:rsidTr="007F6CC2">
              <w:trPr>
                <w:trHeight w:val="260"/>
              </w:trPr>
              <w:tc>
                <w:tcPr>
                  <w:tcW w:w="4425" w:type="dxa"/>
                  <w:tcBorders>
                    <w:top w:val="nil"/>
                    <w:left w:val="nil"/>
                    <w:bottom w:val="nil"/>
                    <w:right w:val="nil"/>
                  </w:tcBorders>
                  <w:shd w:val="clear" w:color="auto" w:fill="auto"/>
                  <w:noWrap/>
                  <w:hideMark/>
                </w:tcPr>
                <w:p w14:paraId="13FC177B"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Zoe Bonython; </w:t>
                  </w:r>
                  <w:proofErr w:type="spellStart"/>
                  <w:r w:rsidRPr="00C23E64">
                    <w:rPr>
                      <w:rFonts w:eastAsia="Times New Roman" w:cs="Arial"/>
                      <w:sz w:val="20"/>
                      <w:szCs w:val="20"/>
                    </w:rPr>
                    <w:t>RrSG</w:t>
                  </w:r>
                  <w:proofErr w:type="spellEnd"/>
                </w:p>
              </w:tc>
            </w:tr>
            <w:tr w:rsidR="00287321" w:rsidRPr="00C23E64" w14:paraId="552F0912" w14:textId="77777777" w:rsidTr="007F6CC2">
              <w:trPr>
                <w:trHeight w:val="260"/>
              </w:trPr>
              <w:tc>
                <w:tcPr>
                  <w:tcW w:w="4425" w:type="dxa"/>
                  <w:tcBorders>
                    <w:top w:val="nil"/>
                    <w:left w:val="nil"/>
                    <w:bottom w:val="nil"/>
                    <w:right w:val="nil"/>
                  </w:tcBorders>
                  <w:shd w:val="clear" w:color="auto" w:fill="auto"/>
                  <w:noWrap/>
                  <w:hideMark/>
                </w:tcPr>
                <w:p w14:paraId="0CC74F04"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Domain.com, LLC &amp; affiliates</w:t>
                  </w:r>
                </w:p>
              </w:tc>
            </w:tr>
            <w:tr w:rsidR="00287321" w:rsidRPr="00C23E64" w14:paraId="10CEAB68" w14:textId="77777777" w:rsidTr="007F6CC2">
              <w:trPr>
                <w:trHeight w:val="260"/>
              </w:trPr>
              <w:tc>
                <w:tcPr>
                  <w:tcW w:w="4425" w:type="dxa"/>
                  <w:tcBorders>
                    <w:top w:val="nil"/>
                    <w:left w:val="nil"/>
                    <w:bottom w:val="nil"/>
                    <w:right w:val="nil"/>
                  </w:tcBorders>
                  <w:shd w:val="clear" w:color="auto" w:fill="auto"/>
                  <w:noWrap/>
                  <w:hideMark/>
                </w:tcPr>
                <w:p w14:paraId="087BCF5C"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Wim </w:t>
                  </w:r>
                  <w:proofErr w:type="spellStart"/>
                  <w:proofErr w:type="gramStart"/>
                  <w:r w:rsidRPr="00C23E64">
                    <w:rPr>
                      <w:rFonts w:eastAsia="Times New Roman" w:cs="Arial"/>
                      <w:sz w:val="20"/>
                      <w:szCs w:val="20"/>
                    </w:rPr>
                    <w:t>Degezelle</w:t>
                  </w:r>
                  <w:proofErr w:type="spellEnd"/>
                  <w:r w:rsidRPr="00C23E64">
                    <w:rPr>
                      <w:rFonts w:eastAsia="Times New Roman" w:cs="Arial"/>
                      <w:sz w:val="20"/>
                      <w:szCs w:val="20"/>
                    </w:rPr>
                    <w:t xml:space="preserve"> ;</w:t>
                  </w:r>
                  <w:proofErr w:type="gramEnd"/>
                  <w:r w:rsidRPr="00C23E64">
                    <w:rPr>
                      <w:rFonts w:eastAsia="Times New Roman" w:cs="Arial"/>
                      <w:sz w:val="20"/>
                      <w:szCs w:val="20"/>
                    </w:rPr>
                    <w:t xml:space="preserve"> RySG</w:t>
                  </w:r>
                </w:p>
              </w:tc>
            </w:tr>
            <w:tr w:rsidR="00287321" w:rsidRPr="00C23E64" w14:paraId="0212A506" w14:textId="77777777" w:rsidTr="007F6CC2">
              <w:trPr>
                <w:trHeight w:val="260"/>
              </w:trPr>
              <w:tc>
                <w:tcPr>
                  <w:tcW w:w="4425" w:type="dxa"/>
                  <w:tcBorders>
                    <w:top w:val="nil"/>
                    <w:left w:val="nil"/>
                    <w:bottom w:val="nil"/>
                    <w:right w:val="nil"/>
                  </w:tcBorders>
                  <w:shd w:val="clear" w:color="auto" w:fill="auto"/>
                  <w:noWrap/>
                  <w:hideMark/>
                </w:tcPr>
                <w:p w14:paraId="639263FC"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Ayden </w:t>
                  </w:r>
                  <w:proofErr w:type="spellStart"/>
                  <w:r w:rsidRPr="00C23E64">
                    <w:rPr>
                      <w:rFonts w:eastAsia="Times New Roman" w:cs="Arial"/>
                      <w:sz w:val="20"/>
                      <w:szCs w:val="20"/>
                    </w:rPr>
                    <w:t>Férdeline</w:t>
                  </w:r>
                  <w:proofErr w:type="spellEnd"/>
                  <w:r w:rsidRPr="00C23E64">
                    <w:rPr>
                      <w:rFonts w:eastAsia="Times New Roman" w:cs="Arial"/>
                      <w:sz w:val="20"/>
                      <w:szCs w:val="20"/>
                    </w:rPr>
                    <w:t>; NCSG</w:t>
                  </w:r>
                </w:p>
              </w:tc>
            </w:tr>
            <w:tr w:rsidR="00287321" w:rsidRPr="00C23E64" w14:paraId="73E4F955" w14:textId="77777777" w:rsidTr="007F6CC2">
              <w:trPr>
                <w:trHeight w:val="260"/>
              </w:trPr>
              <w:tc>
                <w:tcPr>
                  <w:tcW w:w="4425" w:type="dxa"/>
                  <w:tcBorders>
                    <w:top w:val="nil"/>
                    <w:left w:val="nil"/>
                    <w:bottom w:val="nil"/>
                    <w:right w:val="nil"/>
                  </w:tcBorders>
                  <w:shd w:val="clear" w:color="auto" w:fill="auto"/>
                  <w:noWrap/>
                  <w:hideMark/>
                </w:tcPr>
                <w:p w14:paraId="20518EEE"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Brian King; </w:t>
                  </w:r>
                  <w:proofErr w:type="spellStart"/>
                  <w:r w:rsidRPr="00C23E64">
                    <w:rPr>
                      <w:rFonts w:eastAsia="Times New Roman" w:cs="Arial"/>
                      <w:sz w:val="20"/>
                      <w:szCs w:val="20"/>
                    </w:rPr>
                    <w:t>MarkMonitor</w:t>
                  </w:r>
                  <w:proofErr w:type="spellEnd"/>
                  <w:r w:rsidRPr="00C23E64">
                    <w:rPr>
                      <w:rFonts w:eastAsia="Times New Roman" w:cs="Arial"/>
                      <w:sz w:val="20"/>
                      <w:szCs w:val="20"/>
                    </w:rPr>
                    <w:t>, Inc., a Clarivate Analytics company</w:t>
                  </w:r>
                </w:p>
              </w:tc>
            </w:tr>
            <w:tr w:rsidR="00287321" w:rsidRPr="00C23E64" w14:paraId="140084D0" w14:textId="77777777" w:rsidTr="007F6CC2">
              <w:trPr>
                <w:trHeight w:val="260"/>
              </w:trPr>
              <w:tc>
                <w:tcPr>
                  <w:tcW w:w="4425" w:type="dxa"/>
                  <w:tcBorders>
                    <w:top w:val="nil"/>
                    <w:left w:val="nil"/>
                    <w:bottom w:val="nil"/>
                    <w:right w:val="nil"/>
                  </w:tcBorders>
                  <w:shd w:val="clear" w:color="auto" w:fill="auto"/>
                  <w:noWrap/>
                  <w:hideMark/>
                </w:tcPr>
                <w:p w14:paraId="323E1D8D"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Lars Steffen; eco – Association of the Internet Industry</w:t>
                  </w:r>
                </w:p>
              </w:tc>
            </w:tr>
            <w:tr w:rsidR="00287321" w:rsidRPr="00C23E64" w14:paraId="126C3059" w14:textId="77777777" w:rsidTr="007F6CC2">
              <w:trPr>
                <w:trHeight w:val="260"/>
              </w:trPr>
              <w:tc>
                <w:tcPr>
                  <w:tcW w:w="4425" w:type="dxa"/>
                  <w:tcBorders>
                    <w:top w:val="nil"/>
                    <w:left w:val="nil"/>
                    <w:bottom w:val="nil"/>
                    <w:right w:val="nil"/>
                  </w:tcBorders>
                  <w:shd w:val="clear" w:color="auto" w:fill="auto"/>
                  <w:noWrap/>
                  <w:hideMark/>
                </w:tcPr>
                <w:p w14:paraId="72F3EA30"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 xml:space="preserve">Wolf-Ulrich </w:t>
                  </w:r>
                  <w:proofErr w:type="spellStart"/>
                  <w:r w:rsidRPr="00C23E64">
                    <w:rPr>
                      <w:rFonts w:eastAsia="Times New Roman" w:cs="Arial"/>
                      <w:sz w:val="20"/>
                      <w:szCs w:val="20"/>
                    </w:rPr>
                    <w:t>Knoben</w:t>
                  </w:r>
                  <w:proofErr w:type="spellEnd"/>
                  <w:r w:rsidRPr="00C23E64">
                    <w:rPr>
                      <w:rFonts w:eastAsia="Times New Roman" w:cs="Arial"/>
                      <w:sz w:val="20"/>
                      <w:szCs w:val="20"/>
                    </w:rPr>
                    <w:t>; ISPCP Constituency</w:t>
                  </w:r>
                </w:p>
              </w:tc>
            </w:tr>
            <w:tr w:rsidR="00287321" w:rsidRPr="00C23E64" w14:paraId="762DD951" w14:textId="77777777" w:rsidTr="007F6CC2">
              <w:trPr>
                <w:trHeight w:val="260"/>
              </w:trPr>
              <w:tc>
                <w:tcPr>
                  <w:tcW w:w="4425" w:type="dxa"/>
                  <w:tcBorders>
                    <w:top w:val="nil"/>
                    <w:left w:val="nil"/>
                    <w:bottom w:val="nil"/>
                    <w:right w:val="nil"/>
                  </w:tcBorders>
                  <w:shd w:val="clear" w:color="auto" w:fill="auto"/>
                  <w:noWrap/>
                  <w:hideMark/>
                </w:tcPr>
                <w:p w14:paraId="5B877204"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Monica Sanders; i2Coalition</w:t>
                  </w:r>
                </w:p>
              </w:tc>
            </w:tr>
            <w:tr w:rsidR="00287321" w:rsidRPr="00C23E64" w14:paraId="3998BFA2" w14:textId="77777777" w:rsidTr="007F6CC2">
              <w:trPr>
                <w:trHeight w:val="260"/>
              </w:trPr>
              <w:tc>
                <w:tcPr>
                  <w:tcW w:w="4425" w:type="dxa"/>
                  <w:tcBorders>
                    <w:top w:val="nil"/>
                    <w:left w:val="nil"/>
                    <w:bottom w:val="nil"/>
                    <w:right w:val="nil"/>
                  </w:tcBorders>
                  <w:shd w:val="clear" w:color="auto" w:fill="auto"/>
                  <w:noWrap/>
                  <w:hideMark/>
                </w:tcPr>
                <w:p w14:paraId="57F6FEC5" w14:textId="77777777" w:rsidR="00287321" w:rsidRPr="00C23E64" w:rsidRDefault="00287321" w:rsidP="00287321">
                  <w:pPr>
                    <w:pStyle w:val="ListParagraph"/>
                    <w:numPr>
                      <w:ilvl w:val="0"/>
                      <w:numId w:val="4"/>
                    </w:numPr>
                    <w:contextualSpacing/>
                    <w:rPr>
                      <w:rFonts w:eastAsia="Times New Roman" w:cs="Arial"/>
                      <w:sz w:val="20"/>
                      <w:szCs w:val="20"/>
                    </w:rPr>
                  </w:pPr>
                  <w:r w:rsidRPr="00C23E64">
                    <w:rPr>
                      <w:rFonts w:eastAsia="Times New Roman" w:cs="Arial"/>
                      <w:sz w:val="20"/>
                      <w:szCs w:val="20"/>
                    </w:rPr>
                    <w:t>Etienne Laurin</w:t>
                  </w:r>
                </w:p>
              </w:tc>
            </w:tr>
          </w:tbl>
          <w:p w14:paraId="33FC6B31" w14:textId="77777777" w:rsidR="00287321" w:rsidRDefault="00287321" w:rsidP="00287321"/>
          <w:p w14:paraId="28AC62CC" w14:textId="52E5144B" w:rsidR="00F7266B" w:rsidRPr="008F5C84" w:rsidRDefault="00F7266B" w:rsidP="00B60995">
            <w:pPr>
              <w:pStyle w:val="ListParagraph"/>
              <w:ind w:left="360"/>
              <w:contextualSpacing/>
              <w:rPr>
                <w:rFonts w:asciiTheme="minorHAnsi" w:hAnsiTheme="minorHAnsi"/>
                <w:sz w:val="20"/>
                <w:szCs w:val="20"/>
              </w:rPr>
            </w:pPr>
          </w:p>
        </w:tc>
        <w:tc>
          <w:tcPr>
            <w:tcW w:w="3559" w:type="dxa"/>
          </w:tcPr>
          <w:p w14:paraId="24B73A4E" w14:textId="59F920BB" w:rsidR="00F7266B" w:rsidRPr="002860E2" w:rsidRDefault="00287321" w:rsidP="0022424B">
            <w:pPr>
              <w:contextualSpacing/>
              <w:rPr>
                <w:rFonts w:asciiTheme="minorHAnsi" w:hAnsiTheme="minorHAnsi"/>
                <w:sz w:val="20"/>
                <w:szCs w:val="20"/>
              </w:rPr>
            </w:pPr>
            <w:r>
              <w:rPr>
                <w:rFonts w:asciiTheme="minorHAnsi" w:eastAsia="Times New Roman" w:hAnsiTheme="minorHAnsi"/>
                <w:color w:val="000000"/>
                <w:sz w:val="20"/>
                <w:szCs w:val="20"/>
                <w:shd w:val="clear" w:color="auto" w:fill="00FF00"/>
              </w:rPr>
              <w:t xml:space="preserve">   </w:t>
            </w:r>
          </w:p>
          <w:p w14:paraId="244489AB" w14:textId="77777777" w:rsidR="00F7266B" w:rsidRPr="002860E2" w:rsidRDefault="00F7266B" w:rsidP="0022424B">
            <w:pPr>
              <w:contextualSpacing/>
              <w:rPr>
                <w:rFonts w:asciiTheme="minorHAnsi" w:hAnsiTheme="minorHAnsi"/>
                <w:sz w:val="20"/>
                <w:szCs w:val="20"/>
              </w:rPr>
            </w:pPr>
          </w:p>
        </w:tc>
      </w:tr>
      <w:tr w:rsidR="00287321" w:rsidRPr="002860E2" w14:paraId="3ACC65AB" w14:textId="77777777" w:rsidTr="00287321">
        <w:trPr>
          <w:cantSplit/>
        </w:trPr>
        <w:tc>
          <w:tcPr>
            <w:tcW w:w="15282" w:type="dxa"/>
            <w:gridSpan w:val="4"/>
            <w:shd w:val="clear" w:color="auto" w:fill="70AD47" w:themeFill="accent6"/>
          </w:tcPr>
          <w:p w14:paraId="5DD1202E" w14:textId="08EAF654" w:rsidR="00287321" w:rsidRDefault="0028732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r w:rsidRPr="002B3C04">
              <w:rPr>
                <w:rFonts w:asciiTheme="minorHAnsi" w:hAnsiTheme="minorHAnsi"/>
                <w:b/>
                <w:color w:val="000000" w:themeColor="text1"/>
                <w:sz w:val="22"/>
              </w:rPr>
              <w:t>Support intent of recommendation with edits</w:t>
            </w:r>
          </w:p>
        </w:tc>
      </w:tr>
      <w:tr w:rsidR="00A87111" w:rsidRPr="002860E2" w14:paraId="321F2334" w14:textId="77777777" w:rsidTr="00287321">
        <w:trPr>
          <w:cantSplit/>
        </w:trPr>
        <w:tc>
          <w:tcPr>
            <w:tcW w:w="0" w:type="auto"/>
          </w:tcPr>
          <w:p w14:paraId="39A2393F" w14:textId="77777777" w:rsidR="00A87111" w:rsidRPr="002860E2" w:rsidRDefault="00A87111" w:rsidP="00A87111">
            <w:pPr>
              <w:numPr>
                <w:ilvl w:val="0"/>
                <w:numId w:val="1"/>
              </w:numPr>
              <w:contextualSpacing/>
              <w:rPr>
                <w:rFonts w:asciiTheme="minorHAnsi" w:hAnsiTheme="minorHAnsi"/>
                <w:b/>
                <w:sz w:val="20"/>
                <w:szCs w:val="20"/>
              </w:rPr>
            </w:pPr>
          </w:p>
        </w:tc>
        <w:tc>
          <w:tcPr>
            <w:tcW w:w="5951" w:type="dxa"/>
          </w:tcPr>
          <w:p w14:paraId="34D037FC" w14:textId="77777777" w:rsidR="00A87111" w:rsidRDefault="00287321" w:rsidP="00A87111">
            <w:pPr>
              <w:pStyle w:val="ColorfulList-Accent11"/>
              <w:ind w:left="0"/>
              <w:rPr>
                <w:rFonts w:asciiTheme="minorHAnsi" w:hAnsiTheme="minorHAnsi"/>
                <w:sz w:val="20"/>
                <w:szCs w:val="20"/>
              </w:rPr>
            </w:pPr>
            <w:r w:rsidRPr="00287321">
              <w:rPr>
                <w:rFonts w:asciiTheme="minorHAnsi" w:hAnsiTheme="minorHAnsi"/>
                <w:sz w:val="20"/>
                <w:szCs w:val="20"/>
              </w:rPr>
              <w:t>The EPDP Team recommends that the GNSO Council, as part of its review of the Transfer Policy, specifically requests the review of the implications, as well as adjustments that may be needed to the Transfer Policy as a result of GDPR and other prevailing and future global data privacy/protection legislations.</w:t>
            </w:r>
          </w:p>
          <w:p w14:paraId="36171FD7" w14:textId="77777777" w:rsidR="00287321" w:rsidRDefault="00287321" w:rsidP="00A87111">
            <w:pPr>
              <w:pStyle w:val="ColorfulList-Accent11"/>
              <w:ind w:left="0"/>
              <w:rPr>
                <w:rFonts w:asciiTheme="minorHAnsi" w:hAnsiTheme="minorHAnsi"/>
                <w:sz w:val="20"/>
                <w:szCs w:val="20"/>
              </w:rPr>
            </w:pPr>
          </w:p>
          <w:p w14:paraId="778AD9FB" w14:textId="68FE295E" w:rsidR="00287321" w:rsidRPr="002860E2" w:rsidRDefault="00287321" w:rsidP="00A87111">
            <w:pPr>
              <w:pStyle w:val="ColorfulList-Accent11"/>
              <w:ind w:left="0"/>
              <w:rPr>
                <w:rFonts w:asciiTheme="minorHAnsi" w:hAnsiTheme="minorHAnsi"/>
                <w:sz w:val="20"/>
                <w:szCs w:val="20"/>
              </w:rPr>
            </w:pPr>
            <w:r w:rsidRPr="00287321">
              <w:rPr>
                <w:rFonts w:asciiTheme="minorHAnsi" w:hAnsiTheme="minorHAnsi"/>
                <w:sz w:val="20"/>
                <w:szCs w:val="20"/>
              </w:rPr>
              <w:t>Minor language tweaks for sake of clarity and being more explicit.</w:t>
            </w:r>
          </w:p>
        </w:tc>
        <w:tc>
          <w:tcPr>
            <w:tcW w:w="5446" w:type="dxa"/>
          </w:tcPr>
          <w:p w14:paraId="4DBDC0D3" w14:textId="7501C75B" w:rsidR="00A87111" w:rsidRPr="002860E2" w:rsidRDefault="00287321" w:rsidP="00A87111">
            <w:pPr>
              <w:contextualSpacing/>
              <w:rPr>
                <w:rFonts w:asciiTheme="minorHAnsi" w:hAnsiTheme="minorHAnsi"/>
                <w:sz w:val="20"/>
                <w:szCs w:val="20"/>
              </w:rPr>
            </w:pPr>
            <w:r w:rsidRPr="00287321">
              <w:rPr>
                <w:rFonts w:asciiTheme="minorHAnsi" w:hAnsiTheme="minorHAnsi"/>
                <w:sz w:val="20"/>
                <w:szCs w:val="20"/>
              </w:rPr>
              <w:t xml:space="preserve">DR. JAIDEEP KUMAR </w:t>
            </w:r>
            <w:proofErr w:type="gramStart"/>
            <w:r w:rsidRPr="00287321">
              <w:rPr>
                <w:rFonts w:asciiTheme="minorHAnsi" w:hAnsiTheme="minorHAnsi"/>
                <w:sz w:val="20"/>
                <w:szCs w:val="20"/>
              </w:rPr>
              <w:t>MISHRA ;</w:t>
            </w:r>
            <w:proofErr w:type="gramEnd"/>
            <w:r w:rsidRPr="00287321">
              <w:rPr>
                <w:rFonts w:asciiTheme="minorHAnsi" w:hAnsiTheme="minorHAnsi"/>
                <w:sz w:val="20"/>
                <w:szCs w:val="20"/>
              </w:rPr>
              <w:t xml:space="preserve"> DIRECTOR MINISTRY OF ELECTRONICS AND INFORMATION TECHNOLOGY, GOVERNMENT OF INDIA</w:t>
            </w:r>
          </w:p>
        </w:tc>
        <w:tc>
          <w:tcPr>
            <w:tcW w:w="3559" w:type="dxa"/>
          </w:tcPr>
          <w:p w14:paraId="3CAFD141" w14:textId="7F5E1C4B" w:rsidR="00287321" w:rsidRPr="002860E2"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743D922B"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91D6B7C"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B17B97"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BDF4053" w14:textId="77777777" w:rsidR="00A87111" w:rsidRPr="002860E2" w:rsidRDefault="00A87111" w:rsidP="00A87111">
            <w:pPr>
              <w:contextualSpacing/>
              <w:rPr>
                <w:rFonts w:asciiTheme="minorHAnsi" w:hAnsiTheme="minorHAnsi"/>
                <w:sz w:val="20"/>
                <w:szCs w:val="20"/>
              </w:rPr>
            </w:pPr>
          </w:p>
          <w:p w14:paraId="4EB37C5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67E7B" w14:textId="77777777" w:rsidR="00A87111" w:rsidRPr="002860E2" w:rsidRDefault="00A87111" w:rsidP="00A87111">
            <w:pPr>
              <w:contextualSpacing/>
              <w:rPr>
                <w:rFonts w:asciiTheme="minorHAnsi" w:hAnsiTheme="minorHAnsi"/>
                <w:sz w:val="20"/>
                <w:szCs w:val="20"/>
              </w:rPr>
            </w:pPr>
          </w:p>
        </w:tc>
      </w:tr>
      <w:tr w:rsidR="00287321" w:rsidRPr="002860E2" w14:paraId="285F637F" w14:textId="77777777" w:rsidTr="00287321">
        <w:trPr>
          <w:cantSplit/>
        </w:trPr>
        <w:tc>
          <w:tcPr>
            <w:tcW w:w="0" w:type="auto"/>
          </w:tcPr>
          <w:p w14:paraId="6691AC6B" w14:textId="77777777" w:rsidR="00287321" w:rsidRPr="002860E2" w:rsidRDefault="00287321" w:rsidP="00A87111">
            <w:pPr>
              <w:numPr>
                <w:ilvl w:val="0"/>
                <w:numId w:val="1"/>
              </w:numPr>
              <w:contextualSpacing/>
              <w:rPr>
                <w:rFonts w:asciiTheme="minorHAnsi" w:hAnsiTheme="minorHAnsi"/>
                <w:b/>
                <w:sz w:val="20"/>
                <w:szCs w:val="20"/>
              </w:rPr>
            </w:pPr>
          </w:p>
        </w:tc>
        <w:tc>
          <w:tcPr>
            <w:tcW w:w="5951" w:type="dxa"/>
          </w:tcPr>
          <w:p w14:paraId="1A3D40A6" w14:textId="77777777" w:rsidR="00287321" w:rsidRDefault="00287321" w:rsidP="00A87111">
            <w:pPr>
              <w:pStyle w:val="ColorfulList-Accent11"/>
              <w:ind w:left="0"/>
              <w:rPr>
                <w:rFonts w:asciiTheme="minorHAnsi" w:hAnsiTheme="minorHAnsi"/>
                <w:sz w:val="20"/>
                <w:szCs w:val="20"/>
              </w:rPr>
            </w:pPr>
            <w:r w:rsidRPr="00287321">
              <w:rPr>
                <w:rFonts w:asciiTheme="minorHAnsi" w:hAnsiTheme="minorHAnsi"/>
                <w:sz w:val="20"/>
                <w:szCs w:val="20"/>
              </w:rPr>
              <w:t>Distinguish between ownership changes (internal within a domain name registrar) and changes of registrar (with or without changes of ownership).</w:t>
            </w:r>
          </w:p>
          <w:p w14:paraId="2147A250" w14:textId="77777777" w:rsidR="00287321" w:rsidRDefault="00287321" w:rsidP="00A87111">
            <w:pPr>
              <w:pStyle w:val="ColorfulList-Accent11"/>
              <w:ind w:left="0"/>
              <w:rPr>
                <w:rFonts w:asciiTheme="minorHAnsi" w:hAnsiTheme="minorHAnsi"/>
                <w:sz w:val="20"/>
                <w:szCs w:val="20"/>
              </w:rPr>
            </w:pPr>
          </w:p>
          <w:p w14:paraId="2A20225B" w14:textId="77777777" w:rsidR="00287321" w:rsidRDefault="00287321" w:rsidP="00A87111">
            <w:pPr>
              <w:pStyle w:val="ColorfulList-Accent11"/>
              <w:ind w:left="0"/>
              <w:rPr>
                <w:rFonts w:asciiTheme="minorHAnsi" w:hAnsiTheme="minorHAnsi"/>
                <w:sz w:val="20"/>
                <w:szCs w:val="20"/>
              </w:rPr>
            </w:pPr>
            <w:r w:rsidRPr="00287321">
              <w:rPr>
                <w:rFonts w:asciiTheme="minorHAnsi" w:hAnsiTheme="minorHAnsi"/>
                <w:sz w:val="20"/>
                <w:szCs w:val="20"/>
              </w:rPr>
              <w:t>"Transfers" can be ambiguous, so consider the needs of various scenarios (i.e. change of ownership/registrant while not changing the registrar, vs. change of registrar (with or without changes of ownership/registrant).</w:t>
            </w:r>
          </w:p>
          <w:p w14:paraId="0840F8A2" w14:textId="77777777" w:rsidR="00287321" w:rsidRDefault="00287321" w:rsidP="00A87111">
            <w:pPr>
              <w:pStyle w:val="ColorfulList-Accent11"/>
              <w:ind w:left="0"/>
              <w:rPr>
                <w:rFonts w:asciiTheme="minorHAnsi" w:hAnsiTheme="minorHAnsi"/>
                <w:sz w:val="20"/>
                <w:szCs w:val="20"/>
              </w:rPr>
            </w:pPr>
          </w:p>
          <w:p w14:paraId="7D907BB4" w14:textId="1BBCB5ED" w:rsidR="00287321" w:rsidRPr="00287321" w:rsidRDefault="00287321" w:rsidP="00A87111">
            <w:pPr>
              <w:pStyle w:val="ColorfulList-Accent11"/>
              <w:ind w:left="0"/>
              <w:rPr>
                <w:rFonts w:asciiTheme="minorHAnsi" w:hAnsiTheme="minorHAnsi"/>
                <w:sz w:val="20"/>
                <w:szCs w:val="20"/>
              </w:rPr>
            </w:pPr>
            <w:r w:rsidRPr="00287321">
              <w:rPr>
                <w:rFonts w:asciiTheme="minorHAnsi" w:hAnsiTheme="minorHAnsi"/>
                <w:sz w:val="20"/>
                <w:szCs w:val="20"/>
              </w:rPr>
              <w:t>GDRP needs might differ amongst those scenarios.</w:t>
            </w:r>
          </w:p>
        </w:tc>
        <w:tc>
          <w:tcPr>
            <w:tcW w:w="5446" w:type="dxa"/>
          </w:tcPr>
          <w:p w14:paraId="2AE6ABBE" w14:textId="72CDA0B5" w:rsidR="00287321" w:rsidRPr="00287321" w:rsidRDefault="00287321" w:rsidP="00A87111">
            <w:pPr>
              <w:contextualSpacing/>
              <w:rPr>
                <w:rFonts w:asciiTheme="minorHAnsi" w:hAnsiTheme="minorHAnsi"/>
                <w:sz w:val="20"/>
                <w:szCs w:val="20"/>
              </w:rPr>
            </w:pPr>
            <w:r w:rsidRPr="00287321">
              <w:rPr>
                <w:rFonts w:asciiTheme="minorHAnsi" w:hAnsiTheme="minorHAnsi"/>
                <w:sz w:val="20"/>
                <w:szCs w:val="20"/>
              </w:rPr>
              <w:t xml:space="preserve">George </w:t>
            </w:r>
            <w:proofErr w:type="spellStart"/>
            <w:r w:rsidRPr="00287321">
              <w:rPr>
                <w:rFonts w:asciiTheme="minorHAnsi" w:hAnsiTheme="minorHAnsi"/>
                <w:sz w:val="20"/>
                <w:szCs w:val="20"/>
              </w:rPr>
              <w:t>Kirikos</w:t>
            </w:r>
            <w:proofErr w:type="spellEnd"/>
            <w:r w:rsidRPr="00287321">
              <w:rPr>
                <w:rFonts w:asciiTheme="minorHAnsi" w:hAnsiTheme="minorHAnsi"/>
                <w:sz w:val="20"/>
                <w:szCs w:val="20"/>
              </w:rPr>
              <w:t>; Leap of Faith Financial Services Inc.</w:t>
            </w:r>
          </w:p>
        </w:tc>
        <w:tc>
          <w:tcPr>
            <w:tcW w:w="3559" w:type="dxa"/>
          </w:tcPr>
          <w:p w14:paraId="49EB7AF3" w14:textId="58706267" w:rsidR="00287321" w:rsidRPr="002860E2"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FF9900"/>
              </w:rPr>
              <w:t>C</w:t>
            </w:r>
            <w:r w:rsidRPr="002860E2">
              <w:rPr>
                <w:rFonts w:asciiTheme="minorHAnsi" w:eastAsia="Times New Roman" w:hAnsiTheme="minorHAnsi"/>
                <w:color w:val="000000"/>
                <w:sz w:val="20"/>
                <w:szCs w:val="20"/>
                <w:shd w:val="clear" w:color="auto" w:fill="FF9900"/>
              </w:rPr>
              <w:t>oncerns</w:t>
            </w:r>
            <w:r w:rsidRPr="002860E2">
              <w:rPr>
                <w:rFonts w:asciiTheme="minorHAnsi" w:eastAsia="Times New Roman" w:hAnsiTheme="minorHAnsi"/>
                <w:color w:val="000000"/>
                <w:sz w:val="20"/>
                <w:szCs w:val="20"/>
              </w:rPr>
              <w:t xml:space="preserve">  </w:t>
            </w:r>
          </w:p>
          <w:p w14:paraId="69D89B82" w14:textId="77777777" w:rsidR="00287321" w:rsidRPr="002B3C04"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5D2C542" w14:textId="77777777" w:rsidR="00287321" w:rsidRPr="002860E2"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E6588E" w14:textId="77777777" w:rsidR="00287321" w:rsidRPr="002B3C04" w:rsidRDefault="00287321" w:rsidP="00287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CE028C9" w14:textId="77777777" w:rsidR="00287321" w:rsidRPr="002860E2" w:rsidRDefault="00287321" w:rsidP="00287321">
            <w:pPr>
              <w:contextualSpacing/>
              <w:rPr>
                <w:rFonts w:asciiTheme="minorHAnsi" w:hAnsiTheme="minorHAnsi"/>
                <w:sz w:val="20"/>
                <w:szCs w:val="20"/>
              </w:rPr>
            </w:pPr>
          </w:p>
          <w:p w14:paraId="6E575B88" w14:textId="6C43C80A" w:rsidR="00287321" w:rsidRPr="00287321" w:rsidRDefault="00287321" w:rsidP="0028732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A87111" w:rsidRPr="002860E2" w14:paraId="48B0E8FF" w14:textId="77777777" w:rsidTr="0022424B">
        <w:trPr>
          <w:cantSplit/>
        </w:trPr>
        <w:tc>
          <w:tcPr>
            <w:tcW w:w="15282" w:type="dxa"/>
            <w:gridSpan w:val="4"/>
            <w:shd w:val="clear" w:color="auto" w:fill="FFFF00"/>
          </w:tcPr>
          <w:p w14:paraId="519127C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A87111" w:rsidRPr="002860E2" w14:paraId="59DA52C9" w14:textId="77777777" w:rsidTr="00287321">
        <w:trPr>
          <w:cantSplit/>
          <w:trHeight w:val="1331"/>
        </w:trPr>
        <w:tc>
          <w:tcPr>
            <w:tcW w:w="0" w:type="auto"/>
          </w:tcPr>
          <w:p w14:paraId="45E74C56" w14:textId="77777777" w:rsidR="00A87111" w:rsidRPr="002860E2" w:rsidRDefault="00A87111" w:rsidP="00A87111">
            <w:pPr>
              <w:numPr>
                <w:ilvl w:val="0"/>
                <w:numId w:val="1"/>
              </w:numPr>
              <w:contextualSpacing/>
              <w:rPr>
                <w:rFonts w:asciiTheme="minorHAnsi" w:hAnsiTheme="minorHAnsi"/>
                <w:b/>
                <w:sz w:val="20"/>
                <w:szCs w:val="20"/>
              </w:rPr>
            </w:pPr>
          </w:p>
        </w:tc>
        <w:tc>
          <w:tcPr>
            <w:tcW w:w="5951" w:type="dxa"/>
          </w:tcPr>
          <w:p w14:paraId="556866F1" w14:textId="540197DA" w:rsidR="00A87111" w:rsidRPr="002860E2" w:rsidRDefault="00A87111" w:rsidP="00A87111">
            <w:pPr>
              <w:pStyle w:val="ColorfulList-Accent11"/>
              <w:ind w:left="0"/>
              <w:rPr>
                <w:rFonts w:asciiTheme="minorHAnsi" w:hAnsiTheme="minorHAnsi"/>
                <w:sz w:val="20"/>
                <w:szCs w:val="20"/>
              </w:rPr>
            </w:pPr>
          </w:p>
        </w:tc>
        <w:tc>
          <w:tcPr>
            <w:tcW w:w="5446" w:type="dxa"/>
          </w:tcPr>
          <w:p w14:paraId="21421461" w14:textId="5C2B6D98" w:rsidR="00A87111" w:rsidRPr="002860E2" w:rsidRDefault="00A87111" w:rsidP="00A87111">
            <w:pPr>
              <w:contextualSpacing/>
              <w:rPr>
                <w:rFonts w:asciiTheme="minorHAnsi" w:hAnsiTheme="minorHAnsi"/>
                <w:sz w:val="20"/>
                <w:szCs w:val="20"/>
              </w:rPr>
            </w:pPr>
          </w:p>
        </w:tc>
        <w:tc>
          <w:tcPr>
            <w:tcW w:w="3559" w:type="dxa"/>
          </w:tcPr>
          <w:p w14:paraId="7F148522"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51445685"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5B81F2E"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911302"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F9311C3" w14:textId="77777777" w:rsidR="00A87111" w:rsidRPr="002860E2" w:rsidRDefault="00A87111" w:rsidP="00A87111">
            <w:pPr>
              <w:contextualSpacing/>
              <w:rPr>
                <w:rFonts w:asciiTheme="minorHAnsi" w:hAnsiTheme="minorHAnsi"/>
                <w:sz w:val="20"/>
                <w:szCs w:val="20"/>
              </w:rPr>
            </w:pPr>
          </w:p>
          <w:p w14:paraId="381D3E1B"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E46A99" w14:textId="77777777" w:rsidR="00A87111" w:rsidRPr="002860E2" w:rsidRDefault="00A87111" w:rsidP="00A87111">
            <w:pPr>
              <w:contextualSpacing/>
              <w:rPr>
                <w:rFonts w:asciiTheme="minorHAnsi" w:hAnsiTheme="minorHAnsi"/>
                <w:sz w:val="20"/>
                <w:szCs w:val="20"/>
              </w:rPr>
            </w:pPr>
          </w:p>
        </w:tc>
      </w:tr>
      <w:tr w:rsidR="00A87111" w:rsidRPr="002860E2" w14:paraId="4662A301" w14:textId="77777777" w:rsidTr="0022424B">
        <w:trPr>
          <w:cantSplit/>
        </w:trPr>
        <w:tc>
          <w:tcPr>
            <w:tcW w:w="0" w:type="auto"/>
            <w:gridSpan w:val="4"/>
            <w:shd w:val="clear" w:color="auto" w:fill="FF0000"/>
          </w:tcPr>
          <w:p w14:paraId="27A6D5BE" w14:textId="77777777" w:rsidR="00A87111" w:rsidRPr="008D7EE5" w:rsidRDefault="00A87111" w:rsidP="00A87111">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A87111" w:rsidRPr="002860E2" w14:paraId="73970316" w14:textId="77777777" w:rsidTr="0022424B">
        <w:trPr>
          <w:cantSplit/>
        </w:trPr>
        <w:tc>
          <w:tcPr>
            <w:tcW w:w="0" w:type="auto"/>
            <w:gridSpan w:val="4"/>
            <w:shd w:val="clear" w:color="auto" w:fill="DEEAF6" w:themeFill="accent5" w:themeFillTint="33"/>
          </w:tcPr>
          <w:p w14:paraId="4C4E5170"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A87111" w:rsidRPr="002860E2" w14:paraId="13081EEC" w14:textId="77777777" w:rsidTr="00287321">
        <w:trPr>
          <w:cantSplit/>
        </w:trPr>
        <w:tc>
          <w:tcPr>
            <w:tcW w:w="0" w:type="auto"/>
          </w:tcPr>
          <w:p w14:paraId="035E5530" w14:textId="77777777" w:rsidR="00A87111" w:rsidRPr="002860E2" w:rsidRDefault="00A87111" w:rsidP="00A87111">
            <w:pPr>
              <w:numPr>
                <w:ilvl w:val="0"/>
                <w:numId w:val="1"/>
              </w:numPr>
              <w:contextualSpacing/>
              <w:rPr>
                <w:rFonts w:asciiTheme="minorHAnsi" w:hAnsiTheme="minorHAnsi"/>
                <w:b/>
                <w:sz w:val="20"/>
                <w:szCs w:val="20"/>
              </w:rPr>
            </w:pPr>
          </w:p>
        </w:tc>
        <w:tc>
          <w:tcPr>
            <w:tcW w:w="5951" w:type="dxa"/>
          </w:tcPr>
          <w:p w14:paraId="190AFF95" w14:textId="77777777" w:rsidR="00A87111" w:rsidRPr="002860E2" w:rsidRDefault="00A87111" w:rsidP="00A87111">
            <w:pPr>
              <w:pStyle w:val="ColorfulList-Accent11"/>
              <w:ind w:left="0"/>
              <w:rPr>
                <w:rFonts w:asciiTheme="minorHAnsi" w:hAnsiTheme="minorHAnsi"/>
                <w:sz w:val="20"/>
                <w:szCs w:val="20"/>
              </w:rPr>
            </w:pPr>
          </w:p>
          <w:p w14:paraId="55FBA5A9" w14:textId="77777777" w:rsidR="00A87111" w:rsidRPr="002860E2" w:rsidRDefault="00A87111" w:rsidP="00A87111">
            <w:pPr>
              <w:pStyle w:val="ColorfulList-Accent11"/>
              <w:ind w:left="0"/>
              <w:rPr>
                <w:rFonts w:asciiTheme="minorHAnsi" w:hAnsiTheme="minorHAnsi"/>
                <w:sz w:val="20"/>
                <w:szCs w:val="20"/>
              </w:rPr>
            </w:pPr>
          </w:p>
          <w:p w14:paraId="320F1684" w14:textId="77777777" w:rsidR="00A87111" w:rsidRPr="002860E2" w:rsidRDefault="00A87111" w:rsidP="00A87111">
            <w:pPr>
              <w:pStyle w:val="ColorfulList-Accent11"/>
              <w:ind w:left="0"/>
              <w:rPr>
                <w:rFonts w:asciiTheme="minorHAnsi" w:hAnsiTheme="minorHAnsi"/>
                <w:sz w:val="20"/>
                <w:szCs w:val="20"/>
              </w:rPr>
            </w:pPr>
          </w:p>
        </w:tc>
        <w:tc>
          <w:tcPr>
            <w:tcW w:w="5446" w:type="dxa"/>
          </w:tcPr>
          <w:p w14:paraId="28C1911A"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proofErr w:type="spellStart"/>
            <w:r w:rsidRPr="00C23E64">
              <w:rPr>
                <w:rFonts w:asciiTheme="minorHAnsi" w:eastAsia="Times New Roman" w:hAnsiTheme="minorHAnsi" w:cs="Arial"/>
                <w:sz w:val="20"/>
                <w:szCs w:val="20"/>
              </w:rPr>
              <w:t>Sivasubramanian</w:t>
            </w:r>
            <w:proofErr w:type="spellEnd"/>
            <w:r w:rsidRPr="00C23E64">
              <w:rPr>
                <w:rFonts w:asciiTheme="minorHAnsi" w:eastAsia="Times New Roman" w:hAnsiTheme="minorHAnsi" w:cs="Arial"/>
                <w:sz w:val="20"/>
                <w:szCs w:val="20"/>
              </w:rPr>
              <w:t xml:space="preserve"> Muthusamy; Internet Society India Chennai </w:t>
            </w:r>
          </w:p>
          <w:p w14:paraId="24E852D0"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 xml:space="preserve">Tim Chen; </w:t>
            </w:r>
            <w:proofErr w:type="spellStart"/>
            <w:r w:rsidRPr="00C23E64">
              <w:rPr>
                <w:rFonts w:asciiTheme="minorHAnsi" w:eastAsia="Times New Roman" w:hAnsiTheme="minorHAnsi" w:cs="Arial"/>
                <w:sz w:val="20"/>
                <w:szCs w:val="20"/>
              </w:rPr>
              <w:t>DomainTools</w:t>
            </w:r>
            <w:proofErr w:type="spellEnd"/>
          </w:p>
          <w:p w14:paraId="7FBDAA29"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 xml:space="preserve">Mark Massey; Domain Name Rights Coalition </w:t>
            </w:r>
          </w:p>
          <w:p w14:paraId="2A35D45E"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 xml:space="preserve">Farzaneh </w:t>
            </w:r>
            <w:proofErr w:type="spellStart"/>
            <w:r w:rsidRPr="00C23E64">
              <w:rPr>
                <w:rFonts w:asciiTheme="minorHAnsi" w:eastAsia="Times New Roman" w:hAnsiTheme="minorHAnsi" w:cs="Arial"/>
                <w:sz w:val="20"/>
                <w:szCs w:val="20"/>
              </w:rPr>
              <w:t>Badii</w:t>
            </w:r>
            <w:proofErr w:type="spellEnd"/>
            <w:r w:rsidRPr="00C23E64">
              <w:rPr>
                <w:rFonts w:asciiTheme="minorHAnsi" w:eastAsia="Times New Roman" w:hAnsiTheme="minorHAnsi" w:cs="Arial"/>
                <w:sz w:val="20"/>
                <w:szCs w:val="20"/>
              </w:rPr>
              <w:t xml:space="preserve">; Internet Governance Project </w:t>
            </w:r>
          </w:p>
          <w:p w14:paraId="6E20DC28"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 xml:space="preserve">David Martel </w:t>
            </w:r>
          </w:p>
          <w:p w14:paraId="7DAAEBB4"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 xml:space="preserve">Steve </w:t>
            </w:r>
            <w:proofErr w:type="spellStart"/>
            <w:r w:rsidRPr="00C23E64">
              <w:rPr>
                <w:rFonts w:asciiTheme="minorHAnsi" w:eastAsia="Times New Roman" w:hAnsiTheme="minorHAnsi" w:cs="Arial"/>
                <w:sz w:val="20"/>
                <w:szCs w:val="20"/>
              </w:rPr>
              <w:t>Gobin</w:t>
            </w:r>
            <w:proofErr w:type="spellEnd"/>
            <w:r w:rsidRPr="00C23E64">
              <w:rPr>
                <w:rFonts w:asciiTheme="minorHAnsi" w:eastAsia="Times New Roman" w:hAnsiTheme="minorHAnsi" w:cs="Arial"/>
                <w:sz w:val="20"/>
                <w:szCs w:val="20"/>
              </w:rPr>
              <w:t>; Corporate domain name management</w:t>
            </w:r>
          </w:p>
          <w:p w14:paraId="21215E4A" w14:textId="77777777" w:rsidR="00287321" w:rsidRPr="00C23E64" w:rsidRDefault="00287321" w:rsidP="00287321">
            <w:pPr>
              <w:pStyle w:val="ListParagraph"/>
              <w:numPr>
                <w:ilvl w:val="0"/>
                <w:numId w:val="5"/>
              </w:numPr>
              <w:contextualSpacing/>
              <w:rPr>
                <w:rFonts w:asciiTheme="minorHAnsi" w:eastAsia="Times New Roman" w:hAnsiTheme="minorHAnsi" w:cs="Arial"/>
                <w:sz w:val="20"/>
                <w:szCs w:val="20"/>
              </w:rPr>
            </w:pPr>
            <w:r w:rsidRPr="00C23E64">
              <w:rPr>
                <w:rFonts w:asciiTheme="minorHAnsi" w:eastAsia="Times New Roman" w:hAnsiTheme="minorHAnsi" w:cs="Arial"/>
                <w:sz w:val="20"/>
                <w:szCs w:val="20"/>
              </w:rPr>
              <w:t>Ben Butler; SSAC</w:t>
            </w:r>
          </w:p>
          <w:p w14:paraId="182B0724"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Ashley Heineman; NTIA</w:t>
            </w:r>
          </w:p>
          <w:p w14:paraId="45BDA3C7"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Neil Fried; The Motion Picture Association of America</w:t>
            </w:r>
          </w:p>
          <w:p w14:paraId="1740EFDF" w14:textId="77777777" w:rsidR="00287321" w:rsidRPr="00C23E64" w:rsidRDefault="00287321" w:rsidP="00287321">
            <w:pPr>
              <w:pStyle w:val="ListParagraph"/>
              <w:numPr>
                <w:ilvl w:val="0"/>
                <w:numId w:val="5"/>
              </w:numPr>
              <w:contextualSpacing/>
              <w:rPr>
                <w:rFonts w:asciiTheme="minorHAnsi" w:hAnsiTheme="minorHAnsi"/>
                <w:sz w:val="20"/>
                <w:szCs w:val="20"/>
              </w:rPr>
            </w:pPr>
            <w:proofErr w:type="spellStart"/>
            <w:r w:rsidRPr="00C23E64">
              <w:rPr>
                <w:rFonts w:asciiTheme="minorHAnsi" w:hAnsiTheme="minorHAnsi"/>
                <w:sz w:val="20"/>
                <w:szCs w:val="20"/>
              </w:rPr>
              <w:t>Sajda</w:t>
            </w:r>
            <w:proofErr w:type="spellEnd"/>
            <w:r w:rsidRPr="00C23E64">
              <w:rPr>
                <w:rFonts w:asciiTheme="minorHAnsi" w:hAnsiTheme="minorHAnsi"/>
                <w:sz w:val="20"/>
                <w:szCs w:val="20"/>
              </w:rPr>
              <w:t xml:space="preserve"> </w:t>
            </w:r>
            <w:proofErr w:type="spellStart"/>
            <w:r w:rsidRPr="00C23E64">
              <w:rPr>
                <w:rFonts w:asciiTheme="minorHAnsi" w:hAnsiTheme="minorHAnsi"/>
                <w:sz w:val="20"/>
                <w:szCs w:val="20"/>
              </w:rPr>
              <w:t>Ouachtouki</w:t>
            </w:r>
            <w:proofErr w:type="spellEnd"/>
            <w:r w:rsidRPr="00C23E64">
              <w:rPr>
                <w:rFonts w:asciiTheme="minorHAnsi" w:hAnsiTheme="minorHAnsi"/>
                <w:sz w:val="20"/>
                <w:szCs w:val="20"/>
              </w:rPr>
              <w:t>; The Walt Disney Company</w:t>
            </w:r>
          </w:p>
          <w:p w14:paraId="313F0B0A"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 xml:space="preserve">Greg </w:t>
            </w:r>
            <w:proofErr w:type="spellStart"/>
            <w:r w:rsidRPr="00C23E64">
              <w:rPr>
                <w:rFonts w:asciiTheme="minorHAnsi" w:hAnsiTheme="minorHAnsi"/>
                <w:sz w:val="20"/>
                <w:szCs w:val="20"/>
              </w:rPr>
              <w:t>Mounier</w:t>
            </w:r>
            <w:proofErr w:type="spellEnd"/>
            <w:r w:rsidRPr="00C23E64">
              <w:rPr>
                <w:rFonts w:asciiTheme="minorHAnsi" w:hAnsiTheme="minorHAnsi"/>
                <w:sz w:val="20"/>
                <w:szCs w:val="20"/>
              </w:rPr>
              <w:t xml:space="preserve"> on behalf of Europol AGIS; Europol Advisory Group on Internet Security</w:t>
            </w:r>
          </w:p>
          <w:p w14:paraId="5A974DFB"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 xml:space="preserve">Monique A. </w:t>
            </w:r>
            <w:proofErr w:type="spellStart"/>
            <w:r w:rsidRPr="00C23E64">
              <w:rPr>
                <w:rFonts w:asciiTheme="minorHAnsi" w:hAnsiTheme="minorHAnsi"/>
                <w:sz w:val="20"/>
                <w:szCs w:val="20"/>
              </w:rPr>
              <w:t>Goeschl</w:t>
            </w:r>
            <w:proofErr w:type="spellEnd"/>
            <w:r w:rsidRPr="00C23E64">
              <w:rPr>
                <w:rFonts w:asciiTheme="minorHAnsi" w:hAnsiTheme="minorHAnsi"/>
                <w:sz w:val="20"/>
                <w:szCs w:val="20"/>
              </w:rPr>
              <w:t xml:space="preserve">; </w:t>
            </w:r>
            <w:proofErr w:type="spellStart"/>
            <w:r w:rsidRPr="00C23E64">
              <w:rPr>
                <w:rFonts w:asciiTheme="minorHAnsi" w:hAnsiTheme="minorHAnsi"/>
                <w:sz w:val="20"/>
                <w:szCs w:val="20"/>
              </w:rPr>
              <w:t>Verein</w:t>
            </w:r>
            <w:proofErr w:type="spellEnd"/>
            <w:r w:rsidRPr="00C23E64">
              <w:rPr>
                <w:rFonts w:asciiTheme="minorHAnsi" w:hAnsiTheme="minorHAnsi"/>
                <w:sz w:val="20"/>
                <w:szCs w:val="20"/>
              </w:rPr>
              <w:t xml:space="preserve"> </w:t>
            </w:r>
            <w:proofErr w:type="spellStart"/>
            <w:r w:rsidRPr="00C23E64">
              <w:rPr>
                <w:rFonts w:asciiTheme="minorHAnsi" w:hAnsiTheme="minorHAnsi"/>
                <w:sz w:val="20"/>
                <w:szCs w:val="20"/>
              </w:rPr>
              <w:t>für</w:t>
            </w:r>
            <w:proofErr w:type="spellEnd"/>
            <w:r w:rsidRPr="00C23E64">
              <w:rPr>
                <w:rFonts w:asciiTheme="minorHAnsi" w:hAnsiTheme="minorHAnsi"/>
                <w:sz w:val="20"/>
                <w:szCs w:val="20"/>
              </w:rPr>
              <w:t xml:space="preserve"> Anti-</w:t>
            </w:r>
            <w:proofErr w:type="spellStart"/>
            <w:r w:rsidRPr="00C23E64">
              <w:rPr>
                <w:rFonts w:asciiTheme="minorHAnsi" w:hAnsiTheme="minorHAnsi"/>
                <w:sz w:val="20"/>
                <w:szCs w:val="20"/>
              </w:rPr>
              <w:t>Piraterie</w:t>
            </w:r>
            <w:proofErr w:type="spellEnd"/>
            <w:r w:rsidRPr="00C23E64">
              <w:rPr>
                <w:rFonts w:asciiTheme="minorHAnsi" w:hAnsiTheme="minorHAnsi"/>
                <w:sz w:val="20"/>
                <w:szCs w:val="20"/>
              </w:rPr>
              <w:t xml:space="preserve"> der Film- und </w:t>
            </w:r>
            <w:proofErr w:type="spellStart"/>
            <w:r w:rsidRPr="00C23E64">
              <w:rPr>
                <w:rFonts w:asciiTheme="minorHAnsi" w:hAnsiTheme="minorHAnsi"/>
                <w:sz w:val="20"/>
                <w:szCs w:val="20"/>
              </w:rPr>
              <w:t>Videobranche</w:t>
            </w:r>
            <w:proofErr w:type="spellEnd"/>
            <w:r w:rsidRPr="00C23E64">
              <w:rPr>
                <w:rFonts w:asciiTheme="minorHAnsi" w:hAnsiTheme="minorHAnsi"/>
                <w:sz w:val="20"/>
                <w:szCs w:val="20"/>
              </w:rPr>
              <w:t xml:space="preserve"> (VAP)</w:t>
            </w:r>
          </w:p>
          <w:p w14:paraId="79977DBB"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Fabien Betremieux; GAC</w:t>
            </w:r>
          </w:p>
          <w:p w14:paraId="43BF702F"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Brian Beckham; Head, Internet Dispute Resolution Section at WIPO</w:t>
            </w:r>
          </w:p>
          <w:p w14:paraId="223FA1A7"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Theo Geurts</w:t>
            </w:r>
          </w:p>
          <w:p w14:paraId="7E2950B1" w14:textId="77777777" w:rsidR="00287321" w:rsidRPr="00C23E64" w:rsidRDefault="00287321" w:rsidP="00287321">
            <w:pPr>
              <w:pStyle w:val="ListParagraph"/>
              <w:numPr>
                <w:ilvl w:val="0"/>
                <w:numId w:val="5"/>
              </w:numPr>
              <w:contextualSpacing/>
              <w:rPr>
                <w:rFonts w:asciiTheme="minorHAnsi" w:hAnsiTheme="minorHAnsi"/>
                <w:sz w:val="20"/>
                <w:szCs w:val="20"/>
              </w:rPr>
            </w:pPr>
            <w:proofErr w:type="spellStart"/>
            <w:r w:rsidRPr="00C23E64">
              <w:rPr>
                <w:rFonts w:asciiTheme="minorHAnsi" w:hAnsiTheme="minorHAnsi"/>
                <w:sz w:val="20"/>
                <w:szCs w:val="20"/>
              </w:rPr>
              <w:t>Ivett</w:t>
            </w:r>
            <w:proofErr w:type="spellEnd"/>
            <w:r w:rsidRPr="00C23E64">
              <w:rPr>
                <w:rFonts w:asciiTheme="minorHAnsi" w:hAnsiTheme="minorHAnsi"/>
                <w:sz w:val="20"/>
                <w:szCs w:val="20"/>
              </w:rPr>
              <w:t xml:space="preserve"> </w:t>
            </w:r>
            <w:proofErr w:type="spellStart"/>
            <w:r w:rsidRPr="00C23E64">
              <w:rPr>
                <w:rFonts w:asciiTheme="minorHAnsi" w:hAnsiTheme="minorHAnsi"/>
                <w:sz w:val="20"/>
                <w:szCs w:val="20"/>
              </w:rPr>
              <w:t>Paulovics</w:t>
            </w:r>
            <w:proofErr w:type="spellEnd"/>
            <w:r w:rsidRPr="00C23E64">
              <w:rPr>
                <w:rFonts w:asciiTheme="minorHAnsi" w:hAnsiTheme="minorHAnsi"/>
                <w:sz w:val="20"/>
                <w:szCs w:val="20"/>
              </w:rPr>
              <w:t xml:space="preserve">; MFSD </w:t>
            </w:r>
            <w:proofErr w:type="spellStart"/>
            <w:r w:rsidRPr="00C23E64">
              <w:rPr>
                <w:rFonts w:asciiTheme="minorHAnsi" w:hAnsiTheme="minorHAnsi"/>
                <w:sz w:val="20"/>
                <w:szCs w:val="20"/>
              </w:rPr>
              <w:t>Srl</w:t>
            </w:r>
            <w:proofErr w:type="spellEnd"/>
            <w:r w:rsidRPr="00C23E64">
              <w:rPr>
                <w:rFonts w:asciiTheme="minorHAnsi" w:hAnsiTheme="minorHAnsi"/>
                <w:sz w:val="20"/>
                <w:szCs w:val="20"/>
              </w:rPr>
              <w:t xml:space="preserve"> URS Provider</w:t>
            </w:r>
          </w:p>
          <w:p w14:paraId="12098C04"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 xml:space="preserve">Ashley Roberts; </w:t>
            </w:r>
            <w:proofErr w:type="spellStart"/>
            <w:r w:rsidRPr="00C23E64">
              <w:rPr>
                <w:rFonts w:asciiTheme="minorHAnsi" w:hAnsiTheme="minorHAnsi"/>
                <w:sz w:val="20"/>
                <w:szCs w:val="20"/>
              </w:rPr>
              <w:t>Valideus</w:t>
            </w:r>
            <w:proofErr w:type="spellEnd"/>
          </w:p>
          <w:p w14:paraId="134D36B8"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Renee Fossen; Forum - URS and UDRP Provider</w:t>
            </w:r>
          </w:p>
          <w:p w14:paraId="1438EC57" w14:textId="77777777" w:rsidR="00287321" w:rsidRPr="00C23E64" w:rsidRDefault="00287321" w:rsidP="00287321">
            <w:pPr>
              <w:pStyle w:val="ListParagraph"/>
              <w:numPr>
                <w:ilvl w:val="0"/>
                <w:numId w:val="5"/>
              </w:numPr>
              <w:contextualSpacing/>
              <w:rPr>
                <w:rFonts w:asciiTheme="minorHAnsi" w:hAnsiTheme="minorHAnsi"/>
                <w:sz w:val="20"/>
                <w:szCs w:val="20"/>
              </w:rPr>
            </w:pPr>
            <w:r w:rsidRPr="00C23E64">
              <w:rPr>
                <w:rFonts w:asciiTheme="minorHAnsi" w:hAnsiTheme="minorHAnsi"/>
                <w:sz w:val="20"/>
                <w:szCs w:val="20"/>
              </w:rPr>
              <w:t>Stephanie Perrin</w:t>
            </w:r>
          </w:p>
          <w:p w14:paraId="3E29AAAD" w14:textId="05497727" w:rsidR="00A87111" w:rsidRPr="00287321" w:rsidRDefault="00A87111" w:rsidP="00287321">
            <w:pPr>
              <w:contextualSpacing/>
              <w:rPr>
                <w:rFonts w:asciiTheme="minorHAnsi" w:hAnsiTheme="minorHAnsi"/>
                <w:sz w:val="20"/>
                <w:szCs w:val="20"/>
              </w:rPr>
            </w:pPr>
          </w:p>
        </w:tc>
        <w:tc>
          <w:tcPr>
            <w:tcW w:w="3559" w:type="dxa"/>
          </w:tcPr>
          <w:p w14:paraId="5F8583BD"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201BE226"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68BF8247" w14:textId="77777777" w:rsidR="00A87111" w:rsidRPr="002860E2"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5F5B9A8" w14:textId="77777777" w:rsidR="00A87111" w:rsidRPr="002B3C04" w:rsidRDefault="00A8711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0EE03009" w14:textId="77777777" w:rsidR="00A87111" w:rsidRPr="002860E2" w:rsidRDefault="00A87111" w:rsidP="00A87111">
            <w:pPr>
              <w:contextualSpacing/>
              <w:rPr>
                <w:rFonts w:asciiTheme="minorHAnsi" w:hAnsiTheme="minorHAnsi"/>
                <w:sz w:val="20"/>
                <w:szCs w:val="20"/>
              </w:rPr>
            </w:pPr>
          </w:p>
          <w:p w14:paraId="499F801E" w14:textId="77777777" w:rsidR="00A87111" w:rsidRPr="002860E2" w:rsidRDefault="00A87111" w:rsidP="00A8711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0702D73E" w14:textId="77777777" w:rsidR="00A87111" w:rsidRPr="002860E2" w:rsidRDefault="00A87111" w:rsidP="00A87111">
            <w:pPr>
              <w:contextualSpacing/>
              <w:rPr>
                <w:rFonts w:asciiTheme="minorHAnsi" w:hAnsiTheme="minorHAnsi"/>
                <w:sz w:val="20"/>
                <w:szCs w:val="20"/>
              </w:rPr>
            </w:pPr>
          </w:p>
        </w:tc>
      </w:tr>
      <w:tr w:rsidR="00287321" w:rsidRPr="002860E2" w14:paraId="43D97490" w14:textId="77777777" w:rsidTr="00287321">
        <w:trPr>
          <w:cantSplit/>
        </w:trPr>
        <w:tc>
          <w:tcPr>
            <w:tcW w:w="15282" w:type="dxa"/>
            <w:gridSpan w:val="4"/>
            <w:shd w:val="clear" w:color="auto" w:fill="A5A5A5" w:themeFill="accent3"/>
          </w:tcPr>
          <w:p w14:paraId="1556F3F3" w14:textId="340C48BB" w:rsidR="00287321" w:rsidRPr="002860E2" w:rsidRDefault="00287321" w:rsidP="00A87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7321">
              <w:rPr>
                <w:rFonts w:asciiTheme="minorHAnsi" w:eastAsia="Times New Roman" w:hAnsiTheme="minorHAnsi"/>
                <w:color w:val="000000"/>
                <w:sz w:val="20"/>
                <w:szCs w:val="20"/>
              </w:rPr>
              <w:t xml:space="preserve">Are there any changes that the EPDP Team should consider in relation to the Transfer Policy that have not already been identified? </w:t>
            </w:r>
          </w:p>
        </w:tc>
      </w:tr>
      <w:tr w:rsidR="00287321" w:rsidRPr="002860E2" w14:paraId="05FB33E6" w14:textId="77777777" w:rsidTr="00287321">
        <w:trPr>
          <w:cantSplit/>
        </w:trPr>
        <w:tc>
          <w:tcPr>
            <w:tcW w:w="0" w:type="auto"/>
          </w:tcPr>
          <w:p w14:paraId="7C15FCCF" w14:textId="77777777" w:rsidR="00287321" w:rsidRPr="002860E2" w:rsidRDefault="00287321" w:rsidP="00A87111">
            <w:pPr>
              <w:numPr>
                <w:ilvl w:val="0"/>
                <w:numId w:val="1"/>
              </w:numPr>
              <w:contextualSpacing/>
              <w:rPr>
                <w:rFonts w:asciiTheme="minorHAnsi" w:hAnsiTheme="minorHAnsi"/>
                <w:b/>
                <w:sz w:val="20"/>
                <w:szCs w:val="20"/>
              </w:rPr>
            </w:pPr>
          </w:p>
        </w:tc>
        <w:tc>
          <w:tcPr>
            <w:tcW w:w="5951" w:type="dxa"/>
          </w:tcPr>
          <w:p w14:paraId="72907992" w14:textId="1E5FF3F0" w:rsidR="00287321" w:rsidRPr="002860E2" w:rsidRDefault="00253595" w:rsidP="00A87111">
            <w:pPr>
              <w:pStyle w:val="ColorfulList-Accent11"/>
              <w:ind w:left="0"/>
              <w:rPr>
                <w:rFonts w:asciiTheme="minorHAnsi" w:hAnsiTheme="minorHAnsi"/>
                <w:sz w:val="20"/>
                <w:szCs w:val="20"/>
              </w:rPr>
            </w:pPr>
            <w:r w:rsidRPr="00253595">
              <w:rPr>
                <w:rFonts w:asciiTheme="minorHAnsi" w:hAnsiTheme="minorHAnsi"/>
                <w:sz w:val="20"/>
                <w:szCs w:val="20"/>
              </w:rPr>
              <w:t xml:space="preserve">The GNSO should consider if policy changes are needed to guard against </w:t>
            </w:r>
            <w:proofErr w:type="spellStart"/>
            <w:r w:rsidRPr="00253595">
              <w:rPr>
                <w:rFonts w:asciiTheme="minorHAnsi" w:hAnsiTheme="minorHAnsi"/>
                <w:sz w:val="20"/>
                <w:szCs w:val="20"/>
              </w:rPr>
              <w:t>unauthorised</w:t>
            </w:r>
            <w:proofErr w:type="spellEnd"/>
            <w:r w:rsidRPr="00253595">
              <w:rPr>
                <w:rFonts w:asciiTheme="minorHAnsi" w:hAnsiTheme="minorHAnsi"/>
                <w:sz w:val="20"/>
                <w:szCs w:val="20"/>
              </w:rPr>
              <w:t xml:space="preserve"> transfers. Additionally, the TechOps group is currently investigating the technical feasibility of alternative transfer processes, that, once finalized, could be used as a basis for future policy work. This considers possible transfer processes that are simple, guard against unauthorized transfers, and do not rely on WHOIS data to initiate a transfer. The EPDP team should recommend that the TechOps group continues their valuable work and that the GNSO should seriously consider their findings.</w:t>
            </w:r>
          </w:p>
        </w:tc>
        <w:tc>
          <w:tcPr>
            <w:tcW w:w="5446" w:type="dxa"/>
          </w:tcPr>
          <w:p w14:paraId="2B94D74B" w14:textId="69C02694" w:rsidR="00287321" w:rsidRPr="00064A4B" w:rsidRDefault="00064A4B" w:rsidP="00064A4B">
            <w:pPr>
              <w:contextualSpacing/>
              <w:rPr>
                <w:rFonts w:asciiTheme="minorHAnsi" w:hAnsiTheme="minorHAnsi"/>
                <w:sz w:val="20"/>
                <w:szCs w:val="20"/>
              </w:rPr>
            </w:pPr>
            <w:r w:rsidRPr="00064A4B">
              <w:rPr>
                <w:rFonts w:asciiTheme="minorHAnsi" w:hAnsiTheme="minorHAnsi"/>
                <w:sz w:val="20"/>
                <w:szCs w:val="20"/>
              </w:rPr>
              <w:t xml:space="preserve">Zoe Bonython; </w:t>
            </w:r>
            <w:proofErr w:type="spellStart"/>
            <w:r w:rsidRPr="00064A4B">
              <w:rPr>
                <w:rFonts w:asciiTheme="minorHAnsi" w:hAnsiTheme="minorHAnsi"/>
                <w:sz w:val="20"/>
                <w:szCs w:val="20"/>
              </w:rPr>
              <w:t>RrSG</w:t>
            </w:r>
            <w:proofErr w:type="spellEnd"/>
          </w:p>
        </w:tc>
        <w:tc>
          <w:tcPr>
            <w:tcW w:w="3559" w:type="dxa"/>
          </w:tcPr>
          <w:p w14:paraId="7E617A60" w14:textId="77777777" w:rsidR="00064A4B" w:rsidRPr="002860E2"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7CA0B347" w14:textId="77777777" w:rsidR="00064A4B" w:rsidRPr="002B3C04"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C0A951E" w14:textId="77777777" w:rsidR="00064A4B" w:rsidRPr="002860E2"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D077025" w14:textId="77777777" w:rsidR="00064A4B" w:rsidRPr="002B3C04"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16629E3" w14:textId="77777777" w:rsidR="00064A4B" w:rsidRPr="002860E2" w:rsidRDefault="00064A4B" w:rsidP="00064A4B">
            <w:pPr>
              <w:contextualSpacing/>
              <w:rPr>
                <w:rFonts w:asciiTheme="minorHAnsi" w:hAnsiTheme="minorHAnsi"/>
                <w:sz w:val="20"/>
                <w:szCs w:val="20"/>
              </w:rPr>
            </w:pPr>
          </w:p>
          <w:p w14:paraId="08141877" w14:textId="2B12EA15" w:rsidR="00287321" w:rsidRPr="00064A4B" w:rsidRDefault="00064A4B" w:rsidP="00064A4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87321" w:rsidRPr="002860E2" w14:paraId="4D7AA38A" w14:textId="77777777" w:rsidTr="00287321">
        <w:trPr>
          <w:cantSplit/>
        </w:trPr>
        <w:tc>
          <w:tcPr>
            <w:tcW w:w="0" w:type="auto"/>
          </w:tcPr>
          <w:p w14:paraId="7E331791" w14:textId="77777777" w:rsidR="00287321" w:rsidRPr="002860E2" w:rsidRDefault="00287321" w:rsidP="00A87111">
            <w:pPr>
              <w:numPr>
                <w:ilvl w:val="0"/>
                <w:numId w:val="1"/>
              </w:numPr>
              <w:contextualSpacing/>
              <w:rPr>
                <w:rFonts w:asciiTheme="minorHAnsi" w:hAnsiTheme="minorHAnsi"/>
                <w:b/>
                <w:sz w:val="20"/>
                <w:szCs w:val="20"/>
              </w:rPr>
            </w:pPr>
          </w:p>
        </w:tc>
        <w:tc>
          <w:tcPr>
            <w:tcW w:w="5951" w:type="dxa"/>
          </w:tcPr>
          <w:p w14:paraId="091C0F83" w14:textId="4285FB37" w:rsidR="00287321" w:rsidRPr="002860E2" w:rsidRDefault="00253595" w:rsidP="00A87111">
            <w:pPr>
              <w:pStyle w:val="ColorfulList-Accent11"/>
              <w:ind w:left="0"/>
              <w:rPr>
                <w:rFonts w:asciiTheme="minorHAnsi" w:hAnsiTheme="minorHAnsi"/>
                <w:sz w:val="20"/>
                <w:szCs w:val="20"/>
              </w:rPr>
            </w:pPr>
            <w:r w:rsidRPr="00253595">
              <w:rPr>
                <w:rFonts w:asciiTheme="minorHAnsi" w:hAnsiTheme="minorHAnsi"/>
                <w:sz w:val="20"/>
                <w:szCs w:val="20"/>
              </w:rPr>
              <w:t>The RySG suggests that when reviewing the Transfer Policy, the GNSO Council should also consider whether changes to the Policy are needed to guard against unauthorized transfers.</w:t>
            </w:r>
          </w:p>
        </w:tc>
        <w:tc>
          <w:tcPr>
            <w:tcW w:w="5446" w:type="dxa"/>
          </w:tcPr>
          <w:p w14:paraId="148BD58E" w14:textId="044E4E4E" w:rsidR="00287321" w:rsidRPr="00253595" w:rsidRDefault="00253595" w:rsidP="00253595">
            <w:pPr>
              <w:contextualSpacing/>
              <w:rPr>
                <w:rFonts w:asciiTheme="minorHAnsi" w:hAnsiTheme="minorHAnsi"/>
                <w:sz w:val="20"/>
                <w:szCs w:val="20"/>
              </w:rPr>
            </w:pPr>
            <w:r w:rsidRPr="00253595">
              <w:rPr>
                <w:rFonts w:asciiTheme="minorHAnsi" w:hAnsiTheme="minorHAnsi"/>
                <w:sz w:val="20"/>
                <w:szCs w:val="20"/>
              </w:rPr>
              <w:t xml:space="preserve">Wim </w:t>
            </w:r>
            <w:proofErr w:type="spellStart"/>
            <w:proofErr w:type="gramStart"/>
            <w:r w:rsidRPr="00253595">
              <w:rPr>
                <w:rFonts w:asciiTheme="minorHAnsi" w:hAnsiTheme="minorHAnsi"/>
                <w:sz w:val="20"/>
                <w:szCs w:val="20"/>
              </w:rPr>
              <w:t>Degezelle</w:t>
            </w:r>
            <w:proofErr w:type="spellEnd"/>
            <w:r w:rsidRPr="00253595">
              <w:rPr>
                <w:rFonts w:asciiTheme="minorHAnsi" w:hAnsiTheme="minorHAnsi"/>
                <w:sz w:val="20"/>
                <w:szCs w:val="20"/>
              </w:rPr>
              <w:t xml:space="preserve"> ;</w:t>
            </w:r>
            <w:proofErr w:type="gramEnd"/>
            <w:r w:rsidRPr="00253595">
              <w:rPr>
                <w:rFonts w:asciiTheme="minorHAnsi" w:hAnsiTheme="minorHAnsi"/>
                <w:sz w:val="20"/>
                <w:szCs w:val="20"/>
              </w:rPr>
              <w:t xml:space="preserve"> RySG</w:t>
            </w:r>
          </w:p>
        </w:tc>
        <w:tc>
          <w:tcPr>
            <w:tcW w:w="3559" w:type="dxa"/>
          </w:tcPr>
          <w:p w14:paraId="0FAAE18D" w14:textId="77777777" w:rsidR="00064A4B" w:rsidRPr="002860E2"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299BA15C" w14:textId="77777777" w:rsidR="00064A4B" w:rsidRPr="002B3C04"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28A16AB" w14:textId="77777777" w:rsidR="00064A4B" w:rsidRPr="002860E2"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6948C91" w14:textId="77777777" w:rsidR="00064A4B" w:rsidRPr="002B3C04" w:rsidRDefault="00064A4B" w:rsidP="00064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BE16679" w14:textId="77777777" w:rsidR="00064A4B" w:rsidRPr="002860E2" w:rsidRDefault="00064A4B" w:rsidP="00064A4B">
            <w:pPr>
              <w:contextualSpacing/>
              <w:rPr>
                <w:rFonts w:asciiTheme="minorHAnsi" w:hAnsiTheme="minorHAnsi"/>
                <w:sz w:val="20"/>
                <w:szCs w:val="20"/>
              </w:rPr>
            </w:pPr>
          </w:p>
          <w:p w14:paraId="538C6E91" w14:textId="5DD39C73" w:rsidR="00287321" w:rsidRPr="00253595" w:rsidRDefault="00064A4B" w:rsidP="0025359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tc>
      </w:tr>
      <w:tr w:rsidR="00253595" w:rsidRPr="002860E2" w14:paraId="4446F488" w14:textId="77777777" w:rsidTr="00287321">
        <w:trPr>
          <w:cantSplit/>
        </w:trPr>
        <w:tc>
          <w:tcPr>
            <w:tcW w:w="0" w:type="auto"/>
          </w:tcPr>
          <w:p w14:paraId="09221B7B" w14:textId="77777777" w:rsidR="00253595" w:rsidRPr="002860E2" w:rsidRDefault="00253595" w:rsidP="00A87111">
            <w:pPr>
              <w:numPr>
                <w:ilvl w:val="0"/>
                <w:numId w:val="1"/>
              </w:numPr>
              <w:contextualSpacing/>
              <w:rPr>
                <w:rFonts w:asciiTheme="minorHAnsi" w:hAnsiTheme="minorHAnsi"/>
                <w:b/>
                <w:sz w:val="20"/>
                <w:szCs w:val="20"/>
              </w:rPr>
            </w:pPr>
          </w:p>
        </w:tc>
        <w:tc>
          <w:tcPr>
            <w:tcW w:w="5951" w:type="dxa"/>
          </w:tcPr>
          <w:p w14:paraId="7C84F5F4" w14:textId="25A8D012" w:rsidR="00253595" w:rsidRPr="00253595" w:rsidRDefault="00253595" w:rsidP="00A87111">
            <w:pPr>
              <w:pStyle w:val="ColorfulList-Accent11"/>
              <w:ind w:left="0"/>
              <w:rPr>
                <w:rFonts w:asciiTheme="minorHAnsi" w:hAnsiTheme="minorHAnsi"/>
                <w:sz w:val="20"/>
                <w:szCs w:val="20"/>
              </w:rPr>
            </w:pPr>
            <w:r>
              <w:rPr>
                <w:rFonts w:asciiTheme="minorHAnsi" w:hAnsiTheme="minorHAnsi"/>
                <w:sz w:val="20"/>
                <w:szCs w:val="20"/>
              </w:rPr>
              <w:t>NO</w:t>
            </w:r>
          </w:p>
        </w:tc>
        <w:tc>
          <w:tcPr>
            <w:tcW w:w="5446" w:type="dxa"/>
          </w:tcPr>
          <w:p w14:paraId="13DC86CB" w14:textId="6912EF9C" w:rsidR="00253595" w:rsidRPr="00253595" w:rsidRDefault="00253595" w:rsidP="00253595">
            <w:pPr>
              <w:contextualSpacing/>
              <w:rPr>
                <w:rFonts w:asciiTheme="minorHAnsi" w:hAnsiTheme="minorHAnsi"/>
                <w:sz w:val="20"/>
                <w:szCs w:val="20"/>
              </w:rPr>
            </w:pPr>
            <w:r w:rsidRPr="00253595">
              <w:rPr>
                <w:rFonts w:asciiTheme="minorHAnsi" w:hAnsiTheme="minorHAnsi"/>
                <w:sz w:val="20"/>
                <w:szCs w:val="20"/>
              </w:rPr>
              <w:t xml:space="preserve">DR. JAIDEEP KUMAR </w:t>
            </w:r>
            <w:proofErr w:type="gramStart"/>
            <w:r w:rsidRPr="00253595">
              <w:rPr>
                <w:rFonts w:asciiTheme="minorHAnsi" w:hAnsiTheme="minorHAnsi"/>
                <w:sz w:val="20"/>
                <w:szCs w:val="20"/>
              </w:rPr>
              <w:t>MISHRA ;</w:t>
            </w:r>
            <w:proofErr w:type="gramEnd"/>
            <w:r w:rsidRPr="00253595">
              <w:rPr>
                <w:rFonts w:asciiTheme="minorHAnsi" w:hAnsiTheme="minorHAnsi"/>
                <w:sz w:val="20"/>
                <w:szCs w:val="20"/>
              </w:rPr>
              <w:t xml:space="preserve"> DIRECTOR MINISTRY OF ELECTRONICS AND INFORMATION TECHNOLOGY, GOVERNMENT OF INDIA</w:t>
            </w:r>
          </w:p>
        </w:tc>
        <w:tc>
          <w:tcPr>
            <w:tcW w:w="3559" w:type="dxa"/>
          </w:tcPr>
          <w:p w14:paraId="15FF7BBE" w14:textId="77777777" w:rsidR="00253595" w:rsidRPr="002860E2" w:rsidRDefault="00253595" w:rsidP="00253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p>
          <w:p w14:paraId="053AD549" w14:textId="77777777" w:rsidR="00253595" w:rsidRPr="002B3C04" w:rsidRDefault="00253595" w:rsidP="00253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D14F9E8" w14:textId="77777777" w:rsidR="00253595" w:rsidRPr="002860E2" w:rsidRDefault="00253595" w:rsidP="00253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8C40F72" w14:textId="77777777" w:rsidR="00253595" w:rsidRPr="002B3C04" w:rsidRDefault="00253595" w:rsidP="00253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4918445" w14:textId="77777777" w:rsidR="00253595" w:rsidRPr="002860E2" w:rsidRDefault="00253595" w:rsidP="00253595">
            <w:pPr>
              <w:contextualSpacing/>
              <w:rPr>
                <w:rFonts w:asciiTheme="minorHAnsi" w:hAnsiTheme="minorHAnsi"/>
                <w:sz w:val="20"/>
                <w:szCs w:val="20"/>
              </w:rPr>
            </w:pPr>
          </w:p>
          <w:p w14:paraId="0E2BE042" w14:textId="1D8C2E93" w:rsidR="00253595" w:rsidRPr="002860E2" w:rsidRDefault="00253595" w:rsidP="00253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bookmarkStart w:id="1" w:name="_GoBack"/>
            <w:bookmarkEnd w:id="1"/>
          </w:p>
        </w:tc>
      </w:tr>
    </w:tbl>
    <w:p w14:paraId="3996FC75" w14:textId="77777777" w:rsidR="00F7266B" w:rsidRPr="002860E2" w:rsidRDefault="00F7266B" w:rsidP="00F7266B">
      <w:pPr>
        <w:rPr>
          <w:rFonts w:asciiTheme="minorHAnsi" w:hAnsiTheme="minorHAnsi"/>
        </w:rPr>
      </w:pPr>
    </w:p>
    <w:p w14:paraId="705FDB3C" w14:textId="77777777" w:rsidR="00F7266B" w:rsidRDefault="00F7266B" w:rsidP="00F7266B"/>
    <w:p w14:paraId="286A789F" w14:textId="77777777" w:rsidR="00404709" w:rsidRDefault="00404709"/>
    <w:sectPr w:rsidR="00404709"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6B4C6" w14:textId="77777777" w:rsidR="006B7E7A" w:rsidRDefault="006B7E7A">
      <w:r>
        <w:separator/>
      </w:r>
    </w:p>
  </w:endnote>
  <w:endnote w:type="continuationSeparator" w:id="0">
    <w:p w14:paraId="7F02789D" w14:textId="77777777" w:rsidR="006B7E7A" w:rsidRDefault="006B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8AE8" w14:textId="77777777" w:rsidR="00EC2C46" w:rsidRDefault="00A87111">
    <w:pPr>
      <w:pStyle w:val="Footer"/>
      <w:jc w:val="center"/>
    </w:pPr>
    <w:r>
      <w:fldChar w:fldCharType="begin"/>
    </w:r>
    <w:r>
      <w:instrText xml:space="preserve"> PAGE   \* MERGEFORMAT </w:instrText>
    </w:r>
    <w:r>
      <w:fldChar w:fldCharType="separate"/>
    </w:r>
    <w:r>
      <w:rPr>
        <w:noProof/>
      </w:rPr>
      <w:t>6</w:t>
    </w:r>
    <w:r>
      <w:rPr>
        <w:noProof/>
      </w:rPr>
      <w:fldChar w:fldCharType="end"/>
    </w:r>
  </w:p>
  <w:p w14:paraId="593DDA0B" w14:textId="77777777" w:rsidR="00EC2C46" w:rsidRDefault="006B7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8EF84" w14:textId="77777777" w:rsidR="006B7E7A" w:rsidRDefault="006B7E7A">
      <w:r>
        <w:separator/>
      </w:r>
    </w:p>
  </w:footnote>
  <w:footnote w:type="continuationSeparator" w:id="0">
    <w:p w14:paraId="4F33033B" w14:textId="77777777" w:rsidR="006B7E7A" w:rsidRDefault="006B7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40574"/>
    <w:multiLevelType w:val="hybridMultilevel"/>
    <w:tmpl w:val="BC5E0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A1C28C8"/>
    <w:multiLevelType w:val="hybridMultilevel"/>
    <w:tmpl w:val="60ECA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533112"/>
    <w:multiLevelType w:val="hybridMultilevel"/>
    <w:tmpl w:val="43301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7E40207"/>
    <w:multiLevelType w:val="hybridMultilevel"/>
    <w:tmpl w:val="E654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016E56"/>
    <w:multiLevelType w:val="hybridMultilevel"/>
    <w:tmpl w:val="E84C5484"/>
    <w:lvl w:ilvl="0" w:tplc="E98886BA">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6B"/>
    <w:rsid w:val="00060691"/>
    <w:rsid w:val="00064A4B"/>
    <w:rsid w:val="00253595"/>
    <w:rsid w:val="00287321"/>
    <w:rsid w:val="00404709"/>
    <w:rsid w:val="00440337"/>
    <w:rsid w:val="00440B65"/>
    <w:rsid w:val="00631EA4"/>
    <w:rsid w:val="006B7E7A"/>
    <w:rsid w:val="00A755C1"/>
    <w:rsid w:val="00A87111"/>
    <w:rsid w:val="00B60995"/>
    <w:rsid w:val="00BE2C60"/>
    <w:rsid w:val="00D454F2"/>
    <w:rsid w:val="00DA70C9"/>
    <w:rsid w:val="00DC58CE"/>
    <w:rsid w:val="00F51FE4"/>
    <w:rsid w:val="00F56E30"/>
    <w:rsid w:val="00F72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6F5"/>
  <w15:chartTrackingRefBased/>
  <w15:docId w15:val="{F52C72A4-D3F6-5149-8A18-8A669702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7266B"/>
    <w:rPr>
      <w:rFonts w:ascii="Cambria" w:eastAsia="MS Mincho" w:hAnsi="Cambria" w:cs="Times New Roman"/>
    </w:rPr>
  </w:style>
  <w:style w:type="paragraph" w:styleId="Heading1">
    <w:name w:val="heading 1"/>
    <w:basedOn w:val="Normal"/>
    <w:next w:val="Normal"/>
    <w:link w:val="Heading1Char"/>
    <w:uiPriority w:val="9"/>
    <w:qFormat/>
    <w:rsid w:val="00F7266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66B"/>
    <w:rPr>
      <w:rFonts w:ascii="Cambria" w:eastAsia="Times New Roman" w:hAnsi="Cambria" w:cs="Times New Roman"/>
      <w:b/>
      <w:bCs/>
      <w:kern w:val="32"/>
      <w:sz w:val="32"/>
      <w:szCs w:val="32"/>
    </w:rPr>
  </w:style>
  <w:style w:type="paragraph" w:customStyle="1" w:styleId="ColorfulList-Accent11">
    <w:name w:val="Colorful List - Accent 11"/>
    <w:basedOn w:val="Normal"/>
    <w:uiPriority w:val="34"/>
    <w:qFormat/>
    <w:rsid w:val="00F7266B"/>
    <w:pPr>
      <w:ind w:left="720"/>
      <w:contextualSpacing/>
    </w:pPr>
    <w:rPr>
      <w:rFonts w:eastAsia="Cambria"/>
    </w:rPr>
  </w:style>
  <w:style w:type="paragraph" w:styleId="ListParagraph">
    <w:name w:val="List Paragraph"/>
    <w:basedOn w:val="Normal"/>
    <w:uiPriority w:val="34"/>
    <w:qFormat/>
    <w:rsid w:val="00F7266B"/>
    <w:pPr>
      <w:ind w:left="720"/>
    </w:pPr>
    <w:rPr>
      <w:rFonts w:ascii="Calibri" w:eastAsia="Calibri" w:hAnsi="Calibri"/>
      <w:sz w:val="22"/>
      <w:szCs w:val="22"/>
    </w:rPr>
  </w:style>
  <w:style w:type="paragraph" w:styleId="Footer">
    <w:name w:val="footer"/>
    <w:basedOn w:val="Normal"/>
    <w:link w:val="FooterChar"/>
    <w:uiPriority w:val="99"/>
    <w:unhideWhenUsed/>
    <w:rsid w:val="00F7266B"/>
    <w:pPr>
      <w:tabs>
        <w:tab w:val="center" w:pos="4680"/>
        <w:tab w:val="right" w:pos="9360"/>
      </w:tabs>
    </w:pPr>
  </w:style>
  <w:style w:type="character" w:customStyle="1" w:styleId="FooterChar">
    <w:name w:val="Footer Char"/>
    <w:basedOn w:val="DefaultParagraphFont"/>
    <w:link w:val="Footer"/>
    <w:uiPriority w:val="99"/>
    <w:rsid w:val="00F7266B"/>
    <w:rPr>
      <w:rFonts w:ascii="Cambria" w:eastAsia="MS Mincho" w:hAnsi="Cambria" w:cs="Times New Roman"/>
    </w:rPr>
  </w:style>
  <w:style w:type="character" w:styleId="Hyperlink">
    <w:name w:val="Hyperlink"/>
    <w:basedOn w:val="DefaultParagraphFont"/>
    <w:uiPriority w:val="99"/>
    <w:unhideWhenUsed/>
    <w:rsid w:val="00F726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68772">
      <w:bodyDiv w:val="1"/>
      <w:marLeft w:val="0"/>
      <w:marRight w:val="0"/>
      <w:marTop w:val="0"/>
      <w:marBottom w:val="0"/>
      <w:divBdr>
        <w:top w:val="none" w:sz="0" w:space="0" w:color="auto"/>
        <w:left w:val="none" w:sz="0" w:space="0" w:color="auto"/>
        <w:bottom w:val="none" w:sz="0" w:space="0" w:color="auto"/>
        <w:right w:val="none" w:sz="0" w:space="0" w:color="auto"/>
      </w:divBdr>
    </w:div>
    <w:div w:id="219756687">
      <w:bodyDiv w:val="1"/>
      <w:marLeft w:val="0"/>
      <w:marRight w:val="0"/>
      <w:marTop w:val="0"/>
      <w:marBottom w:val="0"/>
      <w:divBdr>
        <w:top w:val="none" w:sz="0" w:space="0" w:color="auto"/>
        <w:left w:val="none" w:sz="0" w:space="0" w:color="auto"/>
        <w:bottom w:val="none" w:sz="0" w:space="0" w:color="auto"/>
        <w:right w:val="none" w:sz="0" w:space="0" w:color="auto"/>
      </w:divBdr>
    </w:div>
    <w:div w:id="298921443">
      <w:bodyDiv w:val="1"/>
      <w:marLeft w:val="0"/>
      <w:marRight w:val="0"/>
      <w:marTop w:val="0"/>
      <w:marBottom w:val="0"/>
      <w:divBdr>
        <w:top w:val="none" w:sz="0" w:space="0" w:color="auto"/>
        <w:left w:val="none" w:sz="0" w:space="0" w:color="auto"/>
        <w:bottom w:val="none" w:sz="0" w:space="0" w:color="auto"/>
        <w:right w:val="none" w:sz="0" w:space="0" w:color="auto"/>
      </w:divBdr>
    </w:div>
    <w:div w:id="378668990">
      <w:bodyDiv w:val="1"/>
      <w:marLeft w:val="0"/>
      <w:marRight w:val="0"/>
      <w:marTop w:val="0"/>
      <w:marBottom w:val="0"/>
      <w:divBdr>
        <w:top w:val="none" w:sz="0" w:space="0" w:color="auto"/>
        <w:left w:val="none" w:sz="0" w:space="0" w:color="auto"/>
        <w:bottom w:val="none" w:sz="0" w:space="0" w:color="auto"/>
        <w:right w:val="none" w:sz="0" w:space="0" w:color="auto"/>
      </w:divBdr>
    </w:div>
    <w:div w:id="429088129">
      <w:bodyDiv w:val="1"/>
      <w:marLeft w:val="0"/>
      <w:marRight w:val="0"/>
      <w:marTop w:val="0"/>
      <w:marBottom w:val="0"/>
      <w:divBdr>
        <w:top w:val="none" w:sz="0" w:space="0" w:color="auto"/>
        <w:left w:val="none" w:sz="0" w:space="0" w:color="auto"/>
        <w:bottom w:val="none" w:sz="0" w:space="0" w:color="auto"/>
        <w:right w:val="none" w:sz="0" w:space="0" w:color="auto"/>
      </w:divBdr>
    </w:div>
    <w:div w:id="448085844">
      <w:bodyDiv w:val="1"/>
      <w:marLeft w:val="0"/>
      <w:marRight w:val="0"/>
      <w:marTop w:val="0"/>
      <w:marBottom w:val="0"/>
      <w:divBdr>
        <w:top w:val="none" w:sz="0" w:space="0" w:color="auto"/>
        <w:left w:val="none" w:sz="0" w:space="0" w:color="auto"/>
        <w:bottom w:val="none" w:sz="0" w:space="0" w:color="auto"/>
        <w:right w:val="none" w:sz="0" w:space="0" w:color="auto"/>
      </w:divBdr>
    </w:div>
    <w:div w:id="459344079">
      <w:bodyDiv w:val="1"/>
      <w:marLeft w:val="0"/>
      <w:marRight w:val="0"/>
      <w:marTop w:val="0"/>
      <w:marBottom w:val="0"/>
      <w:divBdr>
        <w:top w:val="none" w:sz="0" w:space="0" w:color="auto"/>
        <w:left w:val="none" w:sz="0" w:space="0" w:color="auto"/>
        <w:bottom w:val="none" w:sz="0" w:space="0" w:color="auto"/>
        <w:right w:val="none" w:sz="0" w:space="0" w:color="auto"/>
      </w:divBdr>
    </w:div>
    <w:div w:id="664553205">
      <w:bodyDiv w:val="1"/>
      <w:marLeft w:val="0"/>
      <w:marRight w:val="0"/>
      <w:marTop w:val="0"/>
      <w:marBottom w:val="0"/>
      <w:divBdr>
        <w:top w:val="none" w:sz="0" w:space="0" w:color="auto"/>
        <w:left w:val="none" w:sz="0" w:space="0" w:color="auto"/>
        <w:bottom w:val="none" w:sz="0" w:space="0" w:color="auto"/>
        <w:right w:val="none" w:sz="0" w:space="0" w:color="auto"/>
      </w:divBdr>
    </w:div>
    <w:div w:id="672218921">
      <w:bodyDiv w:val="1"/>
      <w:marLeft w:val="0"/>
      <w:marRight w:val="0"/>
      <w:marTop w:val="0"/>
      <w:marBottom w:val="0"/>
      <w:divBdr>
        <w:top w:val="none" w:sz="0" w:space="0" w:color="auto"/>
        <w:left w:val="none" w:sz="0" w:space="0" w:color="auto"/>
        <w:bottom w:val="none" w:sz="0" w:space="0" w:color="auto"/>
        <w:right w:val="none" w:sz="0" w:space="0" w:color="auto"/>
      </w:divBdr>
    </w:div>
    <w:div w:id="775096710">
      <w:bodyDiv w:val="1"/>
      <w:marLeft w:val="0"/>
      <w:marRight w:val="0"/>
      <w:marTop w:val="0"/>
      <w:marBottom w:val="0"/>
      <w:divBdr>
        <w:top w:val="none" w:sz="0" w:space="0" w:color="auto"/>
        <w:left w:val="none" w:sz="0" w:space="0" w:color="auto"/>
        <w:bottom w:val="none" w:sz="0" w:space="0" w:color="auto"/>
        <w:right w:val="none" w:sz="0" w:space="0" w:color="auto"/>
      </w:divBdr>
    </w:div>
    <w:div w:id="868184326">
      <w:bodyDiv w:val="1"/>
      <w:marLeft w:val="0"/>
      <w:marRight w:val="0"/>
      <w:marTop w:val="0"/>
      <w:marBottom w:val="0"/>
      <w:divBdr>
        <w:top w:val="none" w:sz="0" w:space="0" w:color="auto"/>
        <w:left w:val="none" w:sz="0" w:space="0" w:color="auto"/>
        <w:bottom w:val="none" w:sz="0" w:space="0" w:color="auto"/>
        <w:right w:val="none" w:sz="0" w:space="0" w:color="auto"/>
      </w:divBdr>
    </w:div>
    <w:div w:id="919827686">
      <w:bodyDiv w:val="1"/>
      <w:marLeft w:val="0"/>
      <w:marRight w:val="0"/>
      <w:marTop w:val="0"/>
      <w:marBottom w:val="0"/>
      <w:divBdr>
        <w:top w:val="none" w:sz="0" w:space="0" w:color="auto"/>
        <w:left w:val="none" w:sz="0" w:space="0" w:color="auto"/>
        <w:bottom w:val="none" w:sz="0" w:space="0" w:color="auto"/>
        <w:right w:val="none" w:sz="0" w:space="0" w:color="auto"/>
      </w:divBdr>
    </w:div>
    <w:div w:id="1000766995">
      <w:bodyDiv w:val="1"/>
      <w:marLeft w:val="0"/>
      <w:marRight w:val="0"/>
      <w:marTop w:val="0"/>
      <w:marBottom w:val="0"/>
      <w:divBdr>
        <w:top w:val="none" w:sz="0" w:space="0" w:color="auto"/>
        <w:left w:val="none" w:sz="0" w:space="0" w:color="auto"/>
        <w:bottom w:val="none" w:sz="0" w:space="0" w:color="auto"/>
        <w:right w:val="none" w:sz="0" w:space="0" w:color="auto"/>
      </w:divBdr>
    </w:div>
    <w:div w:id="1226378271">
      <w:bodyDiv w:val="1"/>
      <w:marLeft w:val="0"/>
      <w:marRight w:val="0"/>
      <w:marTop w:val="0"/>
      <w:marBottom w:val="0"/>
      <w:divBdr>
        <w:top w:val="none" w:sz="0" w:space="0" w:color="auto"/>
        <w:left w:val="none" w:sz="0" w:space="0" w:color="auto"/>
        <w:bottom w:val="none" w:sz="0" w:space="0" w:color="auto"/>
        <w:right w:val="none" w:sz="0" w:space="0" w:color="auto"/>
      </w:divBdr>
    </w:div>
    <w:div w:id="1235749188">
      <w:bodyDiv w:val="1"/>
      <w:marLeft w:val="0"/>
      <w:marRight w:val="0"/>
      <w:marTop w:val="0"/>
      <w:marBottom w:val="0"/>
      <w:divBdr>
        <w:top w:val="none" w:sz="0" w:space="0" w:color="auto"/>
        <w:left w:val="none" w:sz="0" w:space="0" w:color="auto"/>
        <w:bottom w:val="none" w:sz="0" w:space="0" w:color="auto"/>
        <w:right w:val="none" w:sz="0" w:space="0" w:color="auto"/>
      </w:divBdr>
    </w:div>
    <w:div w:id="1336179442">
      <w:bodyDiv w:val="1"/>
      <w:marLeft w:val="0"/>
      <w:marRight w:val="0"/>
      <w:marTop w:val="0"/>
      <w:marBottom w:val="0"/>
      <w:divBdr>
        <w:top w:val="none" w:sz="0" w:space="0" w:color="auto"/>
        <w:left w:val="none" w:sz="0" w:space="0" w:color="auto"/>
        <w:bottom w:val="none" w:sz="0" w:space="0" w:color="auto"/>
        <w:right w:val="none" w:sz="0" w:space="0" w:color="auto"/>
      </w:divBdr>
    </w:div>
    <w:div w:id="1386486557">
      <w:bodyDiv w:val="1"/>
      <w:marLeft w:val="0"/>
      <w:marRight w:val="0"/>
      <w:marTop w:val="0"/>
      <w:marBottom w:val="0"/>
      <w:divBdr>
        <w:top w:val="none" w:sz="0" w:space="0" w:color="auto"/>
        <w:left w:val="none" w:sz="0" w:space="0" w:color="auto"/>
        <w:bottom w:val="none" w:sz="0" w:space="0" w:color="auto"/>
        <w:right w:val="none" w:sz="0" w:space="0" w:color="auto"/>
      </w:divBdr>
    </w:div>
    <w:div w:id="1499879098">
      <w:bodyDiv w:val="1"/>
      <w:marLeft w:val="0"/>
      <w:marRight w:val="0"/>
      <w:marTop w:val="0"/>
      <w:marBottom w:val="0"/>
      <w:divBdr>
        <w:top w:val="none" w:sz="0" w:space="0" w:color="auto"/>
        <w:left w:val="none" w:sz="0" w:space="0" w:color="auto"/>
        <w:bottom w:val="none" w:sz="0" w:space="0" w:color="auto"/>
        <w:right w:val="none" w:sz="0" w:space="0" w:color="auto"/>
      </w:divBdr>
    </w:div>
    <w:div w:id="1534151057">
      <w:bodyDiv w:val="1"/>
      <w:marLeft w:val="0"/>
      <w:marRight w:val="0"/>
      <w:marTop w:val="0"/>
      <w:marBottom w:val="0"/>
      <w:divBdr>
        <w:top w:val="none" w:sz="0" w:space="0" w:color="auto"/>
        <w:left w:val="none" w:sz="0" w:space="0" w:color="auto"/>
        <w:bottom w:val="none" w:sz="0" w:space="0" w:color="auto"/>
        <w:right w:val="none" w:sz="0" w:space="0" w:color="auto"/>
      </w:divBdr>
    </w:div>
    <w:div w:id="1639266364">
      <w:bodyDiv w:val="1"/>
      <w:marLeft w:val="0"/>
      <w:marRight w:val="0"/>
      <w:marTop w:val="0"/>
      <w:marBottom w:val="0"/>
      <w:divBdr>
        <w:top w:val="none" w:sz="0" w:space="0" w:color="auto"/>
        <w:left w:val="none" w:sz="0" w:space="0" w:color="auto"/>
        <w:bottom w:val="none" w:sz="0" w:space="0" w:color="auto"/>
        <w:right w:val="none" w:sz="0" w:space="0" w:color="auto"/>
      </w:divBdr>
    </w:div>
    <w:div w:id="1734347076">
      <w:bodyDiv w:val="1"/>
      <w:marLeft w:val="0"/>
      <w:marRight w:val="0"/>
      <w:marTop w:val="0"/>
      <w:marBottom w:val="0"/>
      <w:divBdr>
        <w:top w:val="none" w:sz="0" w:space="0" w:color="auto"/>
        <w:left w:val="none" w:sz="0" w:space="0" w:color="auto"/>
        <w:bottom w:val="none" w:sz="0" w:space="0" w:color="auto"/>
        <w:right w:val="none" w:sz="0" w:space="0" w:color="auto"/>
      </w:divBdr>
    </w:div>
    <w:div w:id="1909992092">
      <w:bodyDiv w:val="1"/>
      <w:marLeft w:val="0"/>
      <w:marRight w:val="0"/>
      <w:marTop w:val="0"/>
      <w:marBottom w:val="0"/>
      <w:divBdr>
        <w:top w:val="none" w:sz="0" w:space="0" w:color="auto"/>
        <w:left w:val="none" w:sz="0" w:space="0" w:color="auto"/>
        <w:bottom w:val="none" w:sz="0" w:space="0" w:color="auto"/>
        <w:right w:val="none" w:sz="0" w:space="0" w:color="auto"/>
      </w:divBdr>
    </w:div>
    <w:div w:id="1926956020">
      <w:bodyDiv w:val="1"/>
      <w:marLeft w:val="0"/>
      <w:marRight w:val="0"/>
      <w:marTop w:val="0"/>
      <w:marBottom w:val="0"/>
      <w:divBdr>
        <w:top w:val="none" w:sz="0" w:space="0" w:color="auto"/>
        <w:left w:val="none" w:sz="0" w:space="0" w:color="auto"/>
        <w:bottom w:val="none" w:sz="0" w:space="0" w:color="auto"/>
        <w:right w:val="none" w:sz="0" w:space="0" w:color="auto"/>
      </w:divBdr>
    </w:div>
    <w:div w:id="1942179066">
      <w:bodyDiv w:val="1"/>
      <w:marLeft w:val="0"/>
      <w:marRight w:val="0"/>
      <w:marTop w:val="0"/>
      <w:marBottom w:val="0"/>
      <w:divBdr>
        <w:top w:val="none" w:sz="0" w:space="0" w:color="auto"/>
        <w:left w:val="none" w:sz="0" w:space="0" w:color="auto"/>
        <w:bottom w:val="none" w:sz="0" w:space="0" w:color="auto"/>
        <w:right w:val="none" w:sz="0" w:space="0" w:color="auto"/>
      </w:divBdr>
    </w:div>
    <w:div w:id="1981765911">
      <w:bodyDiv w:val="1"/>
      <w:marLeft w:val="0"/>
      <w:marRight w:val="0"/>
      <w:marTop w:val="0"/>
      <w:marBottom w:val="0"/>
      <w:divBdr>
        <w:top w:val="none" w:sz="0" w:space="0" w:color="auto"/>
        <w:left w:val="none" w:sz="0" w:space="0" w:color="auto"/>
        <w:bottom w:val="none" w:sz="0" w:space="0" w:color="auto"/>
        <w:right w:val="none" w:sz="0" w:space="0" w:color="auto"/>
      </w:divBdr>
    </w:div>
    <w:div w:id="1989092799">
      <w:bodyDiv w:val="1"/>
      <w:marLeft w:val="0"/>
      <w:marRight w:val="0"/>
      <w:marTop w:val="0"/>
      <w:marBottom w:val="0"/>
      <w:divBdr>
        <w:top w:val="none" w:sz="0" w:space="0" w:color="auto"/>
        <w:left w:val="none" w:sz="0" w:space="0" w:color="auto"/>
        <w:bottom w:val="none" w:sz="0" w:space="0" w:color="auto"/>
        <w:right w:val="none" w:sz="0" w:space="0" w:color="auto"/>
      </w:divBdr>
    </w:div>
    <w:div w:id="2025553059">
      <w:bodyDiv w:val="1"/>
      <w:marLeft w:val="0"/>
      <w:marRight w:val="0"/>
      <w:marTop w:val="0"/>
      <w:marBottom w:val="0"/>
      <w:divBdr>
        <w:top w:val="none" w:sz="0" w:space="0" w:color="auto"/>
        <w:left w:val="none" w:sz="0" w:space="0" w:color="auto"/>
        <w:bottom w:val="none" w:sz="0" w:space="0" w:color="auto"/>
        <w:right w:val="none" w:sz="0" w:space="0" w:color="auto"/>
      </w:divBdr>
    </w:div>
    <w:div w:id="2112502710">
      <w:bodyDiv w:val="1"/>
      <w:marLeft w:val="0"/>
      <w:marRight w:val="0"/>
      <w:marTop w:val="0"/>
      <w:marBottom w:val="0"/>
      <w:divBdr>
        <w:top w:val="none" w:sz="0" w:space="0" w:color="auto"/>
        <w:left w:val="none" w:sz="0" w:space="0" w:color="auto"/>
        <w:bottom w:val="none" w:sz="0" w:space="0" w:color="auto"/>
        <w:right w:val="none" w:sz="0" w:space="0" w:color="auto"/>
      </w:divBdr>
    </w:div>
    <w:div w:id="212541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Users/caitlin.tubergen/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DA29-9749-B21B-B8B15EC0C263}"/>
              </c:ext>
            </c:extLst>
          </c:dPt>
          <c:dPt>
            <c:idx val="1"/>
            <c:bubble3D val="0"/>
            <c:spPr>
              <a:solidFill>
                <a:srgbClr val="92D050"/>
              </a:solidFill>
            </c:spPr>
            <c:extLst>
              <c:ext xmlns:c16="http://schemas.microsoft.com/office/drawing/2014/chart" uri="{C3380CC4-5D6E-409C-BE32-E72D297353CC}">
                <c16:uniqueId val="{00000003-DA29-9749-B21B-B8B15EC0C263}"/>
              </c:ext>
            </c:extLst>
          </c:dPt>
          <c:dPt>
            <c:idx val="2"/>
            <c:bubble3D val="0"/>
            <c:spPr>
              <a:solidFill>
                <a:srgbClr val="FFFF00"/>
              </a:solidFill>
            </c:spPr>
            <c:extLst>
              <c:ext xmlns:c16="http://schemas.microsoft.com/office/drawing/2014/chart" uri="{C3380CC4-5D6E-409C-BE32-E72D297353CC}">
                <c16:uniqueId val="{00000005-DA29-9749-B21B-B8B15EC0C263}"/>
              </c:ext>
            </c:extLst>
          </c:dPt>
          <c:dPt>
            <c:idx val="3"/>
            <c:bubble3D val="0"/>
            <c:spPr>
              <a:solidFill>
                <a:srgbClr val="FF0000"/>
              </a:solidFill>
            </c:spPr>
            <c:extLst>
              <c:ext xmlns:c16="http://schemas.microsoft.com/office/drawing/2014/chart" uri="{C3380CC4-5D6E-409C-BE32-E72D297353CC}">
                <c16:uniqueId val="{00000007-DA29-9749-B21B-B8B15EC0C263}"/>
              </c:ext>
            </c:extLst>
          </c:dPt>
          <c:dPt>
            <c:idx val="4"/>
            <c:bubble3D val="0"/>
            <c:spPr>
              <a:solidFill>
                <a:schemeClr val="accent5">
                  <a:lumMod val="20000"/>
                  <a:lumOff val="80000"/>
                </a:schemeClr>
              </a:solidFill>
            </c:spPr>
            <c:extLst>
              <c:ext xmlns:c16="http://schemas.microsoft.com/office/drawing/2014/chart" uri="{C3380CC4-5D6E-409C-BE32-E72D297353CC}">
                <c16:uniqueId val="{00000009-DA29-9749-B21B-B8B15EC0C263}"/>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Responses'!$DP$47:$DP$51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Responses'!$DQ$47:$DQ$51</c:f>
              <c:numCache>
                <c:formatCode>General</c:formatCode>
                <c:ptCount val="5"/>
                <c:pt idx="0">
                  <c:v>19</c:v>
                </c:pt>
                <c:pt idx="1">
                  <c:v>2</c:v>
                </c:pt>
                <c:pt idx="2">
                  <c:v>0</c:v>
                </c:pt>
                <c:pt idx="3">
                  <c:v>0</c:v>
                </c:pt>
                <c:pt idx="4">
                  <c:v>21</c:v>
                </c:pt>
              </c:numCache>
            </c:numRef>
          </c:val>
          <c:extLst>
            <c:ext xmlns:c16="http://schemas.microsoft.com/office/drawing/2014/chart" uri="{C3380CC4-5D6E-409C-BE32-E72D297353CC}">
              <c16:uniqueId val="{0000000A-DA29-9749-B21B-B8B15EC0C263}"/>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7</TotalTime>
  <Pages>5</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4</cp:revision>
  <dcterms:created xsi:type="dcterms:W3CDTF">2018-12-29T00:25:00Z</dcterms:created>
  <dcterms:modified xsi:type="dcterms:W3CDTF">2018-12-29T00:41:00Z</dcterms:modified>
</cp:coreProperties>
</file>