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D608F8" w14:textId="77777777"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64678E" w:rsidRPr="002860E2">
        <w:rPr>
          <w:rFonts w:asciiTheme="minorHAnsi" w:hAnsiTheme="minorHAnsi"/>
          <w:b/>
          <w:sz w:val="22"/>
        </w:rPr>
        <w:t xml:space="preserve"> – </w:t>
      </w:r>
      <w:r w:rsidR="00B65811">
        <w:rPr>
          <w:rFonts w:asciiTheme="minorHAnsi" w:hAnsiTheme="minorHAnsi"/>
          <w:b/>
          <w:sz w:val="22"/>
        </w:rPr>
        <w:t>Initial Report</w:t>
      </w:r>
    </w:p>
    <w:p w14:paraId="3522DD3F" w14:textId="00F57DC5"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7F6C04" w:rsidRPr="007F6C04">
        <w:rPr>
          <w:rFonts w:asciiTheme="minorHAnsi" w:hAnsiTheme="minorHAnsi"/>
          <w:sz w:val="22"/>
        </w:rPr>
        <w:t>3</w:t>
      </w:r>
      <w:r w:rsidR="00EC2C46" w:rsidRPr="007F6C04">
        <w:rPr>
          <w:rFonts w:asciiTheme="minorHAnsi" w:hAnsiTheme="minorHAnsi"/>
          <w:sz w:val="22"/>
        </w:rPr>
        <w:t>0</w:t>
      </w:r>
      <w:r w:rsidR="001A0130" w:rsidRPr="007F6C04">
        <w:rPr>
          <w:rFonts w:asciiTheme="minorHAnsi" w:hAnsiTheme="minorHAnsi"/>
          <w:sz w:val="22"/>
        </w:rPr>
        <w:t xml:space="preserve"> </w:t>
      </w:r>
      <w:r w:rsidR="00B65811" w:rsidRPr="007F6C04">
        <w:rPr>
          <w:rFonts w:asciiTheme="minorHAnsi" w:hAnsiTheme="minorHAnsi"/>
          <w:sz w:val="22"/>
        </w:rPr>
        <w:t>December</w:t>
      </w:r>
      <w:r w:rsidR="00E3563F" w:rsidRPr="007F6C04">
        <w:rPr>
          <w:rFonts w:asciiTheme="minorHAnsi" w:hAnsiTheme="minorHAnsi"/>
          <w:sz w:val="22"/>
        </w:rPr>
        <w:t xml:space="preserve"> 201</w:t>
      </w:r>
      <w:r w:rsidR="00B65811" w:rsidRPr="007F6C04">
        <w:rPr>
          <w:rFonts w:asciiTheme="minorHAnsi" w:hAnsiTheme="minorHAnsi"/>
          <w:sz w:val="22"/>
        </w:rPr>
        <w:t>8</w:t>
      </w:r>
    </w:p>
    <w:p w14:paraId="158E9AD9" w14:textId="302A1BEB" w:rsidR="00676084" w:rsidRPr="002860E2" w:rsidRDefault="00CB0C02"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RECOMMENDATION</w:t>
      </w:r>
      <w:r w:rsidR="00110E6D" w:rsidRPr="002860E2">
        <w:rPr>
          <w:rFonts w:asciiTheme="minorHAnsi" w:hAnsiTheme="minorHAnsi"/>
          <w:color w:val="FFFFFF" w:themeColor="background1"/>
        </w:rPr>
        <w:t xml:space="preserve"> </w:t>
      </w:r>
      <w:bookmarkEnd w:id="0"/>
      <w:r w:rsidR="00EB29FF">
        <w:rPr>
          <w:rFonts w:asciiTheme="minorHAnsi" w:hAnsiTheme="minorHAnsi"/>
          <w:color w:val="FFFFFF" w:themeColor="background1"/>
        </w:rPr>
        <w:t>11</w:t>
      </w:r>
      <w:r w:rsidR="00365CFC">
        <w:rPr>
          <w:rFonts w:asciiTheme="minorHAnsi" w:hAnsiTheme="minorHAnsi"/>
          <w:color w:val="FFFFFF" w:themeColor="background1"/>
        </w:rPr>
        <w:t xml:space="preserve"> – </w:t>
      </w:r>
      <w:r w:rsidR="00EB29FF">
        <w:rPr>
          <w:rFonts w:asciiTheme="minorHAnsi" w:hAnsiTheme="minorHAnsi"/>
          <w:color w:val="FFFFFF" w:themeColor="background1"/>
        </w:rPr>
        <w:t>Data Retention</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14:paraId="07362451" w14:textId="77777777" w:rsidTr="002657F2">
        <w:trPr>
          <w:tblHeader/>
        </w:trPr>
        <w:tc>
          <w:tcPr>
            <w:tcW w:w="675" w:type="dxa"/>
            <w:tcBorders>
              <w:bottom w:val="single" w:sz="4" w:space="0" w:color="000000"/>
            </w:tcBorders>
            <w:shd w:val="clear" w:color="auto" w:fill="1768B1"/>
          </w:tcPr>
          <w:p w14:paraId="1AD72BF5"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14:paraId="4BBE2787"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14:paraId="58FF317F"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14:paraId="511AAB9A" w14:textId="77777777"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14:paraId="42D577B6" w14:textId="77777777" w:rsidTr="00EB29FF">
        <w:tc>
          <w:tcPr>
            <w:tcW w:w="15390" w:type="dxa"/>
            <w:gridSpan w:val="4"/>
            <w:tcBorders>
              <w:bottom w:val="single" w:sz="4" w:space="0" w:color="000000"/>
            </w:tcBorders>
            <w:shd w:val="clear" w:color="auto" w:fill="D9D9D9" w:themeFill="background1" w:themeFillShade="D9"/>
          </w:tcPr>
          <w:p w14:paraId="45746F23" w14:textId="56D46E4D" w:rsidR="00365CFC" w:rsidRPr="00EB29FF" w:rsidRDefault="00EB29FF" w:rsidP="00EB29FF">
            <w:pPr>
              <w:ind w:left="360"/>
              <w:contextualSpacing/>
              <w:rPr>
                <w:rFonts w:asciiTheme="minorHAnsi" w:hAnsiTheme="minorHAnsi"/>
                <w:noProof/>
                <w:sz w:val="20"/>
                <w:szCs w:val="20"/>
              </w:rPr>
            </w:pPr>
            <w:r w:rsidRPr="00EB29FF">
              <w:rPr>
                <w:rFonts w:asciiTheme="minorHAnsi" w:hAnsiTheme="minorHAnsi"/>
                <w:noProof/>
                <w:sz w:val="20"/>
                <w:szCs w:val="20"/>
              </w:rPr>
              <w:t>The EPDP Team recommends that Registrars are required to retain the herein­specified data elements for a period of one year following the life of the registration. This retention period conforms to the specific statute of limitations within the Transfer Dispute Resolution Policy (“TDRP”).</w:t>
            </w:r>
          </w:p>
          <w:p w14:paraId="3981C7A9" w14:textId="7CD09490" w:rsidR="004F47AB" w:rsidRPr="002860E2" w:rsidRDefault="00EB29FF" w:rsidP="00AC3871">
            <w:pPr>
              <w:contextualSpacing/>
              <w:rPr>
                <w:rFonts w:asciiTheme="minorHAnsi" w:hAnsiTheme="minorHAnsi"/>
                <w:b/>
                <w:sz w:val="22"/>
              </w:rPr>
            </w:pPr>
            <w:r>
              <w:rPr>
                <w:noProof/>
              </w:rPr>
              <w:drawing>
                <wp:inline distT="0" distB="0" distL="0" distR="0" wp14:anchorId="68E041F6" wp14:editId="288727AE">
                  <wp:extent cx="4363641" cy="2819400"/>
                  <wp:effectExtent l="0" t="0" r="0" b="0"/>
                  <wp:docPr id="1" name="Chart 1">
                    <a:extLst xmlns:a="http://schemas.openxmlformats.org/drawingml/2006/main">
                      <a:ext uri="{FF2B5EF4-FFF2-40B4-BE49-F238E27FC236}">
                        <a16:creationId xmlns:a16="http://schemas.microsoft.com/office/drawing/2014/main" id="{00000000-0008-0000-0000-000019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bookmarkStart w:id="1" w:name="_GoBack"/>
            <w:bookmarkEnd w:id="1"/>
          </w:p>
        </w:tc>
      </w:tr>
      <w:tr w:rsidR="00EC2C46" w:rsidRPr="002860E2" w14:paraId="460B5AC0" w14:textId="77777777" w:rsidTr="002E20D5">
        <w:tc>
          <w:tcPr>
            <w:tcW w:w="15390" w:type="dxa"/>
            <w:gridSpan w:val="4"/>
            <w:tcBorders>
              <w:bottom w:val="single" w:sz="4" w:space="0" w:color="000000"/>
            </w:tcBorders>
            <w:shd w:val="clear" w:color="auto" w:fill="00B050"/>
          </w:tcPr>
          <w:p w14:paraId="125E4861" w14:textId="77777777" w:rsidR="00EC2C46" w:rsidRPr="002E20D5" w:rsidRDefault="002B3C04" w:rsidP="00AC3871">
            <w:pPr>
              <w:contextualSpacing/>
              <w:rPr>
                <w:rFonts w:asciiTheme="minorHAnsi" w:hAnsiTheme="minorHAnsi"/>
                <w:b/>
                <w:sz w:val="22"/>
              </w:rPr>
            </w:pPr>
            <w:r w:rsidRPr="002B3C04">
              <w:rPr>
                <w:rFonts w:asciiTheme="minorHAnsi" w:hAnsiTheme="minorHAnsi"/>
                <w:b/>
                <w:color w:val="FFFFFF" w:themeColor="background1"/>
                <w:sz w:val="22"/>
              </w:rPr>
              <w:t>Support recommendation as written</w:t>
            </w:r>
          </w:p>
        </w:tc>
      </w:tr>
      <w:tr w:rsidR="00072C03" w:rsidRPr="002860E2" w14:paraId="6D28EF28" w14:textId="77777777" w:rsidTr="002657F2">
        <w:trPr>
          <w:cantSplit/>
        </w:trPr>
        <w:tc>
          <w:tcPr>
            <w:tcW w:w="675" w:type="dxa"/>
          </w:tcPr>
          <w:p w14:paraId="3CA5435A"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2B15B81A" w14:textId="77777777" w:rsidR="008B3D88" w:rsidRPr="002860E2" w:rsidRDefault="008B3D88" w:rsidP="008B3D88">
            <w:pPr>
              <w:pStyle w:val="ColorfulList-Accent11"/>
              <w:ind w:left="0"/>
              <w:rPr>
                <w:rFonts w:asciiTheme="minorHAnsi" w:hAnsiTheme="minorHAnsi"/>
                <w:sz w:val="20"/>
                <w:szCs w:val="20"/>
              </w:rPr>
            </w:pPr>
            <w:r>
              <w:rPr>
                <w:rFonts w:asciiTheme="minorHAnsi" w:hAnsiTheme="minorHAnsi"/>
                <w:sz w:val="20"/>
                <w:szCs w:val="20"/>
              </w:rPr>
              <w:t>No comments provided in support of this recommendation</w:t>
            </w:r>
          </w:p>
          <w:p w14:paraId="7B448034" w14:textId="77777777" w:rsidR="00072C03" w:rsidRPr="002860E2" w:rsidRDefault="00072C03" w:rsidP="005417AB">
            <w:pPr>
              <w:pStyle w:val="ColorfulList-Accent11"/>
              <w:ind w:left="0"/>
              <w:rPr>
                <w:rFonts w:asciiTheme="minorHAnsi" w:hAnsiTheme="minorHAnsi"/>
                <w:sz w:val="20"/>
                <w:szCs w:val="20"/>
              </w:rPr>
            </w:pPr>
          </w:p>
          <w:p w14:paraId="0DF74507" w14:textId="77777777" w:rsidR="00072C03" w:rsidRPr="002860E2" w:rsidRDefault="00072C03" w:rsidP="005417AB">
            <w:pPr>
              <w:pStyle w:val="ColorfulList-Accent11"/>
              <w:ind w:left="0"/>
              <w:rPr>
                <w:rFonts w:asciiTheme="minorHAnsi" w:hAnsiTheme="minorHAnsi"/>
                <w:sz w:val="20"/>
                <w:szCs w:val="20"/>
              </w:rPr>
            </w:pPr>
          </w:p>
          <w:p w14:paraId="621FD404" w14:textId="77777777" w:rsidR="00072C03" w:rsidRPr="002860E2" w:rsidRDefault="00072C03" w:rsidP="005417AB">
            <w:pPr>
              <w:pStyle w:val="ColorfulList-Accent11"/>
              <w:ind w:left="0"/>
              <w:rPr>
                <w:rFonts w:asciiTheme="minorHAnsi" w:hAnsiTheme="minorHAnsi"/>
                <w:sz w:val="20"/>
                <w:szCs w:val="20"/>
              </w:rPr>
            </w:pPr>
          </w:p>
        </w:tc>
        <w:tc>
          <w:tcPr>
            <w:tcW w:w="2700" w:type="dxa"/>
          </w:tcPr>
          <w:p w14:paraId="35E21740" w14:textId="77777777" w:rsidR="00D550AE" w:rsidRPr="00D550AE" w:rsidRDefault="00D550AE" w:rsidP="00D550AE">
            <w:pPr>
              <w:pStyle w:val="ListParagraph"/>
              <w:numPr>
                <w:ilvl w:val="0"/>
                <w:numId w:val="43"/>
              </w:numPr>
              <w:contextualSpacing/>
              <w:rPr>
                <w:rFonts w:asciiTheme="minorHAnsi" w:hAnsiTheme="minorHAnsi"/>
                <w:sz w:val="20"/>
                <w:szCs w:val="20"/>
              </w:rPr>
            </w:pPr>
            <w:r w:rsidRPr="00D550AE">
              <w:rPr>
                <w:rFonts w:asciiTheme="minorHAnsi" w:hAnsiTheme="minorHAnsi"/>
                <w:sz w:val="20"/>
                <w:szCs w:val="20"/>
              </w:rPr>
              <w:t>John Poole; Domain Name Registrant</w:t>
            </w:r>
          </w:p>
          <w:p w14:paraId="3DA2C6C5" w14:textId="77777777" w:rsidR="00D550AE" w:rsidRPr="00D550AE" w:rsidRDefault="00D550AE" w:rsidP="00D550AE">
            <w:pPr>
              <w:pStyle w:val="ListParagraph"/>
              <w:numPr>
                <w:ilvl w:val="0"/>
                <w:numId w:val="43"/>
              </w:numPr>
              <w:contextualSpacing/>
              <w:rPr>
                <w:rFonts w:asciiTheme="minorHAnsi" w:hAnsiTheme="minorHAnsi"/>
                <w:sz w:val="20"/>
                <w:szCs w:val="20"/>
              </w:rPr>
            </w:pPr>
            <w:r w:rsidRPr="00D550AE">
              <w:rPr>
                <w:rFonts w:asciiTheme="minorHAnsi" w:hAnsiTheme="minorHAnsi"/>
                <w:sz w:val="20"/>
                <w:szCs w:val="20"/>
              </w:rPr>
              <w:t xml:space="preserve">A. Mark Massey; Domain Name Rights Coalition </w:t>
            </w:r>
          </w:p>
          <w:p w14:paraId="28B054AD" w14:textId="77777777" w:rsidR="00D550AE" w:rsidRPr="00D550AE" w:rsidRDefault="00D550AE" w:rsidP="00D550AE">
            <w:pPr>
              <w:pStyle w:val="ListParagraph"/>
              <w:numPr>
                <w:ilvl w:val="0"/>
                <w:numId w:val="43"/>
              </w:numPr>
              <w:contextualSpacing/>
              <w:rPr>
                <w:rFonts w:asciiTheme="minorHAnsi" w:hAnsiTheme="minorHAnsi"/>
                <w:sz w:val="20"/>
                <w:szCs w:val="20"/>
              </w:rPr>
            </w:pPr>
            <w:proofErr w:type="spellStart"/>
            <w:r w:rsidRPr="00D550AE">
              <w:rPr>
                <w:rFonts w:asciiTheme="minorHAnsi" w:hAnsiTheme="minorHAnsi"/>
                <w:sz w:val="20"/>
                <w:szCs w:val="20"/>
              </w:rPr>
              <w:t>Evin</w:t>
            </w:r>
            <w:proofErr w:type="spellEnd"/>
            <w:r w:rsidRPr="00D550AE">
              <w:rPr>
                <w:rFonts w:asciiTheme="minorHAnsi" w:hAnsiTheme="minorHAnsi"/>
                <w:sz w:val="20"/>
                <w:szCs w:val="20"/>
              </w:rPr>
              <w:t xml:space="preserve"> </w:t>
            </w:r>
            <w:proofErr w:type="spellStart"/>
            <w:r w:rsidRPr="00D550AE">
              <w:rPr>
                <w:rFonts w:asciiTheme="minorHAnsi" w:hAnsiTheme="minorHAnsi"/>
                <w:sz w:val="20"/>
                <w:szCs w:val="20"/>
              </w:rPr>
              <w:t>Erdoğdu</w:t>
            </w:r>
            <w:proofErr w:type="spellEnd"/>
            <w:r w:rsidRPr="00D550AE">
              <w:rPr>
                <w:rFonts w:asciiTheme="minorHAnsi" w:hAnsiTheme="minorHAnsi"/>
                <w:sz w:val="20"/>
                <w:szCs w:val="20"/>
              </w:rPr>
              <w:t>; ALAC</w:t>
            </w:r>
          </w:p>
          <w:p w14:paraId="0FAD33E9" w14:textId="77777777" w:rsidR="00D550AE" w:rsidRPr="00D550AE" w:rsidRDefault="00D550AE" w:rsidP="00D550AE">
            <w:pPr>
              <w:pStyle w:val="ListParagraph"/>
              <w:numPr>
                <w:ilvl w:val="0"/>
                <w:numId w:val="43"/>
              </w:numPr>
              <w:contextualSpacing/>
              <w:rPr>
                <w:rFonts w:asciiTheme="minorHAnsi" w:hAnsiTheme="minorHAnsi"/>
                <w:sz w:val="20"/>
                <w:szCs w:val="20"/>
              </w:rPr>
            </w:pPr>
            <w:r w:rsidRPr="00D550AE">
              <w:rPr>
                <w:rFonts w:asciiTheme="minorHAnsi" w:hAnsiTheme="minorHAnsi"/>
                <w:sz w:val="20"/>
                <w:szCs w:val="20"/>
              </w:rPr>
              <w:t xml:space="preserve">Greg Aaron; </w:t>
            </w:r>
            <w:proofErr w:type="spellStart"/>
            <w:r w:rsidRPr="00D550AE">
              <w:rPr>
                <w:rFonts w:asciiTheme="minorHAnsi" w:hAnsiTheme="minorHAnsi"/>
                <w:sz w:val="20"/>
                <w:szCs w:val="20"/>
              </w:rPr>
              <w:t>iThreat</w:t>
            </w:r>
            <w:proofErr w:type="spellEnd"/>
            <w:r w:rsidRPr="00D550AE">
              <w:rPr>
                <w:rFonts w:asciiTheme="minorHAnsi" w:hAnsiTheme="minorHAnsi"/>
                <w:sz w:val="20"/>
                <w:szCs w:val="20"/>
              </w:rPr>
              <w:t xml:space="preserve"> Cyber Group</w:t>
            </w:r>
          </w:p>
          <w:p w14:paraId="02AD3AEE" w14:textId="77777777" w:rsidR="00D550AE" w:rsidRPr="00D550AE" w:rsidRDefault="00D550AE" w:rsidP="00D550AE">
            <w:pPr>
              <w:pStyle w:val="ListParagraph"/>
              <w:numPr>
                <w:ilvl w:val="0"/>
                <w:numId w:val="43"/>
              </w:numPr>
              <w:contextualSpacing/>
              <w:rPr>
                <w:rFonts w:asciiTheme="minorHAnsi" w:hAnsiTheme="minorHAnsi"/>
                <w:sz w:val="20"/>
                <w:szCs w:val="20"/>
              </w:rPr>
            </w:pPr>
            <w:proofErr w:type="spellStart"/>
            <w:r w:rsidRPr="00D550AE">
              <w:rPr>
                <w:rFonts w:asciiTheme="minorHAnsi" w:hAnsiTheme="minorHAnsi"/>
                <w:sz w:val="20"/>
                <w:szCs w:val="20"/>
              </w:rPr>
              <w:t>Sivasubramanian</w:t>
            </w:r>
            <w:proofErr w:type="spellEnd"/>
            <w:r w:rsidRPr="00D550AE">
              <w:rPr>
                <w:rFonts w:asciiTheme="minorHAnsi" w:hAnsiTheme="minorHAnsi"/>
                <w:sz w:val="20"/>
                <w:szCs w:val="20"/>
              </w:rPr>
              <w:t xml:space="preserve"> Muthusamy; Internet Society India Chennai </w:t>
            </w:r>
          </w:p>
          <w:p w14:paraId="4ABA624D" w14:textId="77777777" w:rsidR="00D550AE" w:rsidRPr="00D550AE" w:rsidRDefault="00D550AE" w:rsidP="00D550AE">
            <w:pPr>
              <w:pStyle w:val="ListParagraph"/>
              <w:numPr>
                <w:ilvl w:val="0"/>
                <w:numId w:val="43"/>
              </w:numPr>
              <w:contextualSpacing/>
              <w:rPr>
                <w:rFonts w:asciiTheme="minorHAnsi" w:hAnsiTheme="minorHAnsi"/>
                <w:sz w:val="20"/>
                <w:szCs w:val="20"/>
              </w:rPr>
            </w:pPr>
            <w:r w:rsidRPr="00D550AE">
              <w:rPr>
                <w:rFonts w:asciiTheme="minorHAnsi" w:hAnsiTheme="minorHAnsi"/>
                <w:sz w:val="20"/>
                <w:szCs w:val="20"/>
              </w:rPr>
              <w:t>Ben Butler; SSAC</w:t>
            </w:r>
          </w:p>
          <w:p w14:paraId="6B59F366" w14:textId="77777777" w:rsidR="00D550AE" w:rsidRPr="00D550AE" w:rsidRDefault="00D550AE" w:rsidP="00D550AE">
            <w:pPr>
              <w:pStyle w:val="ListParagraph"/>
              <w:numPr>
                <w:ilvl w:val="0"/>
                <w:numId w:val="43"/>
              </w:numPr>
              <w:contextualSpacing/>
              <w:rPr>
                <w:rFonts w:asciiTheme="minorHAnsi" w:hAnsiTheme="minorHAnsi"/>
                <w:sz w:val="20"/>
                <w:szCs w:val="20"/>
              </w:rPr>
            </w:pPr>
            <w:r w:rsidRPr="00D550AE">
              <w:rPr>
                <w:rFonts w:asciiTheme="minorHAnsi" w:hAnsiTheme="minorHAnsi"/>
                <w:sz w:val="20"/>
                <w:szCs w:val="20"/>
              </w:rPr>
              <w:t>Monica Sanders; i2Coalition</w:t>
            </w:r>
          </w:p>
          <w:p w14:paraId="74DB6F36" w14:textId="77777777" w:rsidR="00D550AE" w:rsidRPr="00D550AE" w:rsidRDefault="00D550AE" w:rsidP="00D550AE">
            <w:pPr>
              <w:pStyle w:val="ListParagraph"/>
              <w:numPr>
                <w:ilvl w:val="0"/>
                <w:numId w:val="43"/>
              </w:numPr>
              <w:contextualSpacing/>
              <w:rPr>
                <w:rFonts w:asciiTheme="minorHAnsi" w:hAnsiTheme="minorHAnsi"/>
                <w:sz w:val="20"/>
                <w:szCs w:val="20"/>
              </w:rPr>
            </w:pPr>
            <w:r w:rsidRPr="00D550AE">
              <w:rPr>
                <w:rFonts w:asciiTheme="minorHAnsi" w:hAnsiTheme="minorHAnsi"/>
                <w:sz w:val="20"/>
                <w:szCs w:val="20"/>
              </w:rPr>
              <w:t xml:space="preserve">David Martel </w:t>
            </w:r>
          </w:p>
          <w:p w14:paraId="7A157950" w14:textId="21465ED5" w:rsidR="00072C03" w:rsidRPr="0034564C" w:rsidRDefault="00D550AE" w:rsidP="00D550AE">
            <w:pPr>
              <w:pStyle w:val="ListParagraph"/>
              <w:numPr>
                <w:ilvl w:val="0"/>
                <w:numId w:val="43"/>
              </w:numPr>
              <w:contextualSpacing/>
              <w:rPr>
                <w:rFonts w:asciiTheme="minorHAnsi" w:hAnsiTheme="minorHAnsi"/>
                <w:sz w:val="20"/>
                <w:szCs w:val="20"/>
              </w:rPr>
            </w:pPr>
            <w:r w:rsidRPr="00D550AE">
              <w:rPr>
                <w:rFonts w:asciiTheme="minorHAnsi" w:hAnsiTheme="minorHAnsi"/>
                <w:sz w:val="20"/>
                <w:szCs w:val="20"/>
              </w:rPr>
              <w:t>Etienne Laurin</w:t>
            </w:r>
          </w:p>
        </w:tc>
        <w:tc>
          <w:tcPr>
            <w:tcW w:w="3960" w:type="dxa"/>
          </w:tcPr>
          <w:p w14:paraId="24DBE66E" w14:textId="77777777" w:rsidR="00072C03" w:rsidRPr="002860E2" w:rsidRDefault="008422A0"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072C03" w:rsidRPr="002860E2">
              <w:rPr>
                <w:rFonts w:asciiTheme="minorHAnsi" w:eastAsia="Times New Roman" w:hAnsiTheme="minorHAnsi"/>
                <w:color w:val="000000"/>
                <w:sz w:val="20"/>
                <w:szCs w:val="20"/>
              </w:rPr>
              <w:t> </w:t>
            </w:r>
          </w:p>
          <w:p w14:paraId="2323C0E3" w14:textId="77777777" w:rsidR="00072C03" w:rsidRPr="002B3C04"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sidR="002B3C04">
              <w:rPr>
                <w:rFonts w:asciiTheme="minorHAnsi" w:eastAsia="Times New Roman" w:hAnsiTheme="minorHAnsi"/>
                <w:color w:val="000000"/>
                <w:sz w:val="20"/>
                <w:szCs w:val="20"/>
              </w:rPr>
              <w:t xml:space="preserve"> </w:t>
            </w:r>
            <w:r w:rsidR="008B3D88">
              <w:rPr>
                <w:rFonts w:asciiTheme="minorHAnsi" w:eastAsia="Times New Roman" w:hAnsiTheme="minorHAnsi"/>
                <w:color w:val="000000"/>
                <w:sz w:val="20"/>
                <w:szCs w:val="20"/>
              </w:rPr>
              <w:t>The EPDP appreciates the support</w:t>
            </w:r>
          </w:p>
          <w:p w14:paraId="2DAB7D69" w14:textId="77777777" w:rsidR="00072C03" w:rsidRPr="002860E2"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26F700C9" w14:textId="77777777" w:rsidR="00072C03" w:rsidRPr="002B3C04" w:rsidRDefault="00072C03" w:rsidP="00541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sidR="002B3C04">
              <w:rPr>
                <w:rFonts w:asciiTheme="minorHAnsi" w:eastAsia="Times New Roman" w:hAnsiTheme="minorHAnsi"/>
                <w:color w:val="000000"/>
                <w:sz w:val="20"/>
                <w:szCs w:val="20"/>
              </w:rPr>
              <w:t xml:space="preserve"> </w:t>
            </w:r>
            <w:r w:rsidR="008B3D88">
              <w:rPr>
                <w:rFonts w:asciiTheme="minorHAnsi" w:eastAsia="Times New Roman" w:hAnsiTheme="minorHAnsi"/>
                <w:color w:val="000000"/>
                <w:sz w:val="20"/>
                <w:szCs w:val="20"/>
              </w:rPr>
              <w:t>none</w:t>
            </w:r>
          </w:p>
          <w:p w14:paraId="6CE5D81D" w14:textId="77777777" w:rsidR="00072C03" w:rsidRPr="002860E2" w:rsidRDefault="00072C03" w:rsidP="005417AB">
            <w:pPr>
              <w:contextualSpacing/>
              <w:rPr>
                <w:rFonts w:asciiTheme="minorHAnsi" w:hAnsiTheme="minorHAnsi"/>
                <w:sz w:val="20"/>
                <w:szCs w:val="20"/>
              </w:rPr>
            </w:pPr>
          </w:p>
          <w:p w14:paraId="48A0BA1C" w14:textId="77777777" w:rsidR="00072C03" w:rsidRPr="002860E2" w:rsidRDefault="00072C03" w:rsidP="005417AB">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59109B76" w14:textId="77777777" w:rsidR="00072C03" w:rsidRPr="002860E2" w:rsidRDefault="00072C03" w:rsidP="005417AB">
            <w:pPr>
              <w:contextualSpacing/>
              <w:rPr>
                <w:rFonts w:asciiTheme="minorHAnsi" w:hAnsiTheme="minorHAnsi"/>
                <w:sz w:val="20"/>
                <w:szCs w:val="20"/>
              </w:rPr>
            </w:pPr>
          </w:p>
        </w:tc>
      </w:tr>
      <w:tr w:rsidR="00072C03" w:rsidRPr="002860E2" w14:paraId="0786E578" w14:textId="77777777" w:rsidTr="002657F2">
        <w:trPr>
          <w:cantSplit/>
        </w:trPr>
        <w:tc>
          <w:tcPr>
            <w:tcW w:w="675" w:type="dxa"/>
          </w:tcPr>
          <w:p w14:paraId="566BC3F2"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04F4713C" w14:textId="064148FE" w:rsidR="00072C03" w:rsidRPr="002860E2" w:rsidRDefault="00D550AE" w:rsidP="005417AB">
            <w:pPr>
              <w:pStyle w:val="ColorfulList-Accent11"/>
              <w:ind w:left="0"/>
              <w:rPr>
                <w:rFonts w:asciiTheme="minorHAnsi" w:hAnsiTheme="minorHAnsi"/>
                <w:sz w:val="20"/>
                <w:szCs w:val="20"/>
              </w:rPr>
            </w:pPr>
            <w:r w:rsidRPr="00D550AE">
              <w:rPr>
                <w:rFonts w:asciiTheme="minorHAnsi" w:hAnsiTheme="minorHAnsi"/>
                <w:sz w:val="20"/>
                <w:szCs w:val="20"/>
              </w:rPr>
              <w:t>Although difficult to quantify, 1 year of data retention period seems to be a reasonable period that it neither too less nor too high.</w:t>
            </w:r>
          </w:p>
        </w:tc>
        <w:tc>
          <w:tcPr>
            <w:tcW w:w="2700" w:type="dxa"/>
          </w:tcPr>
          <w:p w14:paraId="30A8C491" w14:textId="41ABAB26" w:rsidR="00072C03" w:rsidRPr="002860E2" w:rsidRDefault="00D550AE" w:rsidP="005417AB">
            <w:pPr>
              <w:contextualSpacing/>
              <w:rPr>
                <w:rFonts w:asciiTheme="minorHAnsi" w:hAnsiTheme="minorHAnsi"/>
                <w:sz w:val="20"/>
                <w:szCs w:val="20"/>
              </w:rPr>
            </w:pPr>
            <w:r w:rsidRPr="00D550AE">
              <w:rPr>
                <w:rFonts w:asciiTheme="minorHAnsi" w:hAnsiTheme="minorHAnsi"/>
                <w:sz w:val="20"/>
                <w:szCs w:val="20"/>
              </w:rPr>
              <w:t xml:space="preserve">DR. JAIDEEP KUMAR </w:t>
            </w:r>
            <w:proofErr w:type="gramStart"/>
            <w:r w:rsidRPr="00D550AE">
              <w:rPr>
                <w:rFonts w:asciiTheme="minorHAnsi" w:hAnsiTheme="minorHAnsi"/>
                <w:sz w:val="20"/>
                <w:szCs w:val="20"/>
              </w:rPr>
              <w:t>MISHRA ;</w:t>
            </w:r>
            <w:proofErr w:type="gramEnd"/>
            <w:r w:rsidRPr="00D550AE">
              <w:rPr>
                <w:rFonts w:asciiTheme="minorHAnsi" w:hAnsiTheme="minorHAnsi"/>
                <w:sz w:val="20"/>
                <w:szCs w:val="20"/>
              </w:rPr>
              <w:t xml:space="preserve"> DIRECTOR MINISTRY OF ELECTRONICS AND INFORMATION TECHNOLOGY, GOVERNMENT OF INDIA</w:t>
            </w:r>
          </w:p>
        </w:tc>
        <w:tc>
          <w:tcPr>
            <w:tcW w:w="3960" w:type="dxa"/>
          </w:tcPr>
          <w:p w14:paraId="5589CA3D" w14:textId="3D608E36" w:rsidR="002B3C04" w:rsidRPr="002860E2" w:rsidRDefault="008422A0"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002B3C04" w:rsidRPr="002860E2">
              <w:rPr>
                <w:rFonts w:asciiTheme="minorHAnsi" w:eastAsia="Times New Roman" w:hAnsiTheme="minorHAnsi"/>
                <w:color w:val="000000"/>
                <w:sz w:val="20"/>
                <w:szCs w:val="20"/>
              </w:rPr>
              <w:t> </w:t>
            </w:r>
          </w:p>
          <w:p w14:paraId="22205EA7"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4EDBF400" w14:textId="77777777" w:rsidR="002B3C04" w:rsidRPr="002860E2"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72C7AD7" w14:textId="77777777" w:rsidR="002B3C04" w:rsidRPr="002B3C04" w:rsidRDefault="002B3C04" w:rsidP="002B3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307177F4" w14:textId="77777777" w:rsidR="002B3C04" w:rsidRPr="002860E2" w:rsidRDefault="002B3C04" w:rsidP="002B3C04">
            <w:pPr>
              <w:contextualSpacing/>
              <w:rPr>
                <w:rFonts w:asciiTheme="minorHAnsi" w:hAnsiTheme="minorHAnsi"/>
                <w:sz w:val="20"/>
                <w:szCs w:val="20"/>
              </w:rPr>
            </w:pPr>
          </w:p>
          <w:p w14:paraId="0C138A0F" w14:textId="77777777" w:rsidR="002B3C04" w:rsidRPr="002860E2" w:rsidRDefault="002B3C04" w:rsidP="002B3C04">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4A420B0" w14:textId="77777777" w:rsidR="00072C03" w:rsidRPr="002860E2" w:rsidRDefault="00072C03" w:rsidP="005417AB">
            <w:pPr>
              <w:contextualSpacing/>
              <w:rPr>
                <w:rFonts w:asciiTheme="minorHAnsi" w:hAnsiTheme="minorHAnsi"/>
                <w:sz w:val="20"/>
                <w:szCs w:val="20"/>
              </w:rPr>
            </w:pPr>
          </w:p>
        </w:tc>
      </w:tr>
      <w:tr w:rsidR="00072C03" w:rsidRPr="002860E2" w14:paraId="54413C35" w14:textId="77777777" w:rsidTr="002657F2">
        <w:trPr>
          <w:cantSplit/>
        </w:trPr>
        <w:tc>
          <w:tcPr>
            <w:tcW w:w="675" w:type="dxa"/>
          </w:tcPr>
          <w:p w14:paraId="5D1DE4CA"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07B47BA5" w14:textId="062B6EB7" w:rsidR="00072C03" w:rsidRPr="002860E2" w:rsidRDefault="00D550AE" w:rsidP="005417AB">
            <w:pPr>
              <w:pStyle w:val="ColorfulList-Accent11"/>
              <w:ind w:left="0"/>
              <w:rPr>
                <w:rFonts w:asciiTheme="minorHAnsi" w:hAnsiTheme="minorHAnsi"/>
                <w:sz w:val="20"/>
                <w:szCs w:val="20"/>
              </w:rPr>
            </w:pPr>
            <w:r w:rsidRPr="00D550AE">
              <w:rPr>
                <w:rFonts w:asciiTheme="minorHAnsi" w:hAnsiTheme="minorHAnsi"/>
                <w:sz w:val="20"/>
                <w:szCs w:val="20"/>
              </w:rPr>
              <w:t>Retaining the registration data for a year can help protect the rights of registrants and was seen as a legitimate purpose for data collection by contracted parties.</w:t>
            </w:r>
          </w:p>
        </w:tc>
        <w:tc>
          <w:tcPr>
            <w:tcW w:w="2700" w:type="dxa"/>
          </w:tcPr>
          <w:p w14:paraId="31F814C7" w14:textId="55064105" w:rsidR="00072C03" w:rsidRPr="002860E2" w:rsidRDefault="00D550AE" w:rsidP="005417AB">
            <w:pPr>
              <w:contextualSpacing/>
              <w:rPr>
                <w:rFonts w:asciiTheme="minorHAnsi" w:hAnsiTheme="minorHAnsi"/>
                <w:sz w:val="20"/>
                <w:szCs w:val="20"/>
              </w:rPr>
            </w:pPr>
            <w:r w:rsidRPr="00D550AE">
              <w:rPr>
                <w:rFonts w:asciiTheme="minorHAnsi" w:hAnsiTheme="minorHAnsi"/>
                <w:sz w:val="20"/>
                <w:szCs w:val="20"/>
              </w:rPr>
              <w:t xml:space="preserve">Ayden </w:t>
            </w:r>
            <w:proofErr w:type="spellStart"/>
            <w:r w:rsidRPr="00D550AE">
              <w:rPr>
                <w:rFonts w:asciiTheme="minorHAnsi" w:hAnsiTheme="minorHAnsi"/>
                <w:sz w:val="20"/>
                <w:szCs w:val="20"/>
              </w:rPr>
              <w:t>Férdeline</w:t>
            </w:r>
            <w:proofErr w:type="spellEnd"/>
            <w:r w:rsidRPr="00D550AE">
              <w:rPr>
                <w:rFonts w:asciiTheme="minorHAnsi" w:hAnsiTheme="minorHAnsi"/>
                <w:sz w:val="20"/>
                <w:szCs w:val="20"/>
              </w:rPr>
              <w:t>; NCSG</w:t>
            </w:r>
          </w:p>
        </w:tc>
        <w:tc>
          <w:tcPr>
            <w:tcW w:w="3960" w:type="dxa"/>
          </w:tcPr>
          <w:p w14:paraId="0B0130DF" w14:textId="77777777" w:rsidR="0034564C" w:rsidRPr="002860E2" w:rsidRDefault="0034564C" w:rsidP="00345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14:paraId="47BC9D79" w14:textId="77777777" w:rsidR="0034564C" w:rsidRPr="002B3C04" w:rsidRDefault="0034564C" w:rsidP="00345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29F20938" w14:textId="77777777" w:rsidR="0034564C" w:rsidRPr="002860E2" w:rsidRDefault="0034564C" w:rsidP="00345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5587027" w14:textId="77777777" w:rsidR="0034564C" w:rsidRPr="002B3C04" w:rsidRDefault="0034564C" w:rsidP="00345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6CD35498" w14:textId="77777777" w:rsidR="0034564C" w:rsidRPr="002860E2" w:rsidRDefault="0034564C" w:rsidP="0034564C">
            <w:pPr>
              <w:contextualSpacing/>
              <w:rPr>
                <w:rFonts w:asciiTheme="minorHAnsi" w:hAnsiTheme="minorHAnsi"/>
                <w:sz w:val="20"/>
                <w:szCs w:val="20"/>
              </w:rPr>
            </w:pPr>
          </w:p>
          <w:p w14:paraId="02612F8D" w14:textId="77777777" w:rsidR="0034564C" w:rsidRPr="002860E2" w:rsidRDefault="0034564C" w:rsidP="0034564C">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450A119" w14:textId="77777777" w:rsidR="00072C03" w:rsidRPr="002860E2" w:rsidRDefault="00072C03" w:rsidP="005417AB">
            <w:pPr>
              <w:contextualSpacing/>
              <w:rPr>
                <w:rFonts w:asciiTheme="minorHAnsi" w:hAnsiTheme="minorHAnsi"/>
                <w:sz w:val="20"/>
                <w:szCs w:val="20"/>
              </w:rPr>
            </w:pPr>
          </w:p>
        </w:tc>
      </w:tr>
      <w:tr w:rsidR="00072C03" w:rsidRPr="002860E2" w14:paraId="60A018C5" w14:textId="77777777" w:rsidTr="002657F2">
        <w:trPr>
          <w:cantSplit/>
        </w:trPr>
        <w:tc>
          <w:tcPr>
            <w:tcW w:w="675" w:type="dxa"/>
          </w:tcPr>
          <w:p w14:paraId="65AFAE78"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0D7FCC6C" w14:textId="605CF29A" w:rsidR="00072C03" w:rsidRPr="002860E2" w:rsidRDefault="00D550AE" w:rsidP="005417AB">
            <w:pPr>
              <w:pStyle w:val="ColorfulList-Accent11"/>
              <w:ind w:left="0"/>
              <w:rPr>
                <w:rFonts w:asciiTheme="minorHAnsi" w:hAnsiTheme="minorHAnsi"/>
                <w:sz w:val="20"/>
                <w:szCs w:val="20"/>
              </w:rPr>
            </w:pPr>
            <w:r w:rsidRPr="00D550AE">
              <w:rPr>
                <w:rFonts w:asciiTheme="minorHAnsi" w:hAnsiTheme="minorHAnsi"/>
                <w:sz w:val="20"/>
                <w:szCs w:val="20"/>
              </w:rPr>
              <w:t>We support the fact that a retention period is now substantiated with policy requirements, namely the TDRP. It shall be clarified, however, that data retained for that purpose may only be used for that purpose and not for other purposes. The purpose would cover escrowing data as that is also to ensure the legal position of the registered name holder according to the TDRP can be secured.</w:t>
            </w:r>
          </w:p>
        </w:tc>
        <w:tc>
          <w:tcPr>
            <w:tcW w:w="2700" w:type="dxa"/>
          </w:tcPr>
          <w:p w14:paraId="6751ECBE" w14:textId="77777777" w:rsidR="00072C03" w:rsidRPr="00D550AE" w:rsidRDefault="00D550AE" w:rsidP="00D550AE">
            <w:pPr>
              <w:pStyle w:val="ListParagraph"/>
              <w:numPr>
                <w:ilvl w:val="0"/>
                <w:numId w:val="45"/>
              </w:numPr>
              <w:ind w:left="336"/>
              <w:contextualSpacing/>
              <w:rPr>
                <w:rFonts w:asciiTheme="minorHAnsi" w:hAnsiTheme="minorHAnsi"/>
                <w:sz w:val="20"/>
                <w:szCs w:val="20"/>
              </w:rPr>
            </w:pPr>
            <w:r w:rsidRPr="00D550AE">
              <w:rPr>
                <w:rFonts w:asciiTheme="minorHAnsi" w:hAnsiTheme="minorHAnsi"/>
                <w:sz w:val="20"/>
                <w:szCs w:val="20"/>
              </w:rPr>
              <w:t>Lars Steffen; eco – Association of the Internet Industry</w:t>
            </w:r>
          </w:p>
          <w:p w14:paraId="7AD20108" w14:textId="173DD242" w:rsidR="00D550AE" w:rsidRPr="00D550AE" w:rsidRDefault="00D550AE" w:rsidP="00D550AE">
            <w:pPr>
              <w:pStyle w:val="ListParagraph"/>
              <w:numPr>
                <w:ilvl w:val="0"/>
                <w:numId w:val="45"/>
              </w:numPr>
              <w:ind w:left="336"/>
              <w:contextualSpacing/>
              <w:rPr>
                <w:rFonts w:asciiTheme="minorHAnsi" w:hAnsiTheme="minorHAnsi"/>
                <w:sz w:val="20"/>
                <w:szCs w:val="20"/>
              </w:rPr>
            </w:pPr>
            <w:r w:rsidRPr="00D550AE">
              <w:rPr>
                <w:rFonts w:asciiTheme="minorHAnsi" w:hAnsiTheme="minorHAnsi"/>
                <w:sz w:val="20"/>
                <w:szCs w:val="20"/>
              </w:rPr>
              <w:t xml:space="preserve">Wolf-Ulrich </w:t>
            </w:r>
            <w:proofErr w:type="spellStart"/>
            <w:r w:rsidRPr="00D550AE">
              <w:rPr>
                <w:rFonts w:asciiTheme="minorHAnsi" w:hAnsiTheme="minorHAnsi"/>
                <w:sz w:val="20"/>
                <w:szCs w:val="20"/>
              </w:rPr>
              <w:t>Knoben</w:t>
            </w:r>
            <w:proofErr w:type="spellEnd"/>
            <w:r w:rsidRPr="00D550AE">
              <w:rPr>
                <w:rFonts w:asciiTheme="minorHAnsi" w:hAnsiTheme="minorHAnsi"/>
                <w:sz w:val="20"/>
                <w:szCs w:val="20"/>
              </w:rPr>
              <w:t>; ISPCP Constituency</w:t>
            </w:r>
          </w:p>
        </w:tc>
        <w:tc>
          <w:tcPr>
            <w:tcW w:w="3960" w:type="dxa"/>
          </w:tcPr>
          <w:p w14:paraId="6569F017" w14:textId="77777777" w:rsidR="0034564C" w:rsidRPr="002860E2" w:rsidRDefault="0034564C" w:rsidP="00345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14:paraId="2C2C8138" w14:textId="77777777" w:rsidR="0034564C" w:rsidRPr="002B3C04" w:rsidRDefault="0034564C" w:rsidP="00345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42660A2D" w14:textId="77777777" w:rsidR="0034564C" w:rsidRPr="002860E2" w:rsidRDefault="0034564C" w:rsidP="00345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5FA1291A" w14:textId="77777777" w:rsidR="0034564C" w:rsidRPr="002B3C04" w:rsidRDefault="0034564C" w:rsidP="00345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44B2B298" w14:textId="77777777" w:rsidR="0034564C" w:rsidRPr="002860E2" w:rsidRDefault="0034564C" w:rsidP="0034564C">
            <w:pPr>
              <w:contextualSpacing/>
              <w:rPr>
                <w:rFonts w:asciiTheme="minorHAnsi" w:hAnsiTheme="minorHAnsi"/>
                <w:sz w:val="20"/>
                <w:szCs w:val="20"/>
              </w:rPr>
            </w:pPr>
          </w:p>
          <w:p w14:paraId="167A5D7E" w14:textId="77777777" w:rsidR="0034564C" w:rsidRPr="002860E2" w:rsidRDefault="0034564C" w:rsidP="0034564C">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1B106FDC" w14:textId="77777777" w:rsidR="00072C03" w:rsidRPr="002860E2" w:rsidRDefault="00072C03" w:rsidP="005417AB">
            <w:pPr>
              <w:contextualSpacing/>
              <w:rPr>
                <w:rFonts w:asciiTheme="minorHAnsi" w:hAnsiTheme="minorHAnsi"/>
                <w:sz w:val="20"/>
                <w:szCs w:val="20"/>
              </w:rPr>
            </w:pPr>
          </w:p>
        </w:tc>
      </w:tr>
      <w:tr w:rsidR="00D550AE" w:rsidRPr="002860E2" w14:paraId="6B453E34" w14:textId="77777777" w:rsidTr="002657F2">
        <w:trPr>
          <w:cantSplit/>
        </w:trPr>
        <w:tc>
          <w:tcPr>
            <w:tcW w:w="675" w:type="dxa"/>
          </w:tcPr>
          <w:p w14:paraId="15EC57EC" w14:textId="77777777" w:rsidR="00D550AE" w:rsidRPr="002860E2" w:rsidRDefault="00D550AE" w:rsidP="00AC3871">
            <w:pPr>
              <w:numPr>
                <w:ilvl w:val="0"/>
                <w:numId w:val="23"/>
              </w:numPr>
              <w:contextualSpacing/>
              <w:rPr>
                <w:rFonts w:asciiTheme="minorHAnsi" w:hAnsiTheme="minorHAnsi"/>
                <w:b/>
                <w:sz w:val="20"/>
                <w:szCs w:val="20"/>
              </w:rPr>
            </w:pPr>
          </w:p>
        </w:tc>
        <w:tc>
          <w:tcPr>
            <w:tcW w:w="8055" w:type="dxa"/>
          </w:tcPr>
          <w:p w14:paraId="26F5C5EA" w14:textId="0DFCBE1A" w:rsidR="00D550AE" w:rsidRPr="002860E2" w:rsidRDefault="00D550AE" w:rsidP="005417AB">
            <w:pPr>
              <w:pStyle w:val="ColorfulList-Accent11"/>
              <w:ind w:left="0"/>
              <w:rPr>
                <w:rFonts w:asciiTheme="minorHAnsi" w:hAnsiTheme="minorHAnsi"/>
                <w:sz w:val="20"/>
                <w:szCs w:val="20"/>
              </w:rPr>
            </w:pPr>
            <w:r w:rsidRPr="00D550AE">
              <w:rPr>
                <w:rFonts w:asciiTheme="minorHAnsi" w:hAnsiTheme="minorHAnsi"/>
                <w:sz w:val="20"/>
                <w:szCs w:val="20"/>
              </w:rPr>
              <w:t>Retaining the registration data for a year can help protect the rights of registrants and was seen as a legitimate purpose for data collection by contracted parties.</w:t>
            </w:r>
          </w:p>
        </w:tc>
        <w:tc>
          <w:tcPr>
            <w:tcW w:w="2700" w:type="dxa"/>
          </w:tcPr>
          <w:p w14:paraId="3DB658EE" w14:textId="48518FD9" w:rsidR="00D550AE" w:rsidRPr="00D550AE" w:rsidRDefault="00D550AE" w:rsidP="005417AB">
            <w:pPr>
              <w:contextualSpacing/>
              <w:rPr>
                <w:rFonts w:asciiTheme="minorHAnsi" w:hAnsiTheme="minorHAnsi"/>
                <w:sz w:val="20"/>
                <w:szCs w:val="20"/>
              </w:rPr>
            </w:pPr>
            <w:proofErr w:type="spellStart"/>
            <w:r w:rsidRPr="00D550AE">
              <w:rPr>
                <w:rFonts w:asciiTheme="minorHAnsi" w:hAnsiTheme="minorHAnsi"/>
                <w:sz w:val="20"/>
                <w:szCs w:val="20"/>
              </w:rPr>
              <w:t>Farzaneh</w:t>
            </w:r>
            <w:proofErr w:type="spellEnd"/>
            <w:r w:rsidRPr="00D550AE">
              <w:rPr>
                <w:rFonts w:asciiTheme="minorHAnsi" w:hAnsiTheme="minorHAnsi"/>
                <w:sz w:val="20"/>
                <w:szCs w:val="20"/>
              </w:rPr>
              <w:t xml:space="preserve"> </w:t>
            </w:r>
            <w:proofErr w:type="spellStart"/>
            <w:r w:rsidRPr="00D550AE">
              <w:rPr>
                <w:rFonts w:asciiTheme="minorHAnsi" w:hAnsiTheme="minorHAnsi"/>
                <w:sz w:val="20"/>
                <w:szCs w:val="20"/>
              </w:rPr>
              <w:t>Badii</w:t>
            </w:r>
            <w:proofErr w:type="spellEnd"/>
            <w:r w:rsidRPr="00D550AE">
              <w:rPr>
                <w:rFonts w:asciiTheme="minorHAnsi" w:hAnsiTheme="minorHAnsi"/>
                <w:sz w:val="20"/>
                <w:szCs w:val="20"/>
              </w:rPr>
              <w:t>; Internet Governance Project</w:t>
            </w:r>
          </w:p>
        </w:tc>
        <w:tc>
          <w:tcPr>
            <w:tcW w:w="3960" w:type="dxa"/>
          </w:tcPr>
          <w:p w14:paraId="29E0DD7E" w14:textId="77777777" w:rsidR="00D550AE" w:rsidRPr="002860E2"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rPr>
              <w:t> </w:t>
            </w:r>
          </w:p>
          <w:p w14:paraId="329DF015" w14:textId="77777777" w:rsidR="00D550AE" w:rsidRPr="002B3C04"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70103024" w14:textId="77777777" w:rsidR="00D550AE" w:rsidRPr="002860E2"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3813BF1A" w14:textId="77777777" w:rsidR="00D550AE" w:rsidRPr="002B3C04"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6897232E" w14:textId="77777777" w:rsidR="00D550AE" w:rsidRPr="002860E2" w:rsidRDefault="00D550AE" w:rsidP="00D550AE">
            <w:pPr>
              <w:contextualSpacing/>
              <w:rPr>
                <w:rFonts w:asciiTheme="minorHAnsi" w:hAnsiTheme="minorHAnsi"/>
                <w:sz w:val="20"/>
                <w:szCs w:val="20"/>
              </w:rPr>
            </w:pPr>
          </w:p>
          <w:p w14:paraId="092D9AA5" w14:textId="77777777" w:rsidR="00D550AE" w:rsidRPr="002860E2" w:rsidRDefault="00D550AE" w:rsidP="00D550A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177E81C6" w14:textId="77777777" w:rsidR="00D550AE" w:rsidRDefault="00D550AE" w:rsidP="00345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235D20" w:rsidRPr="002860E2" w14:paraId="7E67F1AB" w14:textId="77777777" w:rsidTr="001556A8">
        <w:trPr>
          <w:cantSplit/>
        </w:trPr>
        <w:tc>
          <w:tcPr>
            <w:tcW w:w="15390" w:type="dxa"/>
            <w:gridSpan w:val="4"/>
            <w:shd w:val="clear" w:color="auto" w:fill="92D050"/>
          </w:tcPr>
          <w:p w14:paraId="12310A61" w14:textId="77777777" w:rsidR="00235D20" w:rsidRPr="001556A8" w:rsidRDefault="002B3C04" w:rsidP="001556A8">
            <w:pPr>
              <w:contextualSpacing/>
              <w:rPr>
                <w:rFonts w:asciiTheme="minorHAnsi" w:eastAsia="Times New Roman" w:hAnsiTheme="minorHAnsi"/>
                <w:b/>
                <w:color w:val="000000"/>
                <w:sz w:val="20"/>
                <w:szCs w:val="20"/>
                <w:shd w:val="clear" w:color="auto" w:fill="FF9900"/>
              </w:rPr>
            </w:pPr>
            <w:r w:rsidRPr="002B3C04">
              <w:rPr>
                <w:rFonts w:asciiTheme="minorHAnsi" w:hAnsiTheme="minorHAnsi"/>
                <w:b/>
                <w:color w:val="000000" w:themeColor="text1"/>
                <w:sz w:val="22"/>
              </w:rPr>
              <w:t>Support intent of recommendation with edits</w:t>
            </w:r>
          </w:p>
        </w:tc>
      </w:tr>
      <w:tr w:rsidR="00D550AE" w:rsidRPr="002860E2" w14:paraId="7E560024" w14:textId="77777777" w:rsidTr="002657F2">
        <w:trPr>
          <w:cantSplit/>
        </w:trPr>
        <w:tc>
          <w:tcPr>
            <w:tcW w:w="675" w:type="dxa"/>
          </w:tcPr>
          <w:p w14:paraId="68EE9696" w14:textId="77777777" w:rsidR="00D550AE" w:rsidRPr="002860E2" w:rsidRDefault="00D550AE" w:rsidP="00D550AE">
            <w:pPr>
              <w:numPr>
                <w:ilvl w:val="0"/>
                <w:numId w:val="23"/>
              </w:numPr>
              <w:contextualSpacing/>
              <w:rPr>
                <w:rFonts w:asciiTheme="minorHAnsi" w:hAnsiTheme="minorHAnsi"/>
                <w:b/>
                <w:sz w:val="20"/>
                <w:szCs w:val="20"/>
              </w:rPr>
            </w:pPr>
          </w:p>
        </w:tc>
        <w:tc>
          <w:tcPr>
            <w:tcW w:w="8055" w:type="dxa"/>
          </w:tcPr>
          <w:p w14:paraId="2413EA4F" w14:textId="4269B0EE" w:rsidR="00D550AE" w:rsidRPr="007B0793" w:rsidRDefault="00D550AE" w:rsidP="00D550AE">
            <w:pPr>
              <w:pStyle w:val="ColorfulList-Accent11"/>
              <w:ind w:left="0"/>
              <w:rPr>
                <w:rFonts w:asciiTheme="minorHAnsi" w:hAnsiTheme="minorHAnsi"/>
                <w:sz w:val="20"/>
                <w:szCs w:val="20"/>
              </w:rPr>
            </w:pPr>
            <w:r>
              <w:rPr>
                <w:rFonts w:asciiTheme="minorHAnsi" w:hAnsiTheme="minorHAnsi"/>
                <w:sz w:val="20"/>
                <w:szCs w:val="20"/>
              </w:rPr>
              <w:t>No proposed edit or rationale was provided.</w:t>
            </w:r>
          </w:p>
        </w:tc>
        <w:tc>
          <w:tcPr>
            <w:tcW w:w="2700" w:type="dxa"/>
          </w:tcPr>
          <w:p w14:paraId="6BB568D5" w14:textId="77777777" w:rsidR="00D550AE" w:rsidRPr="004D377C" w:rsidRDefault="00D550AE" w:rsidP="00D550AE">
            <w:pPr>
              <w:pStyle w:val="ListParagraph"/>
              <w:numPr>
                <w:ilvl w:val="0"/>
                <w:numId w:val="44"/>
              </w:numPr>
              <w:ind w:left="336"/>
              <w:contextualSpacing/>
              <w:rPr>
                <w:rFonts w:asciiTheme="minorHAnsi" w:hAnsiTheme="minorHAnsi"/>
                <w:sz w:val="20"/>
                <w:szCs w:val="20"/>
              </w:rPr>
            </w:pPr>
            <w:r w:rsidRPr="004D377C">
              <w:rPr>
                <w:rFonts w:asciiTheme="minorHAnsi" w:hAnsiTheme="minorHAnsi"/>
                <w:sz w:val="20"/>
                <w:szCs w:val="20"/>
              </w:rPr>
              <w:t>Domain.com, LLC &amp; affiliates</w:t>
            </w:r>
          </w:p>
          <w:p w14:paraId="2B10AF2B" w14:textId="2983B36F" w:rsidR="00D550AE" w:rsidRPr="007B0793" w:rsidRDefault="00D550AE" w:rsidP="00D550AE">
            <w:pPr>
              <w:pStyle w:val="ListParagraph"/>
              <w:numPr>
                <w:ilvl w:val="0"/>
                <w:numId w:val="43"/>
              </w:numPr>
              <w:ind w:left="336"/>
              <w:contextualSpacing/>
              <w:rPr>
                <w:rFonts w:asciiTheme="minorHAnsi" w:hAnsiTheme="minorHAnsi"/>
                <w:sz w:val="20"/>
                <w:szCs w:val="20"/>
              </w:rPr>
            </w:pPr>
            <w:r w:rsidRPr="004D377C">
              <w:rPr>
                <w:rFonts w:asciiTheme="minorHAnsi" w:hAnsiTheme="minorHAnsi"/>
                <w:sz w:val="20"/>
                <w:szCs w:val="20"/>
              </w:rPr>
              <w:t xml:space="preserve">Brian King; </w:t>
            </w:r>
            <w:proofErr w:type="spellStart"/>
            <w:r w:rsidRPr="004D377C">
              <w:rPr>
                <w:rFonts w:asciiTheme="minorHAnsi" w:hAnsiTheme="minorHAnsi"/>
                <w:sz w:val="20"/>
                <w:szCs w:val="20"/>
              </w:rPr>
              <w:t>MarkMonitor</w:t>
            </w:r>
            <w:proofErr w:type="spellEnd"/>
            <w:r w:rsidRPr="004D377C">
              <w:rPr>
                <w:rFonts w:asciiTheme="minorHAnsi" w:hAnsiTheme="minorHAnsi"/>
                <w:sz w:val="20"/>
                <w:szCs w:val="20"/>
              </w:rPr>
              <w:t>, Inc., a Clarivate Analytics company</w:t>
            </w:r>
          </w:p>
        </w:tc>
        <w:tc>
          <w:tcPr>
            <w:tcW w:w="3960" w:type="dxa"/>
          </w:tcPr>
          <w:p w14:paraId="3C876D23" w14:textId="77777777" w:rsidR="00D550AE" w:rsidRPr="002860E2"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327299F4" w14:textId="77777777" w:rsidR="00D550AE" w:rsidRPr="002B3C04"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takes note of the designation for “Support intent of recommendation with edits.</w:t>
            </w:r>
          </w:p>
          <w:p w14:paraId="7188EEFE" w14:textId="77777777" w:rsidR="00D550AE" w:rsidRPr="002860E2"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2D457FCF" w14:textId="77777777" w:rsidR="00D550AE" w:rsidRPr="002B3C04"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14:paraId="5E44F3A7" w14:textId="77777777" w:rsidR="00D550AE" w:rsidRPr="002860E2" w:rsidRDefault="00D550AE" w:rsidP="00D550AE">
            <w:pPr>
              <w:contextualSpacing/>
              <w:rPr>
                <w:rFonts w:asciiTheme="minorHAnsi" w:hAnsiTheme="minorHAnsi"/>
                <w:sz w:val="20"/>
                <w:szCs w:val="20"/>
              </w:rPr>
            </w:pPr>
          </w:p>
          <w:p w14:paraId="16442423" w14:textId="77777777" w:rsidR="00D550AE" w:rsidRPr="002860E2" w:rsidRDefault="00D550AE" w:rsidP="00D550A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3A1CCFA0" w14:textId="77777777" w:rsidR="00D550AE" w:rsidRPr="002860E2"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D550AE" w:rsidRPr="002860E2" w14:paraId="7CF9284E" w14:textId="77777777" w:rsidTr="002657F2">
        <w:trPr>
          <w:cantSplit/>
        </w:trPr>
        <w:tc>
          <w:tcPr>
            <w:tcW w:w="675" w:type="dxa"/>
          </w:tcPr>
          <w:p w14:paraId="74AF236E" w14:textId="77777777" w:rsidR="00D550AE" w:rsidRPr="002860E2" w:rsidRDefault="00D550AE" w:rsidP="00D550AE">
            <w:pPr>
              <w:numPr>
                <w:ilvl w:val="0"/>
                <w:numId w:val="23"/>
              </w:numPr>
              <w:contextualSpacing/>
              <w:rPr>
                <w:rFonts w:asciiTheme="minorHAnsi" w:hAnsiTheme="minorHAnsi"/>
                <w:b/>
                <w:sz w:val="20"/>
                <w:szCs w:val="20"/>
              </w:rPr>
            </w:pPr>
          </w:p>
        </w:tc>
        <w:tc>
          <w:tcPr>
            <w:tcW w:w="8055" w:type="dxa"/>
          </w:tcPr>
          <w:p w14:paraId="3F7F0427" w14:textId="77777777" w:rsidR="00D550AE" w:rsidRDefault="00D550AE" w:rsidP="00D550AE">
            <w:pPr>
              <w:pStyle w:val="ColorfulList-Accent11"/>
              <w:ind w:left="0"/>
              <w:rPr>
                <w:rFonts w:asciiTheme="minorHAnsi" w:hAnsiTheme="minorHAnsi"/>
                <w:sz w:val="20"/>
                <w:szCs w:val="20"/>
              </w:rPr>
            </w:pPr>
            <w:r w:rsidRPr="007B0793">
              <w:rPr>
                <w:rFonts w:asciiTheme="minorHAnsi" w:hAnsiTheme="minorHAnsi"/>
                <w:sz w:val="20"/>
                <w:szCs w:val="20"/>
              </w:rPr>
              <w:t>Change to: “The EPDP Team recommends that Registrars are required to retain the herein ­specified data elements for a period of at least one year following the life of the registration….”</w:t>
            </w:r>
          </w:p>
          <w:p w14:paraId="526AFDFC" w14:textId="77777777" w:rsidR="00D550AE" w:rsidRDefault="00D550AE" w:rsidP="00D550AE">
            <w:pPr>
              <w:pStyle w:val="ColorfulList-Accent11"/>
              <w:ind w:left="0"/>
              <w:rPr>
                <w:rFonts w:asciiTheme="minorHAnsi" w:hAnsiTheme="minorHAnsi"/>
                <w:sz w:val="20"/>
                <w:szCs w:val="20"/>
              </w:rPr>
            </w:pPr>
          </w:p>
          <w:p w14:paraId="011B41B8" w14:textId="2C1411A8" w:rsidR="00D550AE" w:rsidRPr="002860E2" w:rsidRDefault="00D550AE" w:rsidP="00D550AE">
            <w:pPr>
              <w:pStyle w:val="ColorfulList-Accent11"/>
              <w:ind w:left="0"/>
              <w:rPr>
                <w:rFonts w:asciiTheme="minorHAnsi" w:hAnsiTheme="minorHAnsi"/>
                <w:sz w:val="20"/>
                <w:szCs w:val="20"/>
              </w:rPr>
            </w:pPr>
            <w:r w:rsidRPr="007B0793">
              <w:rPr>
                <w:rFonts w:asciiTheme="minorHAnsi" w:hAnsiTheme="minorHAnsi"/>
                <w:sz w:val="20"/>
                <w:szCs w:val="20"/>
              </w:rPr>
              <w:t xml:space="preserve">We support the intent of this recommendation but would suggest the language be edited as noted above to allow for registrars to choose to retain data for longer than one year if applicable law or other guidance suggests longer than a </w:t>
            </w:r>
            <w:proofErr w:type="gramStart"/>
            <w:r w:rsidRPr="007B0793">
              <w:rPr>
                <w:rFonts w:asciiTheme="minorHAnsi" w:hAnsiTheme="minorHAnsi"/>
                <w:sz w:val="20"/>
                <w:szCs w:val="20"/>
              </w:rPr>
              <w:t>one year</w:t>
            </w:r>
            <w:proofErr w:type="gramEnd"/>
            <w:r w:rsidRPr="007B0793">
              <w:rPr>
                <w:rFonts w:asciiTheme="minorHAnsi" w:hAnsiTheme="minorHAnsi"/>
                <w:sz w:val="20"/>
                <w:szCs w:val="20"/>
              </w:rPr>
              <w:t xml:space="preserve"> data retention period.</w:t>
            </w:r>
          </w:p>
        </w:tc>
        <w:tc>
          <w:tcPr>
            <w:tcW w:w="2700" w:type="dxa"/>
          </w:tcPr>
          <w:p w14:paraId="25840BC6" w14:textId="77777777" w:rsidR="00D550AE" w:rsidRPr="007B0793" w:rsidRDefault="00D550AE" w:rsidP="00D550AE">
            <w:pPr>
              <w:pStyle w:val="ListParagraph"/>
              <w:numPr>
                <w:ilvl w:val="0"/>
                <w:numId w:val="43"/>
              </w:numPr>
              <w:ind w:left="336"/>
              <w:contextualSpacing/>
              <w:rPr>
                <w:rFonts w:asciiTheme="minorHAnsi" w:hAnsiTheme="minorHAnsi"/>
                <w:sz w:val="20"/>
                <w:szCs w:val="20"/>
              </w:rPr>
            </w:pPr>
            <w:r w:rsidRPr="007B0793">
              <w:rPr>
                <w:rFonts w:asciiTheme="minorHAnsi" w:hAnsiTheme="minorHAnsi"/>
                <w:sz w:val="20"/>
                <w:szCs w:val="20"/>
              </w:rPr>
              <w:t xml:space="preserve">Zoe Bonython; </w:t>
            </w:r>
            <w:proofErr w:type="spellStart"/>
            <w:r w:rsidRPr="007B0793">
              <w:rPr>
                <w:rFonts w:asciiTheme="minorHAnsi" w:hAnsiTheme="minorHAnsi"/>
                <w:sz w:val="20"/>
                <w:szCs w:val="20"/>
              </w:rPr>
              <w:t>RrSG</w:t>
            </w:r>
            <w:proofErr w:type="spellEnd"/>
          </w:p>
          <w:p w14:paraId="0DB4F0CF" w14:textId="55C47016" w:rsidR="00D550AE" w:rsidRPr="007B0793" w:rsidRDefault="00D550AE" w:rsidP="00D550AE">
            <w:pPr>
              <w:pStyle w:val="ListParagraph"/>
              <w:numPr>
                <w:ilvl w:val="0"/>
                <w:numId w:val="43"/>
              </w:numPr>
              <w:ind w:left="336"/>
              <w:contextualSpacing/>
              <w:rPr>
                <w:rFonts w:asciiTheme="minorHAnsi" w:hAnsiTheme="minorHAnsi"/>
                <w:sz w:val="20"/>
                <w:szCs w:val="20"/>
              </w:rPr>
            </w:pPr>
            <w:r w:rsidRPr="007B0793">
              <w:rPr>
                <w:rFonts w:asciiTheme="minorHAnsi" w:hAnsiTheme="minorHAnsi"/>
                <w:sz w:val="20"/>
                <w:szCs w:val="20"/>
              </w:rPr>
              <w:t xml:space="preserve">Volker </w:t>
            </w:r>
            <w:proofErr w:type="spellStart"/>
            <w:r w:rsidRPr="007B0793">
              <w:rPr>
                <w:rFonts w:asciiTheme="minorHAnsi" w:hAnsiTheme="minorHAnsi"/>
                <w:sz w:val="20"/>
                <w:szCs w:val="20"/>
              </w:rPr>
              <w:t>Greimann</w:t>
            </w:r>
            <w:proofErr w:type="spellEnd"/>
            <w:r w:rsidRPr="007B0793">
              <w:rPr>
                <w:rFonts w:asciiTheme="minorHAnsi" w:hAnsiTheme="minorHAnsi"/>
                <w:sz w:val="20"/>
                <w:szCs w:val="20"/>
              </w:rPr>
              <w:t>; Key-Systems GmbH</w:t>
            </w:r>
          </w:p>
        </w:tc>
        <w:tc>
          <w:tcPr>
            <w:tcW w:w="3960" w:type="dxa"/>
          </w:tcPr>
          <w:p w14:paraId="71132A93" w14:textId="77777777" w:rsidR="00D550AE" w:rsidRPr="002860E2"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07553275" w14:textId="77777777" w:rsidR="00D550AE" w:rsidRPr="002B3C04"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6A7D5917" w14:textId="77777777" w:rsidR="00D550AE" w:rsidRPr="002860E2"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5CFB619" w14:textId="77777777" w:rsidR="00D550AE" w:rsidRPr="002B3C04"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6C89C8C0" w14:textId="77777777" w:rsidR="00D550AE" w:rsidRPr="002860E2" w:rsidRDefault="00D550AE" w:rsidP="00D550AE">
            <w:pPr>
              <w:contextualSpacing/>
              <w:rPr>
                <w:rFonts w:asciiTheme="minorHAnsi" w:hAnsiTheme="minorHAnsi"/>
                <w:sz w:val="20"/>
                <w:szCs w:val="20"/>
              </w:rPr>
            </w:pPr>
          </w:p>
          <w:p w14:paraId="7CE76EA0" w14:textId="77777777" w:rsidR="00D550AE" w:rsidRPr="002860E2" w:rsidRDefault="00D550AE" w:rsidP="00D550A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135187C" w14:textId="77777777" w:rsidR="00D550AE" w:rsidRPr="002860E2" w:rsidRDefault="00D550AE" w:rsidP="00D550AE">
            <w:pPr>
              <w:contextualSpacing/>
              <w:rPr>
                <w:rFonts w:asciiTheme="minorHAnsi" w:hAnsiTheme="minorHAnsi"/>
                <w:sz w:val="20"/>
                <w:szCs w:val="20"/>
              </w:rPr>
            </w:pPr>
          </w:p>
        </w:tc>
      </w:tr>
      <w:tr w:rsidR="00D550AE" w:rsidRPr="002860E2" w14:paraId="37DA447B" w14:textId="77777777" w:rsidTr="002657F2">
        <w:trPr>
          <w:cantSplit/>
        </w:trPr>
        <w:tc>
          <w:tcPr>
            <w:tcW w:w="675" w:type="dxa"/>
          </w:tcPr>
          <w:p w14:paraId="03911804" w14:textId="77777777" w:rsidR="00D550AE" w:rsidRPr="002860E2" w:rsidRDefault="00D550AE" w:rsidP="00D550AE">
            <w:pPr>
              <w:numPr>
                <w:ilvl w:val="0"/>
                <w:numId w:val="23"/>
              </w:numPr>
              <w:contextualSpacing/>
              <w:rPr>
                <w:rFonts w:asciiTheme="minorHAnsi" w:hAnsiTheme="minorHAnsi"/>
                <w:b/>
                <w:sz w:val="20"/>
                <w:szCs w:val="20"/>
              </w:rPr>
            </w:pPr>
          </w:p>
        </w:tc>
        <w:tc>
          <w:tcPr>
            <w:tcW w:w="8055" w:type="dxa"/>
          </w:tcPr>
          <w:p w14:paraId="5F2B33AB" w14:textId="7BF2B136" w:rsidR="00D550AE" w:rsidRDefault="00D550AE" w:rsidP="00D550AE">
            <w:pPr>
              <w:pStyle w:val="ColorfulList-Accent11"/>
              <w:ind w:left="30"/>
              <w:rPr>
                <w:rFonts w:asciiTheme="minorHAnsi" w:hAnsiTheme="minorHAnsi"/>
                <w:sz w:val="20"/>
                <w:szCs w:val="20"/>
              </w:rPr>
            </w:pPr>
            <w:r w:rsidRPr="007B0793">
              <w:rPr>
                <w:rFonts w:asciiTheme="minorHAnsi" w:hAnsiTheme="minorHAnsi"/>
                <w:sz w:val="20"/>
                <w:szCs w:val="20"/>
              </w:rPr>
              <w:t>The EPDP Team recommends that Registrars are required to retain the herein specified data elements for a period of three years following the life of the registration.</w:t>
            </w:r>
          </w:p>
          <w:p w14:paraId="28856F03" w14:textId="77777777" w:rsidR="00D550AE" w:rsidRDefault="00D550AE" w:rsidP="00D550AE">
            <w:pPr>
              <w:pStyle w:val="ColorfulList-Accent11"/>
              <w:ind w:left="30"/>
              <w:rPr>
                <w:rFonts w:asciiTheme="minorHAnsi" w:hAnsiTheme="minorHAnsi"/>
                <w:sz w:val="20"/>
                <w:szCs w:val="20"/>
              </w:rPr>
            </w:pPr>
          </w:p>
          <w:p w14:paraId="64CDB895" w14:textId="76456471" w:rsidR="00D550AE" w:rsidRPr="007B0793" w:rsidRDefault="00D550AE" w:rsidP="00D550AE">
            <w:pPr>
              <w:pStyle w:val="ColorfulList-Accent11"/>
              <w:ind w:left="30"/>
              <w:rPr>
                <w:rFonts w:asciiTheme="minorHAnsi" w:hAnsiTheme="minorHAnsi"/>
                <w:sz w:val="20"/>
                <w:szCs w:val="20"/>
              </w:rPr>
            </w:pPr>
            <w:r w:rsidRPr="007B0793">
              <w:rPr>
                <w:rFonts w:asciiTheme="minorHAnsi" w:hAnsiTheme="minorHAnsi"/>
                <w:sz w:val="20"/>
                <w:szCs w:val="20"/>
              </w:rPr>
              <w:t xml:space="preserve">ICANN itself recommends a longer period of two years.  Cybersecurity incidents have dwell time that can endure for years, as the recent Marriott/Starwood breach news proves.  Attack indicators can be discovered long after the attack itself, and after DNS resources are deleted.  Investigation timelines, particularly when it involves law enforcement, can be lengthy.  </w:t>
            </w:r>
          </w:p>
          <w:p w14:paraId="0F421B38" w14:textId="432F06DE" w:rsidR="00D550AE" w:rsidRPr="002860E2" w:rsidRDefault="00D550AE" w:rsidP="00D550AE">
            <w:pPr>
              <w:pStyle w:val="ColorfulList-Accent11"/>
              <w:ind w:left="30"/>
              <w:rPr>
                <w:rFonts w:asciiTheme="minorHAnsi" w:hAnsiTheme="minorHAnsi"/>
                <w:sz w:val="20"/>
                <w:szCs w:val="20"/>
              </w:rPr>
            </w:pPr>
            <w:r w:rsidRPr="007B0793">
              <w:rPr>
                <w:rFonts w:asciiTheme="minorHAnsi" w:hAnsiTheme="minorHAnsi"/>
                <w:sz w:val="20"/>
                <w:szCs w:val="20"/>
              </w:rPr>
              <w:t>It’s important that information about previously registered domains is retained for a useful period for security and law enforcement needs -- one year simply is insufficient.  The consistent utilization, by security and LEA personnel, of historic data from various third party Whois services is testament to the need.</w:t>
            </w:r>
          </w:p>
        </w:tc>
        <w:tc>
          <w:tcPr>
            <w:tcW w:w="2700" w:type="dxa"/>
          </w:tcPr>
          <w:p w14:paraId="761AF2CE" w14:textId="2A8EF7B3" w:rsidR="00D550AE" w:rsidRPr="002860E2" w:rsidRDefault="00D550AE" w:rsidP="00D550AE">
            <w:pPr>
              <w:contextualSpacing/>
              <w:rPr>
                <w:rFonts w:asciiTheme="minorHAnsi" w:hAnsiTheme="minorHAnsi"/>
                <w:sz w:val="20"/>
                <w:szCs w:val="20"/>
              </w:rPr>
            </w:pPr>
            <w:r w:rsidRPr="007B0793">
              <w:rPr>
                <w:rFonts w:asciiTheme="minorHAnsi" w:hAnsiTheme="minorHAnsi"/>
                <w:sz w:val="20"/>
                <w:szCs w:val="20"/>
              </w:rPr>
              <w:t>Steve DelBianco; BC</w:t>
            </w:r>
          </w:p>
        </w:tc>
        <w:tc>
          <w:tcPr>
            <w:tcW w:w="3960" w:type="dxa"/>
          </w:tcPr>
          <w:p w14:paraId="6E327742" w14:textId="77777777" w:rsidR="00D550AE" w:rsidRPr="002860E2"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211606C1" w14:textId="77777777" w:rsidR="00D550AE" w:rsidRPr="002B3C04"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650DE39E" w14:textId="77777777" w:rsidR="00D550AE" w:rsidRPr="002860E2"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0E20581" w14:textId="77777777" w:rsidR="00D550AE" w:rsidRPr="002B3C04"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59FA0F49" w14:textId="77777777" w:rsidR="00D550AE" w:rsidRPr="002860E2" w:rsidRDefault="00D550AE" w:rsidP="00D550AE">
            <w:pPr>
              <w:contextualSpacing/>
              <w:rPr>
                <w:rFonts w:asciiTheme="minorHAnsi" w:hAnsiTheme="minorHAnsi"/>
                <w:sz w:val="20"/>
                <w:szCs w:val="20"/>
              </w:rPr>
            </w:pPr>
          </w:p>
          <w:p w14:paraId="69295329" w14:textId="77777777" w:rsidR="00D550AE" w:rsidRPr="002860E2" w:rsidRDefault="00D550AE" w:rsidP="00D550A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17CB28A" w14:textId="77777777" w:rsidR="00D550AE" w:rsidRPr="002860E2" w:rsidRDefault="00D550AE" w:rsidP="00D550AE">
            <w:pPr>
              <w:contextualSpacing/>
              <w:rPr>
                <w:rFonts w:asciiTheme="minorHAnsi" w:hAnsiTheme="minorHAnsi"/>
                <w:sz w:val="20"/>
                <w:szCs w:val="20"/>
              </w:rPr>
            </w:pPr>
          </w:p>
        </w:tc>
      </w:tr>
      <w:tr w:rsidR="00D550AE" w:rsidRPr="002860E2" w14:paraId="0A13D188" w14:textId="77777777" w:rsidTr="002657F2">
        <w:trPr>
          <w:cantSplit/>
        </w:trPr>
        <w:tc>
          <w:tcPr>
            <w:tcW w:w="675" w:type="dxa"/>
          </w:tcPr>
          <w:p w14:paraId="4B81EF2F" w14:textId="77777777" w:rsidR="00D550AE" w:rsidRPr="002860E2" w:rsidRDefault="00D550AE" w:rsidP="00D550AE">
            <w:pPr>
              <w:numPr>
                <w:ilvl w:val="0"/>
                <w:numId w:val="23"/>
              </w:numPr>
              <w:contextualSpacing/>
              <w:rPr>
                <w:rFonts w:asciiTheme="minorHAnsi" w:hAnsiTheme="minorHAnsi"/>
                <w:b/>
                <w:sz w:val="20"/>
                <w:szCs w:val="20"/>
              </w:rPr>
            </w:pPr>
          </w:p>
        </w:tc>
        <w:tc>
          <w:tcPr>
            <w:tcW w:w="8055" w:type="dxa"/>
          </w:tcPr>
          <w:p w14:paraId="0A18E0C3" w14:textId="674AD8AA" w:rsidR="00D550AE" w:rsidRDefault="00D550AE" w:rsidP="00D550AE">
            <w:pPr>
              <w:pStyle w:val="ColorfulList-Accent11"/>
              <w:ind w:left="0"/>
              <w:rPr>
                <w:rFonts w:asciiTheme="minorHAnsi" w:hAnsiTheme="minorHAnsi"/>
                <w:sz w:val="20"/>
                <w:szCs w:val="20"/>
              </w:rPr>
            </w:pPr>
            <w:r w:rsidRPr="007B0793">
              <w:rPr>
                <w:rFonts w:asciiTheme="minorHAnsi" w:hAnsiTheme="minorHAnsi"/>
                <w:sz w:val="20"/>
                <w:szCs w:val="20"/>
              </w:rPr>
              <w:t>“The EPDP Team recommends that Registrars are required to retain the herein ­specified data elements for a period of 3 years following the life of the registration.”</w:t>
            </w:r>
          </w:p>
          <w:p w14:paraId="3D66DE54" w14:textId="77777777" w:rsidR="00D550AE" w:rsidRDefault="00D550AE" w:rsidP="00D550AE">
            <w:pPr>
              <w:pStyle w:val="ColorfulList-Accent11"/>
              <w:ind w:left="0"/>
              <w:rPr>
                <w:rFonts w:asciiTheme="minorHAnsi" w:hAnsiTheme="minorHAnsi"/>
                <w:sz w:val="20"/>
                <w:szCs w:val="20"/>
              </w:rPr>
            </w:pPr>
          </w:p>
          <w:p w14:paraId="71E8285D" w14:textId="22008C73" w:rsidR="00D550AE" w:rsidRPr="007B0793" w:rsidRDefault="00D550AE" w:rsidP="00D550AE">
            <w:pPr>
              <w:pStyle w:val="ColorfulList-Accent11"/>
              <w:ind w:left="0"/>
              <w:rPr>
                <w:rFonts w:asciiTheme="minorHAnsi" w:hAnsiTheme="minorHAnsi"/>
                <w:sz w:val="20"/>
                <w:szCs w:val="20"/>
              </w:rPr>
            </w:pPr>
            <w:r w:rsidRPr="007B0793">
              <w:rPr>
                <w:rFonts w:asciiTheme="minorHAnsi" w:hAnsiTheme="minorHAnsi"/>
                <w:sz w:val="20"/>
                <w:szCs w:val="20"/>
              </w:rPr>
              <w:t>ICANN recommends a longer period (2 years) in the 2013 RAA.  Although ICANN RAA may change as a result of the EPDP process, the point is worth noting.</w:t>
            </w:r>
          </w:p>
          <w:p w14:paraId="59F7A290" w14:textId="72616F85" w:rsidR="00D550AE" w:rsidRPr="002860E2" w:rsidRDefault="00D550AE" w:rsidP="00D550AE">
            <w:pPr>
              <w:pStyle w:val="ColorfulList-Accent11"/>
              <w:ind w:left="0"/>
              <w:rPr>
                <w:rFonts w:asciiTheme="minorHAnsi" w:hAnsiTheme="minorHAnsi"/>
                <w:sz w:val="20"/>
                <w:szCs w:val="20"/>
              </w:rPr>
            </w:pPr>
            <w:r w:rsidRPr="007B0793">
              <w:rPr>
                <w:rFonts w:asciiTheme="minorHAnsi" w:hAnsiTheme="minorHAnsi"/>
                <w:sz w:val="20"/>
                <w:szCs w:val="20"/>
              </w:rPr>
              <w:t>Although many investigations can proceed with data retained only one year after expiration, recent investigations reveal that some adversaries conduct subsequent attacks long after an attack has been concluded and that some attacks are only discovered after the event.  Having a longer history of registrant data has also aided in proactive detection of new attacks by these previous attackers.</w:t>
            </w:r>
          </w:p>
        </w:tc>
        <w:tc>
          <w:tcPr>
            <w:tcW w:w="2700" w:type="dxa"/>
          </w:tcPr>
          <w:p w14:paraId="0C245F88" w14:textId="3431E10A" w:rsidR="00D550AE" w:rsidRPr="002860E2" w:rsidRDefault="00D550AE" w:rsidP="00D550AE">
            <w:pPr>
              <w:contextualSpacing/>
              <w:rPr>
                <w:rFonts w:asciiTheme="minorHAnsi" w:hAnsiTheme="minorHAnsi"/>
                <w:sz w:val="20"/>
                <w:szCs w:val="20"/>
              </w:rPr>
            </w:pPr>
            <w:r w:rsidRPr="007B0793">
              <w:rPr>
                <w:rFonts w:asciiTheme="minorHAnsi" w:hAnsiTheme="minorHAnsi"/>
                <w:sz w:val="20"/>
                <w:szCs w:val="20"/>
              </w:rPr>
              <w:t xml:space="preserve">Jeremy </w:t>
            </w:r>
            <w:proofErr w:type="spellStart"/>
            <w:r w:rsidRPr="007B0793">
              <w:rPr>
                <w:rFonts w:asciiTheme="minorHAnsi" w:hAnsiTheme="minorHAnsi"/>
                <w:sz w:val="20"/>
                <w:szCs w:val="20"/>
              </w:rPr>
              <w:t>Dallman</w:t>
            </w:r>
            <w:proofErr w:type="spellEnd"/>
            <w:r w:rsidRPr="007B0793">
              <w:rPr>
                <w:rFonts w:asciiTheme="minorHAnsi" w:hAnsiTheme="minorHAnsi"/>
                <w:sz w:val="20"/>
                <w:szCs w:val="20"/>
              </w:rPr>
              <w:t xml:space="preserve">, David Ladd – Microsoft Threat Intelligence Center; Amy Hogan-Burney, Richard Boscovich – Digital Crimes Unit; </w:t>
            </w:r>
            <w:proofErr w:type="spellStart"/>
            <w:r w:rsidRPr="007B0793">
              <w:rPr>
                <w:rFonts w:asciiTheme="minorHAnsi" w:hAnsiTheme="minorHAnsi"/>
                <w:sz w:val="20"/>
                <w:szCs w:val="20"/>
              </w:rPr>
              <w:t>Makalika</w:t>
            </w:r>
            <w:proofErr w:type="spellEnd"/>
            <w:r w:rsidRPr="007B0793">
              <w:rPr>
                <w:rFonts w:asciiTheme="minorHAnsi" w:hAnsiTheme="minorHAnsi"/>
                <w:sz w:val="20"/>
                <w:szCs w:val="20"/>
              </w:rPr>
              <w:t xml:space="preserve"> </w:t>
            </w:r>
            <w:proofErr w:type="spellStart"/>
            <w:r w:rsidRPr="007B0793">
              <w:rPr>
                <w:rFonts w:asciiTheme="minorHAnsi" w:hAnsiTheme="minorHAnsi"/>
                <w:sz w:val="20"/>
                <w:szCs w:val="20"/>
              </w:rPr>
              <w:t>Naholowaa</w:t>
            </w:r>
            <w:proofErr w:type="spellEnd"/>
            <w:r w:rsidRPr="007B0793">
              <w:rPr>
                <w:rFonts w:asciiTheme="minorHAnsi" w:hAnsiTheme="minorHAnsi"/>
                <w:sz w:val="20"/>
                <w:szCs w:val="20"/>
              </w:rPr>
              <w:t xml:space="preserve">, Teresa </w:t>
            </w:r>
            <w:proofErr w:type="spellStart"/>
            <w:r w:rsidRPr="007B0793">
              <w:rPr>
                <w:rFonts w:asciiTheme="minorHAnsi" w:hAnsiTheme="minorHAnsi"/>
                <w:sz w:val="20"/>
                <w:szCs w:val="20"/>
              </w:rPr>
              <w:t>Rodewald</w:t>
            </w:r>
            <w:proofErr w:type="spellEnd"/>
            <w:r w:rsidRPr="007B0793">
              <w:rPr>
                <w:rFonts w:asciiTheme="minorHAnsi" w:hAnsiTheme="minorHAnsi"/>
                <w:sz w:val="20"/>
                <w:szCs w:val="20"/>
              </w:rPr>
              <w:t xml:space="preserve">, Cam </w:t>
            </w:r>
            <w:proofErr w:type="spellStart"/>
            <w:r w:rsidRPr="007B0793">
              <w:rPr>
                <w:rFonts w:asciiTheme="minorHAnsi" w:hAnsiTheme="minorHAnsi"/>
                <w:sz w:val="20"/>
                <w:szCs w:val="20"/>
              </w:rPr>
              <w:t>Gatta</w:t>
            </w:r>
            <w:proofErr w:type="spellEnd"/>
            <w:r w:rsidRPr="007B0793">
              <w:rPr>
                <w:rFonts w:asciiTheme="minorHAnsi" w:hAnsiTheme="minorHAnsi"/>
                <w:sz w:val="20"/>
                <w:szCs w:val="20"/>
              </w:rPr>
              <w:t xml:space="preserve"> – Trademark; Mark Svancarek, Ben Wallace, Paul Mitchell – Internet Technology &amp; Governance Policy; Cole Quinn – Domains and Registry; Joanne Charles – Privacy &amp; Regulatory Affairs; Microsoft Corporation</w:t>
            </w:r>
          </w:p>
        </w:tc>
        <w:tc>
          <w:tcPr>
            <w:tcW w:w="3960" w:type="dxa"/>
          </w:tcPr>
          <w:p w14:paraId="44044598" w14:textId="77777777" w:rsidR="00D550AE" w:rsidRPr="002860E2"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72EEA6AA" w14:textId="77777777" w:rsidR="00D550AE" w:rsidRPr="002B3C04"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487CCEC7" w14:textId="77777777" w:rsidR="00D550AE" w:rsidRPr="002860E2"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7158E6B" w14:textId="77777777" w:rsidR="00D550AE" w:rsidRPr="002B3C04"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11058ED1" w14:textId="77777777" w:rsidR="00D550AE" w:rsidRPr="002860E2" w:rsidRDefault="00D550AE" w:rsidP="00D550AE">
            <w:pPr>
              <w:contextualSpacing/>
              <w:rPr>
                <w:rFonts w:asciiTheme="minorHAnsi" w:hAnsiTheme="minorHAnsi"/>
                <w:sz w:val="20"/>
                <w:szCs w:val="20"/>
              </w:rPr>
            </w:pPr>
          </w:p>
          <w:p w14:paraId="1D44A9CA" w14:textId="77777777" w:rsidR="00D550AE" w:rsidRPr="002860E2" w:rsidRDefault="00D550AE" w:rsidP="00D550A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8CEA16E" w14:textId="77777777" w:rsidR="00D550AE" w:rsidRPr="002860E2" w:rsidRDefault="00D550AE" w:rsidP="00D550AE">
            <w:pPr>
              <w:contextualSpacing/>
              <w:rPr>
                <w:rFonts w:asciiTheme="minorHAnsi" w:hAnsiTheme="minorHAnsi"/>
                <w:sz w:val="20"/>
                <w:szCs w:val="20"/>
              </w:rPr>
            </w:pPr>
          </w:p>
        </w:tc>
      </w:tr>
      <w:tr w:rsidR="00D550AE" w:rsidRPr="002860E2" w14:paraId="16C94268" w14:textId="77777777" w:rsidTr="002657F2">
        <w:trPr>
          <w:cantSplit/>
        </w:trPr>
        <w:tc>
          <w:tcPr>
            <w:tcW w:w="675" w:type="dxa"/>
          </w:tcPr>
          <w:p w14:paraId="7C24F6F8" w14:textId="77777777" w:rsidR="00D550AE" w:rsidRPr="002860E2" w:rsidRDefault="00D550AE" w:rsidP="00D550AE">
            <w:pPr>
              <w:numPr>
                <w:ilvl w:val="0"/>
                <w:numId w:val="23"/>
              </w:numPr>
              <w:contextualSpacing/>
              <w:rPr>
                <w:rFonts w:asciiTheme="minorHAnsi" w:hAnsiTheme="minorHAnsi"/>
                <w:b/>
                <w:sz w:val="20"/>
                <w:szCs w:val="20"/>
              </w:rPr>
            </w:pPr>
          </w:p>
        </w:tc>
        <w:tc>
          <w:tcPr>
            <w:tcW w:w="8055" w:type="dxa"/>
          </w:tcPr>
          <w:p w14:paraId="312383A7" w14:textId="739D57FC" w:rsidR="00D550AE" w:rsidRPr="002860E2" w:rsidRDefault="00D550AE" w:rsidP="00D550AE">
            <w:pPr>
              <w:pStyle w:val="ColorfulList-Accent11"/>
              <w:ind w:left="0"/>
              <w:rPr>
                <w:rFonts w:asciiTheme="minorHAnsi" w:hAnsiTheme="minorHAnsi"/>
                <w:sz w:val="20"/>
                <w:szCs w:val="20"/>
              </w:rPr>
            </w:pPr>
            <w:r w:rsidRPr="007B0793">
              <w:rPr>
                <w:rFonts w:asciiTheme="minorHAnsi" w:hAnsiTheme="minorHAnsi"/>
                <w:sz w:val="20"/>
                <w:szCs w:val="20"/>
              </w:rPr>
              <w:t xml:space="preserve">While we support the intent of this recommendation it is important to ensure that any retention period is lawful.  This recommendation should be edited to allow for registrars to choose to retain data for longer than one year if applicable law or other guidance suggests longer than a </w:t>
            </w:r>
            <w:proofErr w:type="gramStart"/>
            <w:r w:rsidRPr="007B0793">
              <w:rPr>
                <w:rFonts w:asciiTheme="minorHAnsi" w:hAnsiTheme="minorHAnsi"/>
                <w:sz w:val="20"/>
                <w:szCs w:val="20"/>
              </w:rPr>
              <w:t>one year</w:t>
            </w:r>
            <w:proofErr w:type="gramEnd"/>
            <w:r w:rsidRPr="007B0793">
              <w:rPr>
                <w:rFonts w:asciiTheme="minorHAnsi" w:hAnsiTheme="minorHAnsi"/>
                <w:sz w:val="20"/>
                <w:szCs w:val="20"/>
              </w:rPr>
              <w:t xml:space="preserve"> data retention period.</w:t>
            </w:r>
          </w:p>
        </w:tc>
        <w:tc>
          <w:tcPr>
            <w:tcW w:w="2700" w:type="dxa"/>
          </w:tcPr>
          <w:p w14:paraId="3A7E6560" w14:textId="142B0440" w:rsidR="00D550AE" w:rsidRPr="007B0793" w:rsidRDefault="00D550AE" w:rsidP="00D550AE">
            <w:pPr>
              <w:contextualSpacing/>
              <w:rPr>
                <w:rFonts w:asciiTheme="minorHAnsi" w:hAnsiTheme="minorHAnsi"/>
                <w:sz w:val="20"/>
                <w:szCs w:val="20"/>
              </w:rPr>
            </w:pPr>
            <w:r w:rsidRPr="007B0793">
              <w:rPr>
                <w:rFonts w:asciiTheme="minorHAnsi" w:hAnsiTheme="minorHAnsi"/>
                <w:sz w:val="20"/>
                <w:szCs w:val="20"/>
              </w:rPr>
              <w:t xml:space="preserve">Sara </w:t>
            </w:r>
            <w:proofErr w:type="spellStart"/>
            <w:r w:rsidRPr="007B0793">
              <w:rPr>
                <w:rFonts w:asciiTheme="minorHAnsi" w:hAnsiTheme="minorHAnsi"/>
                <w:sz w:val="20"/>
                <w:szCs w:val="20"/>
              </w:rPr>
              <w:t>Bockey</w:t>
            </w:r>
            <w:proofErr w:type="spellEnd"/>
            <w:r w:rsidRPr="007B0793">
              <w:rPr>
                <w:rFonts w:asciiTheme="minorHAnsi" w:hAnsiTheme="minorHAnsi"/>
                <w:sz w:val="20"/>
                <w:szCs w:val="20"/>
              </w:rPr>
              <w:t>; GoDaddy</w:t>
            </w:r>
          </w:p>
        </w:tc>
        <w:tc>
          <w:tcPr>
            <w:tcW w:w="3960" w:type="dxa"/>
          </w:tcPr>
          <w:p w14:paraId="79B4BBAA" w14:textId="77777777" w:rsidR="00D550AE" w:rsidRPr="002860E2"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25905A21" w14:textId="77777777" w:rsidR="00D550AE" w:rsidRPr="002B3C04"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2DDE67A6" w14:textId="77777777" w:rsidR="00D550AE" w:rsidRPr="002860E2"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83B25F8" w14:textId="77777777" w:rsidR="00D550AE" w:rsidRPr="002B3C04"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202C6CB1" w14:textId="77777777" w:rsidR="00D550AE" w:rsidRPr="002860E2" w:rsidRDefault="00D550AE" w:rsidP="00D550AE">
            <w:pPr>
              <w:contextualSpacing/>
              <w:rPr>
                <w:rFonts w:asciiTheme="minorHAnsi" w:hAnsiTheme="minorHAnsi"/>
                <w:sz w:val="20"/>
                <w:szCs w:val="20"/>
              </w:rPr>
            </w:pPr>
          </w:p>
          <w:p w14:paraId="635294B8" w14:textId="77777777" w:rsidR="00D550AE" w:rsidRPr="002860E2" w:rsidRDefault="00D550AE" w:rsidP="00D550A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1E03E733" w14:textId="77777777" w:rsidR="00D550AE" w:rsidRPr="002860E2"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D550AE" w:rsidRPr="002860E2" w14:paraId="2BB2EA01" w14:textId="77777777" w:rsidTr="002657F2">
        <w:trPr>
          <w:cantSplit/>
        </w:trPr>
        <w:tc>
          <w:tcPr>
            <w:tcW w:w="675" w:type="dxa"/>
          </w:tcPr>
          <w:p w14:paraId="5E59CA1C" w14:textId="77777777" w:rsidR="00D550AE" w:rsidRPr="002860E2" w:rsidRDefault="00D550AE" w:rsidP="00D550AE">
            <w:pPr>
              <w:numPr>
                <w:ilvl w:val="0"/>
                <w:numId w:val="23"/>
              </w:numPr>
              <w:contextualSpacing/>
              <w:rPr>
                <w:rFonts w:asciiTheme="minorHAnsi" w:hAnsiTheme="minorHAnsi"/>
                <w:b/>
                <w:sz w:val="20"/>
                <w:szCs w:val="20"/>
              </w:rPr>
            </w:pPr>
          </w:p>
        </w:tc>
        <w:tc>
          <w:tcPr>
            <w:tcW w:w="8055" w:type="dxa"/>
          </w:tcPr>
          <w:p w14:paraId="2949C7C8" w14:textId="77777777" w:rsidR="00D550AE" w:rsidRDefault="00D550AE" w:rsidP="00D550AE">
            <w:pPr>
              <w:pStyle w:val="ColorfulList-Accent11"/>
              <w:ind w:left="0"/>
              <w:rPr>
                <w:rFonts w:asciiTheme="minorHAnsi" w:hAnsiTheme="minorHAnsi"/>
                <w:sz w:val="20"/>
                <w:szCs w:val="20"/>
              </w:rPr>
            </w:pPr>
            <w:r w:rsidRPr="007B0793">
              <w:rPr>
                <w:rFonts w:asciiTheme="minorHAnsi" w:hAnsiTheme="minorHAnsi"/>
                <w:sz w:val="20"/>
                <w:szCs w:val="20"/>
              </w:rPr>
              <w:t>The EPDP Team recommends that Registrars are required to retain the mandatory data elements for a period of one year following the life of the registration. ICANN must also commit to deleting this personal data after a period of one year following receipt of such data. Any “optional” data elements (such as the Technical contact may become) should be retained only while in use, and should be deleted once the data subject opts out of using that optional data. This retention period conforms to the specific statute of limitations within the Transfer Dispute Resolution Policy (“TDRP”).</w:t>
            </w:r>
          </w:p>
          <w:p w14:paraId="2D1AA333" w14:textId="77777777" w:rsidR="00D550AE" w:rsidRDefault="00D550AE" w:rsidP="00D550AE">
            <w:pPr>
              <w:pStyle w:val="ColorfulList-Accent11"/>
              <w:ind w:left="0"/>
              <w:rPr>
                <w:rFonts w:asciiTheme="minorHAnsi" w:hAnsiTheme="minorHAnsi"/>
                <w:sz w:val="20"/>
                <w:szCs w:val="20"/>
              </w:rPr>
            </w:pPr>
          </w:p>
          <w:p w14:paraId="7DFE3F94" w14:textId="77777777" w:rsidR="00D550AE" w:rsidRPr="004D377C" w:rsidRDefault="00D550AE" w:rsidP="00D550AE">
            <w:pPr>
              <w:pStyle w:val="ColorfulList-Accent11"/>
              <w:ind w:left="0"/>
              <w:rPr>
                <w:rFonts w:asciiTheme="minorHAnsi" w:hAnsiTheme="minorHAnsi"/>
                <w:sz w:val="20"/>
                <w:szCs w:val="20"/>
              </w:rPr>
            </w:pPr>
            <w:r w:rsidRPr="004D377C">
              <w:rPr>
                <w:rFonts w:asciiTheme="minorHAnsi" w:hAnsiTheme="minorHAnsi"/>
                <w:sz w:val="20"/>
                <w:szCs w:val="20"/>
              </w:rPr>
              <w:t>This data retention duration should apply to ICANN, the Registrar, and the Registry (if applicable). There is no need for ICANN to retain the herein specified mandatory data elements for longer than one year.</w:t>
            </w:r>
          </w:p>
          <w:p w14:paraId="35AB8132" w14:textId="1DDA1A43" w:rsidR="00D550AE" w:rsidRPr="002860E2" w:rsidRDefault="00D550AE" w:rsidP="00D550AE">
            <w:pPr>
              <w:pStyle w:val="ColorfulList-Accent11"/>
              <w:ind w:left="0"/>
              <w:rPr>
                <w:rFonts w:asciiTheme="minorHAnsi" w:hAnsiTheme="minorHAnsi"/>
                <w:sz w:val="20"/>
                <w:szCs w:val="20"/>
              </w:rPr>
            </w:pPr>
            <w:r w:rsidRPr="004D377C">
              <w:rPr>
                <w:rFonts w:asciiTheme="minorHAnsi" w:hAnsiTheme="minorHAnsi"/>
                <w:sz w:val="20"/>
                <w:szCs w:val="20"/>
              </w:rPr>
              <w:t>Optional data should only be kept while the legal basis for processing remains active; if this legal basis is the data subject’s consent to allow optional data use, then once that consent is revoked the data must no longer be retained.</w:t>
            </w:r>
          </w:p>
        </w:tc>
        <w:tc>
          <w:tcPr>
            <w:tcW w:w="2700" w:type="dxa"/>
          </w:tcPr>
          <w:p w14:paraId="0F8830A9" w14:textId="6F2024AF" w:rsidR="00D550AE" w:rsidRPr="007B0793" w:rsidRDefault="00D550AE" w:rsidP="00D550AE">
            <w:pPr>
              <w:contextualSpacing/>
              <w:rPr>
                <w:rFonts w:asciiTheme="minorHAnsi" w:hAnsiTheme="minorHAnsi"/>
                <w:sz w:val="20"/>
                <w:szCs w:val="20"/>
              </w:rPr>
            </w:pPr>
            <w:proofErr w:type="spellStart"/>
            <w:r w:rsidRPr="007B0793">
              <w:rPr>
                <w:rFonts w:asciiTheme="minorHAnsi" w:hAnsiTheme="minorHAnsi"/>
                <w:sz w:val="20"/>
                <w:szCs w:val="20"/>
              </w:rPr>
              <w:t>Tucows</w:t>
            </w:r>
            <w:proofErr w:type="spellEnd"/>
            <w:r w:rsidRPr="007B0793">
              <w:rPr>
                <w:rFonts w:asciiTheme="minorHAnsi" w:hAnsiTheme="minorHAnsi"/>
                <w:sz w:val="20"/>
                <w:szCs w:val="20"/>
              </w:rPr>
              <w:t xml:space="preserve"> Domains Inc.</w:t>
            </w:r>
          </w:p>
        </w:tc>
        <w:tc>
          <w:tcPr>
            <w:tcW w:w="3960" w:type="dxa"/>
          </w:tcPr>
          <w:p w14:paraId="72204F8D" w14:textId="77777777" w:rsidR="00D550AE" w:rsidRPr="002860E2"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5C98C5F6" w14:textId="77777777" w:rsidR="00D550AE" w:rsidRPr="002B3C04"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6BEF6460" w14:textId="77777777" w:rsidR="00D550AE" w:rsidRPr="002860E2"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59EABA4C" w14:textId="77777777" w:rsidR="00D550AE" w:rsidRPr="002B3C04"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1CF9E687" w14:textId="77777777" w:rsidR="00D550AE" w:rsidRPr="002860E2" w:rsidRDefault="00D550AE" w:rsidP="00D550AE">
            <w:pPr>
              <w:contextualSpacing/>
              <w:rPr>
                <w:rFonts w:asciiTheme="minorHAnsi" w:hAnsiTheme="minorHAnsi"/>
                <w:sz w:val="20"/>
                <w:szCs w:val="20"/>
              </w:rPr>
            </w:pPr>
          </w:p>
          <w:p w14:paraId="3A0D989E" w14:textId="77777777" w:rsidR="00D550AE" w:rsidRPr="002860E2" w:rsidRDefault="00D550AE" w:rsidP="00D550A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6BF8088" w14:textId="77777777" w:rsidR="00D550AE" w:rsidRPr="002860E2"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D550AE" w:rsidRPr="002860E2" w14:paraId="10B1E0C5" w14:textId="77777777" w:rsidTr="002657F2">
        <w:trPr>
          <w:cantSplit/>
        </w:trPr>
        <w:tc>
          <w:tcPr>
            <w:tcW w:w="675" w:type="dxa"/>
          </w:tcPr>
          <w:p w14:paraId="4B5FA1AE" w14:textId="77777777" w:rsidR="00D550AE" w:rsidRPr="002860E2" w:rsidRDefault="00D550AE" w:rsidP="00D550AE">
            <w:pPr>
              <w:numPr>
                <w:ilvl w:val="0"/>
                <w:numId w:val="23"/>
              </w:numPr>
              <w:contextualSpacing/>
              <w:rPr>
                <w:rFonts w:asciiTheme="minorHAnsi" w:hAnsiTheme="minorHAnsi"/>
                <w:b/>
                <w:sz w:val="20"/>
                <w:szCs w:val="20"/>
              </w:rPr>
            </w:pPr>
          </w:p>
        </w:tc>
        <w:tc>
          <w:tcPr>
            <w:tcW w:w="8055" w:type="dxa"/>
          </w:tcPr>
          <w:p w14:paraId="63CF64DC" w14:textId="77777777" w:rsidR="00D550AE" w:rsidRPr="004D377C" w:rsidRDefault="00D550AE" w:rsidP="00D550AE">
            <w:pPr>
              <w:pStyle w:val="ColorfulList-Accent11"/>
              <w:ind w:left="30"/>
              <w:rPr>
                <w:rFonts w:asciiTheme="minorHAnsi" w:hAnsiTheme="minorHAnsi"/>
                <w:sz w:val="20"/>
                <w:szCs w:val="20"/>
              </w:rPr>
            </w:pPr>
            <w:r w:rsidRPr="004D377C">
              <w:rPr>
                <w:rFonts w:asciiTheme="minorHAnsi" w:hAnsiTheme="minorHAnsi"/>
                <w:sz w:val="20"/>
                <w:szCs w:val="20"/>
              </w:rPr>
              <w:t xml:space="preserve">The </w:t>
            </w:r>
            <w:proofErr w:type="spellStart"/>
            <w:r w:rsidRPr="004D377C">
              <w:rPr>
                <w:rFonts w:asciiTheme="minorHAnsi" w:hAnsiTheme="minorHAnsi"/>
                <w:sz w:val="20"/>
                <w:szCs w:val="20"/>
              </w:rPr>
              <w:t>RySG</w:t>
            </w:r>
            <w:proofErr w:type="spellEnd"/>
            <w:r w:rsidRPr="004D377C">
              <w:rPr>
                <w:rFonts w:asciiTheme="minorHAnsi" w:hAnsiTheme="minorHAnsi"/>
                <w:sz w:val="20"/>
                <w:szCs w:val="20"/>
              </w:rPr>
              <w:t xml:space="preserve"> recommends editing Recommendation #11 as follows: </w:t>
            </w:r>
          </w:p>
          <w:p w14:paraId="42798061" w14:textId="77777777" w:rsidR="00D550AE" w:rsidRDefault="00D550AE" w:rsidP="00D550AE">
            <w:pPr>
              <w:pStyle w:val="ColorfulList-Accent11"/>
              <w:ind w:left="0"/>
              <w:rPr>
                <w:rFonts w:asciiTheme="minorHAnsi" w:hAnsiTheme="minorHAnsi"/>
                <w:sz w:val="20"/>
                <w:szCs w:val="20"/>
              </w:rPr>
            </w:pPr>
            <w:r w:rsidRPr="004D377C">
              <w:rPr>
                <w:rFonts w:asciiTheme="minorHAnsi" w:hAnsiTheme="minorHAnsi"/>
                <w:sz w:val="20"/>
                <w:szCs w:val="20"/>
              </w:rPr>
              <w:t>“The EPDP Team recommends that Registrars are required to retain the herein ­specified data elements for a period of one year following the life of the registration.”</w:t>
            </w:r>
          </w:p>
          <w:p w14:paraId="6A01C348" w14:textId="77777777" w:rsidR="00D550AE" w:rsidRDefault="00D550AE" w:rsidP="00D550AE">
            <w:pPr>
              <w:pStyle w:val="ColorfulList-Accent11"/>
              <w:ind w:left="0"/>
              <w:rPr>
                <w:rFonts w:asciiTheme="minorHAnsi" w:hAnsiTheme="minorHAnsi"/>
                <w:sz w:val="20"/>
                <w:szCs w:val="20"/>
              </w:rPr>
            </w:pPr>
          </w:p>
          <w:p w14:paraId="7D8114EC" w14:textId="77777777" w:rsidR="00D550AE" w:rsidRPr="004D377C" w:rsidRDefault="00D550AE" w:rsidP="00D550AE">
            <w:pPr>
              <w:pStyle w:val="ColorfulList-Accent11"/>
              <w:ind w:left="0"/>
              <w:rPr>
                <w:rFonts w:asciiTheme="minorHAnsi" w:hAnsiTheme="minorHAnsi"/>
                <w:sz w:val="20"/>
                <w:szCs w:val="20"/>
              </w:rPr>
            </w:pPr>
            <w:r w:rsidRPr="004D377C">
              <w:rPr>
                <w:rFonts w:asciiTheme="minorHAnsi" w:hAnsiTheme="minorHAnsi"/>
                <w:sz w:val="20"/>
                <w:szCs w:val="20"/>
              </w:rPr>
              <w:t xml:space="preserve">The use of the term ‘statute of limitations’ is incorrect. </w:t>
            </w:r>
          </w:p>
          <w:p w14:paraId="5C0CADEC" w14:textId="77777777" w:rsidR="00D550AE" w:rsidRPr="004D377C" w:rsidRDefault="00D550AE" w:rsidP="00D550AE">
            <w:pPr>
              <w:pStyle w:val="ColorfulList-Accent11"/>
              <w:ind w:left="0"/>
              <w:rPr>
                <w:rFonts w:asciiTheme="minorHAnsi" w:hAnsiTheme="minorHAnsi"/>
                <w:sz w:val="20"/>
                <w:szCs w:val="20"/>
              </w:rPr>
            </w:pPr>
            <w:proofErr w:type="gramStart"/>
            <w:r w:rsidRPr="004D377C">
              <w:rPr>
                <w:rFonts w:asciiTheme="minorHAnsi" w:hAnsiTheme="minorHAnsi"/>
                <w:sz w:val="20"/>
                <w:szCs w:val="20"/>
              </w:rPr>
              <w:t>Additionally</w:t>
            </w:r>
            <w:proofErr w:type="gramEnd"/>
            <w:r w:rsidRPr="004D377C">
              <w:rPr>
                <w:rFonts w:asciiTheme="minorHAnsi" w:hAnsiTheme="minorHAnsi"/>
                <w:sz w:val="20"/>
                <w:szCs w:val="20"/>
              </w:rPr>
              <w:t xml:space="preserve"> the retention period should merely be set/stated, and not linked to a specific applicable requirement. The rationale as to why 1 year is set should be documented in full, but should not be included in the recommendation itself. </w:t>
            </w:r>
          </w:p>
          <w:p w14:paraId="2ECA6242" w14:textId="6D79313D" w:rsidR="00D550AE" w:rsidRPr="002860E2" w:rsidRDefault="00D550AE" w:rsidP="00D550AE">
            <w:pPr>
              <w:pStyle w:val="ColorfulList-Accent11"/>
              <w:ind w:left="0"/>
              <w:rPr>
                <w:rFonts w:asciiTheme="minorHAnsi" w:hAnsiTheme="minorHAnsi"/>
                <w:sz w:val="20"/>
                <w:szCs w:val="20"/>
              </w:rPr>
            </w:pPr>
            <w:r w:rsidRPr="004D377C">
              <w:rPr>
                <w:rFonts w:asciiTheme="minorHAnsi" w:hAnsiTheme="minorHAnsi"/>
                <w:sz w:val="20"/>
                <w:szCs w:val="20"/>
              </w:rPr>
              <w:t xml:space="preserve">The recommendation should not preclude any registrar from choosing to retain data for a longer period of time than 1 year, in accordance with their specific business needs and applicable laws </w:t>
            </w:r>
            <w:proofErr w:type="gramStart"/>
            <w:r w:rsidRPr="004D377C">
              <w:rPr>
                <w:rFonts w:asciiTheme="minorHAnsi" w:hAnsiTheme="minorHAnsi"/>
                <w:sz w:val="20"/>
                <w:szCs w:val="20"/>
              </w:rPr>
              <w:t>For</w:t>
            </w:r>
            <w:proofErr w:type="gramEnd"/>
            <w:r w:rsidRPr="004D377C">
              <w:rPr>
                <w:rFonts w:asciiTheme="minorHAnsi" w:hAnsiTheme="minorHAnsi"/>
                <w:sz w:val="20"/>
                <w:szCs w:val="20"/>
              </w:rPr>
              <w:t xml:space="preserve"> the avoidance of doubt, any additional retention periods which a registrar may see fit to implement, will be the sole responsibility of that registrar.</w:t>
            </w:r>
          </w:p>
        </w:tc>
        <w:tc>
          <w:tcPr>
            <w:tcW w:w="2700" w:type="dxa"/>
          </w:tcPr>
          <w:p w14:paraId="252853D9" w14:textId="25A858C4" w:rsidR="00D550AE" w:rsidRPr="007B0793" w:rsidRDefault="00D550AE" w:rsidP="00D550AE">
            <w:pPr>
              <w:contextualSpacing/>
              <w:rPr>
                <w:rFonts w:asciiTheme="minorHAnsi" w:hAnsiTheme="minorHAnsi"/>
                <w:sz w:val="20"/>
                <w:szCs w:val="20"/>
              </w:rPr>
            </w:pPr>
            <w:r w:rsidRPr="007B0793">
              <w:rPr>
                <w:rFonts w:asciiTheme="minorHAnsi" w:hAnsiTheme="minorHAnsi"/>
                <w:sz w:val="20"/>
                <w:szCs w:val="20"/>
              </w:rPr>
              <w:t xml:space="preserve">Wim </w:t>
            </w:r>
            <w:proofErr w:type="spellStart"/>
            <w:proofErr w:type="gramStart"/>
            <w:r w:rsidRPr="007B0793">
              <w:rPr>
                <w:rFonts w:asciiTheme="minorHAnsi" w:hAnsiTheme="minorHAnsi"/>
                <w:sz w:val="20"/>
                <w:szCs w:val="20"/>
              </w:rPr>
              <w:t>Degezelle</w:t>
            </w:r>
            <w:proofErr w:type="spellEnd"/>
            <w:r w:rsidRPr="007B0793">
              <w:rPr>
                <w:rFonts w:asciiTheme="minorHAnsi" w:hAnsiTheme="minorHAnsi"/>
                <w:sz w:val="20"/>
                <w:szCs w:val="20"/>
              </w:rPr>
              <w:t xml:space="preserve"> ;</w:t>
            </w:r>
            <w:proofErr w:type="gramEnd"/>
            <w:r w:rsidRPr="007B0793">
              <w:rPr>
                <w:rFonts w:asciiTheme="minorHAnsi" w:hAnsiTheme="minorHAnsi"/>
                <w:sz w:val="20"/>
                <w:szCs w:val="20"/>
              </w:rPr>
              <w:t xml:space="preserve"> </w:t>
            </w:r>
            <w:proofErr w:type="spellStart"/>
            <w:r w:rsidRPr="007B0793">
              <w:rPr>
                <w:rFonts w:asciiTheme="minorHAnsi" w:hAnsiTheme="minorHAnsi"/>
                <w:sz w:val="20"/>
                <w:szCs w:val="20"/>
              </w:rPr>
              <w:t>RySG</w:t>
            </w:r>
            <w:proofErr w:type="spellEnd"/>
          </w:p>
        </w:tc>
        <w:tc>
          <w:tcPr>
            <w:tcW w:w="3960" w:type="dxa"/>
          </w:tcPr>
          <w:p w14:paraId="36A4BB7E" w14:textId="77777777" w:rsidR="00D550AE" w:rsidRPr="002860E2"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68B99F4C" w14:textId="77777777" w:rsidR="00D550AE" w:rsidRPr="002B3C04"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34210E3C" w14:textId="77777777" w:rsidR="00D550AE" w:rsidRPr="002860E2"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32BF5A7" w14:textId="77777777" w:rsidR="00D550AE" w:rsidRPr="002B3C04"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787BEA0C" w14:textId="77777777" w:rsidR="00D550AE" w:rsidRPr="002860E2" w:rsidRDefault="00D550AE" w:rsidP="00D550AE">
            <w:pPr>
              <w:contextualSpacing/>
              <w:rPr>
                <w:rFonts w:asciiTheme="minorHAnsi" w:hAnsiTheme="minorHAnsi"/>
                <w:sz w:val="20"/>
                <w:szCs w:val="20"/>
              </w:rPr>
            </w:pPr>
          </w:p>
          <w:p w14:paraId="44CEBB3B" w14:textId="77777777" w:rsidR="00D550AE" w:rsidRPr="002860E2" w:rsidRDefault="00D550AE" w:rsidP="00D550A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17256574" w14:textId="77777777" w:rsidR="00D550AE" w:rsidRPr="002860E2"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D550AE" w:rsidRPr="002860E2" w14:paraId="72C9E1BD" w14:textId="77777777" w:rsidTr="002657F2">
        <w:trPr>
          <w:cantSplit/>
        </w:trPr>
        <w:tc>
          <w:tcPr>
            <w:tcW w:w="675" w:type="dxa"/>
          </w:tcPr>
          <w:p w14:paraId="309A13A1" w14:textId="77777777" w:rsidR="00D550AE" w:rsidRPr="002860E2" w:rsidRDefault="00D550AE" w:rsidP="00D550AE">
            <w:pPr>
              <w:numPr>
                <w:ilvl w:val="0"/>
                <w:numId w:val="23"/>
              </w:numPr>
              <w:contextualSpacing/>
              <w:rPr>
                <w:rFonts w:asciiTheme="minorHAnsi" w:hAnsiTheme="minorHAnsi"/>
                <w:b/>
                <w:sz w:val="20"/>
                <w:szCs w:val="20"/>
              </w:rPr>
            </w:pPr>
          </w:p>
        </w:tc>
        <w:tc>
          <w:tcPr>
            <w:tcW w:w="8055" w:type="dxa"/>
          </w:tcPr>
          <w:p w14:paraId="40B064F9" w14:textId="77777777" w:rsidR="00D550AE" w:rsidRDefault="00D550AE" w:rsidP="00D550AE">
            <w:pPr>
              <w:pStyle w:val="ColorfulList-Accent11"/>
              <w:ind w:left="0"/>
              <w:rPr>
                <w:rFonts w:asciiTheme="minorHAnsi" w:hAnsiTheme="minorHAnsi"/>
                <w:sz w:val="20"/>
                <w:szCs w:val="20"/>
              </w:rPr>
            </w:pPr>
            <w:r w:rsidRPr="007C35F0">
              <w:rPr>
                <w:rFonts w:asciiTheme="minorHAnsi" w:hAnsiTheme="minorHAnsi"/>
                <w:sz w:val="20"/>
                <w:szCs w:val="20"/>
              </w:rPr>
              <w:t>The EPDP Team recommends that Registrars are required to retain the herein specified data elements for a period of three years following the life of the registration.</w:t>
            </w:r>
          </w:p>
          <w:p w14:paraId="0DEBA647" w14:textId="77777777" w:rsidR="00D550AE" w:rsidRDefault="00D550AE" w:rsidP="00D550AE">
            <w:pPr>
              <w:pStyle w:val="ColorfulList-Accent11"/>
              <w:ind w:left="0"/>
              <w:rPr>
                <w:rFonts w:asciiTheme="minorHAnsi" w:hAnsiTheme="minorHAnsi"/>
                <w:sz w:val="20"/>
                <w:szCs w:val="20"/>
              </w:rPr>
            </w:pPr>
          </w:p>
          <w:p w14:paraId="21EFC395" w14:textId="7F035089" w:rsidR="00D550AE" w:rsidRPr="002860E2" w:rsidRDefault="00D550AE" w:rsidP="00D550AE">
            <w:pPr>
              <w:pStyle w:val="ColorfulList-Accent11"/>
              <w:ind w:left="0"/>
              <w:rPr>
                <w:rFonts w:asciiTheme="minorHAnsi" w:hAnsiTheme="minorHAnsi"/>
                <w:sz w:val="20"/>
                <w:szCs w:val="20"/>
              </w:rPr>
            </w:pPr>
            <w:r w:rsidRPr="007C35F0">
              <w:rPr>
                <w:rFonts w:asciiTheme="minorHAnsi" w:hAnsiTheme="minorHAnsi"/>
                <w:sz w:val="20"/>
                <w:szCs w:val="20"/>
              </w:rPr>
              <w:t>ICANN itself recommends a longer period of 2 years.  Cybersecurity incidents have dwell time that can go years, as the recent Marriott/Starwood breach news proves.  Attack indicators can be discovered long after the attack itself, and after DNS resources are deleted.  Investigation, particularly when it involves law enforcement, can be lengthy.  It’s important that information on previously registered domains is retained for a useful period for security and law enforcement needs.  One year is simply not enough time for lookback needs.  The consistent utilization, by security and LEA personnel, of historic data from various 3rd party Whois services is testament to the need.</w:t>
            </w:r>
          </w:p>
        </w:tc>
        <w:tc>
          <w:tcPr>
            <w:tcW w:w="2700" w:type="dxa"/>
          </w:tcPr>
          <w:p w14:paraId="062EF889" w14:textId="77EA8F5D" w:rsidR="00D550AE" w:rsidRPr="007B0793" w:rsidRDefault="00D550AE" w:rsidP="00D550AE">
            <w:pPr>
              <w:contextualSpacing/>
              <w:rPr>
                <w:rFonts w:asciiTheme="minorHAnsi" w:hAnsiTheme="minorHAnsi"/>
                <w:sz w:val="20"/>
                <w:szCs w:val="20"/>
              </w:rPr>
            </w:pPr>
            <w:r w:rsidRPr="007B0793">
              <w:rPr>
                <w:rFonts w:asciiTheme="minorHAnsi" w:hAnsiTheme="minorHAnsi"/>
                <w:sz w:val="20"/>
                <w:szCs w:val="20"/>
              </w:rPr>
              <w:t>Brian King; IPC</w:t>
            </w:r>
          </w:p>
        </w:tc>
        <w:tc>
          <w:tcPr>
            <w:tcW w:w="3960" w:type="dxa"/>
          </w:tcPr>
          <w:p w14:paraId="49F19D6D" w14:textId="77777777" w:rsidR="00D550AE" w:rsidRPr="002860E2"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55313404" w14:textId="77777777" w:rsidR="00D550AE" w:rsidRPr="002B3C04"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5BA559FD" w14:textId="77777777" w:rsidR="00D550AE" w:rsidRPr="002860E2"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17A2542" w14:textId="77777777" w:rsidR="00D550AE" w:rsidRPr="002B3C04"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75F459D2" w14:textId="77777777" w:rsidR="00D550AE" w:rsidRPr="002860E2" w:rsidRDefault="00D550AE" w:rsidP="00D550AE">
            <w:pPr>
              <w:contextualSpacing/>
              <w:rPr>
                <w:rFonts w:asciiTheme="minorHAnsi" w:hAnsiTheme="minorHAnsi"/>
                <w:sz w:val="20"/>
                <w:szCs w:val="20"/>
              </w:rPr>
            </w:pPr>
          </w:p>
          <w:p w14:paraId="3A26CF71" w14:textId="77777777" w:rsidR="00D550AE" w:rsidRPr="002860E2" w:rsidRDefault="00D550AE" w:rsidP="00D550A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301453C" w14:textId="77777777" w:rsidR="00D550AE" w:rsidRPr="002860E2"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D550AE" w:rsidRPr="002860E2" w14:paraId="6CC29CEB" w14:textId="77777777" w:rsidTr="002657F2">
        <w:trPr>
          <w:cantSplit/>
        </w:trPr>
        <w:tc>
          <w:tcPr>
            <w:tcW w:w="675" w:type="dxa"/>
          </w:tcPr>
          <w:p w14:paraId="45E612C9" w14:textId="77777777" w:rsidR="00D550AE" w:rsidRPr="002860E2" w:rsidRDefault="00D550AE" w:rsidP="00D550AE">
            <w:pPr>
              <w:numPr>
                <w:ilvl w:val="0"/>
                <w:numId w:val="23"/>
              </w:numPr>
              <w:contextualSpacing/>
              <w:rPr>
                <w:rFonts w:asciiTheme="minorHAnsi" w:hAnsiTheme="minorHAnsi"/>
                <w:b/>
                <w:sz w:val="20"/>
                <w:szCs w:val="20"/>
              </w:rPr>
            </w:pPr>
          </w:p>
        </w:tc>
        <w:tc>
          <w:tcPr>
            <w:tcW w:w="8055" w:type="dxa"/>
          </w:tcPr>
          <w:p w14:paraId="3B3A99B1" w14:textId="77777777" w:rsidR="00D550AE" w:rsidRDefault="00D550AE" w:rsidP="00D550AE">
            <w:pPr>
              <w:pStyle w:val="ColorfulList-Accent11"/>
              <w:ind w:left="0"/>
              <w:rPr>
                <w:rFonts w:asciiTheme="minorHAnsi" w:hAnsiTheme="minorHAnsi"/>
                <w:sz w:val="20"/>
                <w:szCs w:val="20"/>
              </w:rPr>
            </w:pPr>
            <w:r w:rsidRPr="007C35F0">
              <w:rPr>
                <w:rFonts w:asciiTheme="minorHAnsi" w:hAnsiTheme="minorHAnsi"/>
                <w:sz w:val="20"/>
                <w:szCs w:val="20"/>
              </w:rPr>
              <w:t xml:space="preserve">The GAC notes that a number of Data protection laws call for retention periods to be only long enough as to carry out the lawful purposes. Within the EPDP process the members have noted the TDRP process requirements for at least the life of the domain plus one year to be able to fulfil its purposes. At least one year would typically be necessary to complete formal MLAT processes to request information from outside the requester’s jurisdiction.  ICANN’s compliance team also indicated during the Los Angeles face to face meeting that the life of the domain plus one year would meet most of their investigation timeframes but a few requests would fall outside of this time frame.    However, certain requests for information take place after the domain had been shut down.  These requests may involve serious crimes or relate to significant cyber security risks and a </w:t>
            </w:r>
            <w:proofErr w:type="gramStart"/>
            <w:r w:rsidRPr="007C35F0">
              <w:rPr>
                <w:rFonts w:asciiTheme="minorHAnsi" w:hAnsiTheme="minorHAnsi"/>
                <w:sz w:val="20"/>
                <w:szCs w:val="20"/>
              </w:rPr>
              <w:t>one year</w:t>
            </w:r>
            <w:proofErr w:type="gramEnd"/>
            <w:r w:rsidRPr="007C35F0">
              <w:rPr>
                <w:rFonts w:asciiTheme="minorHAnsi" w:hAnsiTheme="minorHAnsi"/>
                <w:sz w:val="20"/>
                <w:szCs w:val="20"/>
              </w:rPr>
              <w:t xml:space="preserve"> data retention period would likely be insufficient under these circumstances as stated in the GAC Feedback on Proposed Interim Models (28 January 2018).</w:t>
            </w:r>
          </w:p>
          <w:p w14:paraId="3BEA9400" w14:textId="77777777" w:rsidR="00D550AE" w:rsidRDefault="00D550AE" w:rsidP="00D550AE">
            <w:pPr>
              <w:pStyle w:val="ColorfulList-Accent11"/>
              <w:ind w:left="0"/>
              <w:rPr>
                <w:rFonts w:asciiTheme="minorHAnsi" w:hAnsiTheme="minorHAnsi"/>
                <w:sz w:val="20"/>
                <w:szCs w:val="20"/>
              </w:rPr>
            </w:pPr>
          </w:p>
          <w:p w14:paraId="266B7E11" w14:textId="357C52CA" w:rsidR="00D550AE" w:rsidRPr="002860E2" w:rsidRDefault="00D550AE" w:rsidP="00D550AE">
            <w:pPr>
              <w:pStyle w:val="ColorfulList-Accent11"/>
              <w:ind w:left="0"/>
              <w:rPr>
                <w:rFonts w:asciiTheme="minorHAnsi" w:hAnsiTheme="minorHAnsi"/>
                <w:sz w:val="20"/>
                <w:szCs w:val="20"/>
              </w:rPr>
            </w:pPr>
            <w:r w:rsidRPr="007C35F0">
              <w:rPr>
                <w:rFonts w:asciiTheme="minorHAnsi" w:hAnsiTheme="minorHAnsi"/>
                <w:sz w:val="20"/>
                <w:szCs w:val="20"/>
              </w:rPr>
              <w:t>The GAC requests that the EPDP team consider extending the period of retention of data when in receipt of a legitimate request.</w:t>
            </w:r>
          </w:p>
        </w:tc>
        <w:tc>
          <w:tcPr>
            <w:tcW w:w="2700" w:type="dxa"/>
          </w:tcPr>
          <w:p w14:paraId="04D00BE0" w14:textId="4C9A42ED" w:rsidR="00D550AE" w:rsidRPr="007B0793" w:rsidRDefault="00D550AE" w:rsidP="00D550AE">
            <w:pPr>
              <w:contextualSpacing/>
              <w:rPr>
                <w:rFonts w:asciiTheme="minorHAnsi" w:hAnsiTheme="minorHAnsi"/>
                <w:sz w:val="20"/>
                <w:szCs w:val="20"/>
              </w:rPr>
            </w:pPr>
            <w:r w:rsidRPr="007B0793">
              <w:rPr>
                <w:rFonts w:asciiTheme="minorHAnsi" w:hAnsiTheme="minorHAnsi"/>
                <w:sz w:val="20"/>
                <w:szCs w:val="20"/>
              </w:rPr>
              <w:t xml:space="preserve">Fabien </w:t>
            </w:r>
            <w:proofErr w:type="spellStart"/>
            <w:r w:rsidRPr="007B0793">
              <w:rPr>
                <w:rFonts w:asciiTheme="minorHAnsi" w:hAnsiTheme="minorHAnsi"/>
                <w:sz w:val="20"/>
                <w:szCs w:val="20"/>
              </w:rPr>
              <w:t>Betremieux</w:t>
            </w:r>
            <w:proofErr w:type="spellEnd"/>
            <w:r w:rsidRPr="007B0793">
              <w:rPr>
                <w:rFonts w:asciiTheme="minorHAnsi" w:hAnsiTheme="minorHAnsi"/>
                <w:sz w:val="20"/>
                <w:szCs w:val="20"/>
              </w:rPr>
              <w:t>; GAC</w:t>
            </w:r>
          </w:p>
        </w:tc>
        <w:tc>
          <w:tcPr>
            <w:tcW w:w="3960" w:type="dxa"/>
          </w:tcPr>
          <w:p w14:paraId="7DF0E927" w14:textId="77777777" w:rsidR="00D550AE" w:rsidRPr="002860E2"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1E2D8BD5" w14:textId="77777777" w:rsidR="00D550AE" w:rsidRPr="002B3C04"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545A3E39" w14:textId="77777777" w:rsidR="00D550AE" w:rsidRPr="002860E2"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2511F45D" w14:textId="77777777" w:rsidR="00D550AE" w:rsidRPr="002B3C04"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3CD85D97" w14:textId="77777777" w:rsidR="00D550AE" w:rsidRPr="002860E2" w:rsidRDefault="00D550AE" w:rsidP="00D550AE">
            <w:pPr>
              <w:contextualSpacing/>
              <w:rPr>
                <w:rFonts w:asciiTheme="minorHAnsi" w:hAnsiTheme="minorHAnsi"/>
                <w:sz w:val="20"/>
                <w:szCs w:val="20"/>
              </w:rPr>
            </w:pPr>
          </w:p>
          <w:p w14:paraId="538B4079" w14:textId="77777777" w:rsidR="00D550AE" w:rsidRPr="002860E2" w:rsidRDefault="00D550AE" w:rsidP="00D550A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3C643E9B" w14:textId="77777777" w:rsidR="00D550AE" w:rsidRPr="002860E2"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D550AE" w:rsidRPr="002860E2" w14:paraId="2FB142E8" w14:textId="77777777" w:rsidTr="008D7EE5">
        <w:trPr>
          <w:cantSplit/>
        </w:trPr>
        <w:tc>
          <w:tcPr>
            <w:tcW w:w="15390" w:type="dxa"/>
            <w:gridSpan w:val="4"/>
            <w:shd w:val="clear" w:color="auto" w:fill="FFFF00"/>
          </w:tcPr>
          <w:p w14:paraId="4A5B67FD" w14:textId="77777777" w:rsidR="00D550AE" w:rsidRPr="008D7EE5" w:rsidRDefault="00D550AE" w:rsidP="00D550AE">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sz w:val="22"/>
                <w:szCs w:val="22"/>
              </w:rPr>
              <w:t>Intent and wording of this recommendation requires amendment</w:t>
            </w:r>
          </w:p>
        </w:tc>
      </w:tr>
      <w:tr w:rsidR="00D550AE" w:rsidRPr="002860E2" w14:paraId="06CA3902" w14:textId="77777777" w:rsidTr="002657F2">
        <w:trPr>
          <w:cantSplit/>
        </w:trPr>
        <w:tc>
          <w:tcPr>
            <w:tcW w:w="675" w:type="dxa"/>
          </w:tcPr>
          <w:p w14:paraId="3E608AA2" w14:textId="77777777" w:rsidR="00D550AE" w:rsidRPr="002860E2" w:rsidRDefault="00D550AE" w:rsidP="00D550AE">
            <w:pPr>
              <w:numPr>
                <w:ilvl w:val="0"/>
                <w:numId w:val="23"/>
              </w:numPr>
              <w:contextualSpacing/>
              <w:rPr>
                <w:rFonts w:asciiTheme="minorHAnsi" w:hAnsiTheme="minorHAnsi"/>
                <w:b/>
                <w:sz w:val="20"/>
                <w:szCs w:val="20"/>
              </w:rPr>
            </w:pPr>
          </w:p>
        </w:tc>
        <w:tc>
          <w:tcPr>
            <w:tcW w:w="8055" w:type="dxa"/>
          </w:tcPr>
          <w:p w14:paraId="7757B592" w14:textId="77777777" w:rsidR="00D550AE" w:rsidRDefault="00D550AE" w:rsidP="00D550AE">
            <w:pPr>
              <w:pStyle w:val="ColorfulList-Accent11"/>
              <w:ind w:left="0"/>
              <w:rPr>
                <w:rFonts w:asciiTheme="minorHAnsi" w:hAnsiTheme="minorHAnsi"/>
                <w:sz w:val="20"/>
                <w:szCs w:val="20"/>
              </w:rPr>
            </w:pPr>
            <w:r w:rsidRPr="003A131D">
              <w:rPr>
                <w:rFonts w:asciiTheme="minorHAnsi" w:hAnsiTheme="minorHAnsi"/>
                <w:sz w:val="20"/>
                <w:szCs w:val="20"/>
              </w:rPr>
              <w:t>should be at least the 2 years recommended by ICANN, preferably longer.</w:t>
            </w:r>
          </w:p>
          <w:p w14:paraId="22CB801A" w14:textId="77777777" w:rsidR="00D550AE" w:rsidRDefault="00D550AE" w:rsidP="00D550AE">
            <w:pPr>
              <w:pStyle w:val="ColorfulList-Accent11"/>
              <w:ind w:left="0"/>
              <w:rPr>
                <w:rFonts w:asciiTheme="minorHAnsi" w:hAnsiTheme="minorHAnsi"/>
                <w:sz w:val="20"/>
                <w:szCs w:val="20"/>
              </w:rPr>
            </w:pPr>
          </w:p>
          <w:p w14:paraId="3CAD8A96" w14:textId="4C1F7F84" w:rsidR="00D550AE" w:rsidRPr="002860E2" w:rsidRDefault="00D550AE" w:rsidP="00D550AE">
            <w:pPr>
              <w:pStyle w:val="ColorfulList-Accent11"/>
              <w:ind w:left="0"/>
              <w:rPr>
                <w:rFonts w:asciiTheme="minorHAnsi" w:hAnsiTheme="minorHAnsi"/>
                <w:sz w:val="20"/>
                <w:szCs w:val="20"/>
              </w:rPr>
            </w:pPr>
            <w:proofErr w:type="spellStart"/>
            <w:r w:rsidRPr="003A131D">
              <w:rPr>
                <w:rFonts w:asciiTheme="minorHAnsi" w:hAnsiTheme="minorHAnsi"/>
                <w:sz w:val="20"/>
                <w:szCs w:val="20"/>
              </w:rPr>
              <w:t>DomainTools</w:t>
            </w:r>
            <w:proofErr w:type="spellEnd"/>
            <w:r w:rsidRPr="003A131D">
              <w:rPr>
                <w:rFonts w:asciiTheme="minorHAnsi" w:hAnsiTheme="minorHAnsi"/>
                <w:sz w:val="20"/>
                <w:szCs w:val="20"/>
              </w:rPr>
              <w:t xml:space="preserve"> knows how useful this data is and for how long, due to the actions of our security customers against our own historical Whois database.  1 year is not nearly long enough to support the legitimate interests outlined previously.</w:t>
            </w:r>
          </w:p>
        </w:tc>
        <w:tc>
          <w:tcPr>
            <w:tcW w:w="2700" w:type="dxa"/>
          </w:tcPr>
          <w:p w14:paraId="68AA828B" w14:textId="25010C8C" w:rsidR="00D550AE" w:rsidRPr="002860E2" w:rsidRDefault="00D550AE" w:rsidP="00D550AE">
            <w:pPr>
              <w:contextualSpacing/>
              <w:rPr>
                <w:rFonts w:asciiTheme="minorHAnsi" w:hAnsiTheme="minorHAnsi"/>
                <w:sz w:val="20"/>
                <w:szCs w:val="20"/>
              </w:rPr>
            </w:pPr>
            <w:r w:rsidRPr="003A131D">
              <w:rPr>
                <w:rFonts w:asciiTheme="minorHAnsi" w:hAnsiTheme="minorHAnsi"/>
                <w:sz w:val="20"/>
                <w:szCs w:val="20"/>
              </w:rPr>
              <w:t xml:space="preserve">Tim Chen; </w:t>
            </w:r>
            <w:proofErr w:type="spellStart"/>
            <w:r w:rsidRPr="003A131D">
              <w:rPr>
                <w:rFonts w:asciiTheme="minorHAnsi" w:hAnsiTheme="minorHAnsi"/>
                <w:sz w:val="20"/>
                <w:szCs w:val="20"/>
              </w:rPr>
              <w:t>DomainTools</w:t>
            </w:r>
            <w:proofErr w:type="spellEnd"/>
          </w:p>
        </w:tc>
        <w:tc>
          <w:tcPr>
            <w:tcW w:w="3960" w:type="dxa"/>
          </w:tcPr>
          <w:p w14:paraId="5BE06E21" w14:textId="77777777" w:rsidR="00D550AE" w:rsidRPr="002860E2"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4BEDD3F6" w14:textId="77777777" w:rsidR="00D550AE" w:rsidRPr="002B3C04"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7DE95463" w14:textId="77777777" w:rsidR="00D550AE" w:rsidRPr="002860E2"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B5759DD" w14:textId="77777777" w:rsidR="00D550AE" w:rsidRPr="002B3C04"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611F75E2" w14:textId="77777777" w:rsidR="00D550AE" w:rsidRPr="002860E2" w:rsidRDefault="00D550AE" w:rsidP="00D550AE">
            <w:pPr>
              <w:contextualSpacing/>
              <w:rPr>
                <w:rFonts w:asciiTheme="minorHAnsi" w:hAnsiTheme="minorHAnsi"/>
                <w:sz w:val="20"/>
                <w:szCs w:val="20"/>
              </w:rPr>
            </w:pPr>
          </w:p>
          <w:p w14:paraId="0EFA5006" w14:textId="77777777" w:rsidR="00D550AE" w:rsidRPr="002860E2" w:rsidRDefault="00D550AE" w:rsidP="00D550A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1CEB37D9" w14:textId="77777777" w:rsidR="00D550AE" w:rsidRPr="002860E2" w:rsidRDefault="00D550AE" w:rsidP="00D550AE">
            <w:pPr>
              <w:contextualSpacing/>
              <w:rPr>
                <w:rFonts w:asciiTheme="minorHAnsi" w:hAnsiTheme="minorHAnsi"/>
                <w:sz w:val="20"/>
                <w:szCs w:val="20"/>
              </w:rPr>
            </w:pPr>
          </w:p>
        </w:tc>
      </w:tr>
      <w:tr w:rsidR="00D550AE" w:rsidRPr="002860E2" w14:paraId="04498D81" w14:textId="77777777" w:rsidTr="002657F2">
        <w:trPr>
          <w:cantSplit/>
        </w:trPr>
        <w:tc>
          <w:tcPr>
            <w:tcW w:w="675" w:type="dxa"/>
          </w:tcPr>
          <w:p w14:paraId="16F9A58C" w14:textId="77777777" w:rsidR="00D550AE" w:rsidRPr="002860E2" w:rsidRDefault="00D550AE" w:rsidP="00D550AE">
            <w:pPr>
              <w:numPr>
                <w:ilvl w:val="0"/>
                <w:numId w:val="23"/>
              </w:numPr>
              <w:contextualSpacing/>
              <w:rPr>
                <w:rFonts w:asciiTheme="minorHAnsi" w:hAnsiTheme="minorHAnsi"/>
                <w:b/>
                <w:sz w:val="20"/>
                <w:szCs w:val="20"/>
              </w:rPr>
            </w:pPr>
          </w:p>
        </w:tc>
        <w:tc>
          <w:tcPr>
            <w:tcW w:w="8055" w:type="dxa"/>
          </w:tcPr>
          <w:p w14:paraId="6B58DEE3" w14:textId="77777777" w:rsidR="00D550AE" w:rsidRDefault="00D550AE" w:rsidP="00D550AE">
            <w:pPr>
              <w:pStyle w:val="ColorfulList-Accent11"/>
              <w:ind w:left="0"/>
              <w:rPr>
                <w:rFonts w:asciiTheme="minorHAnsi" w:hAnsiTheme="minorHAnsi"/>
                <w:sz w:val="20"/>
                <w:szCs w:val="20"/>
              </w:rPr>
            </w:pPr>
            <w:r w:rsidRPr="003A131D">
              <w:rPr>
                <w:rFonts w:asciiTheme="minorHAnsi" w:hAnsiTheme="minorHAnsi"/>
                <w:sz w:val="20"/>
                <w:szCs w:val="20"/>
              </w:rPr>
              <w:t>Make the minimum retention at least 6 years, consistent with various statute of limitations in the real world for crimes (property theft, etc.).</w:t>
            </w:r>
          </w:p>
          <w:p w14:paraId="79FB50D5" w14:textId="77777777" w:rsidR="00D550AE" w:rsidRDefault="00D550AE" w:rsidP="00D550AE">
            <w:pPr>
              <w:pStyle w:val="ColorfulList-Accent11"/>
              <w:ind w:left="0"/>
              <w:rPr>
                <w:rFonts w:asciiTheme="minorHAnsi" w:hAnsiTheme="minorHAnsi"/>
                <w:sz w:val="20"/>
                <w:szCs w:val="20"/>
              </w:rPr>
            </w:pPr>
          </w:p>
          <w:p w14:paraId="11496D09" w14:textId="0FAF63BD" w:rsidR="00D550AE" w:rsidRPr="002860E2" w:rsidRDefault="00D550AE" w:rsidP="00D550AE">
            <w:pPr>
              <w:pStyle w:val="ColorfulList-Accent11"/>
              <w:ind w:left="0"/>
              <w:rPr>
                <w:rFonts w:asciiTheme="minorHAnsi" w:hAnsiTheme="minorHAnsi"/>
                <w:sz w:val="20"/>
                <w:szCs w:val="20"/>
              </w:rPr>
            </w:pPr>
            <w:r w:rsidRPr="003A131D">
              <w:rPr>
                <w:rFonts w:asciiTheme="minorHAnsi" w:hAnsiTheme="minorHAnsi"/>
                <w:sz w:val="20"/>
                <w:szCs w:val="20"/>
              </w:rPr>
              <w:t>The TDRP is not the only mechanism that exists for domain disputes. Courts can also be used (and for some crimes, there might not be any statute of limitation, and certainly longer than 1 year for property crimes). When domain name thefts/disputes occur, it's important to have a full audit trail of past WHOIS records, and the proposed policy would thwart that, because it would destroy data after 1 year of a registrar change (registrars often change when domains are stolen). Registrants should at a minimum be able to opt-in to a longer period, but the minimum period should be at least 6 years.</w:t>
            </w:r>
          </w:p>
        </w:tc>
        <w:tc>
          <w:tcPr>
            <w:tcW w:w="2700" w:type="dxa"/>
          </w:tcPr>
          <w:p w14:paraId="48E8BF12" w14:textId="054B4A07" w:rsidR="00D550AE" w:rsidRPr="002860E2" w:rsidRDefault="00D550AE" w:rsidP="00D550AE">
            <w:pPr>
              <w:contextualSpacing/>
              <w:rPr>
                <w:rFonts w:asciiTheme="minorHAnsi" w:hAnsiTheme="minorHAnsi"/>
                <w:sz w:val="20"/>
                <w:szCs w:val="20"/>
              </w:rPr>
            </w:pPr>
            <w:r w:rsidRPr="003A131D">
              <w:rPr>
                <w:rFonts w:asciiTheme="minorHAnsi" w:hAnsiTheme="minorHAnsi"/>
                <w:sz w:val="20"/>
                <w:szCs w:val="20"/>
              </w:rPr>
              <w:t xml:space="preserve">George </w:t>
            </w:r>
            <w:proofErr w:type="spellStart"/>
            <w:r w:rsidRPr="003A131D">
              <w:rPr>
                <w:rFonts w:asciiTheme="minorHAnsi" w:hAnsiTheme="minorHAnsi"/>
                <w:sz w:val="20"/>
                <w:szCs w:val="20"/>
              </w:rPr>
              <w:t>Kirikos</w:t>
            </w:r>
            <w:proofErr w:type="spellEnd"/>
            <w:r w:rsidRPr="003A131D">
              <w:rPr>
                <w:rFonts w:asciiTheme="minorHAnsi" w:hAnsiTheme="minorHAnsi"/>
                <w:sz w:val="20"/>
                <w:szCs w:val="20"/>
              </w:rPr>
              <w:t>; Leap of Faith Financial Services Inc.</w:t>
            </w:r>
          </w:p>
        </w:tc>
        <w:tc>
          <w:tcPr>
            <w:tcW w:w="3960" w:type="dxa"/>
          </w:tcPr>
          <w:p w14:paraId="31B55F39" w14:textId="77777777" w:rsidR="00D550AE" w:rsidRPr="002860E2"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1612CB00" w14:textId="77777777" w:rsidR="00D550AE" w:rsidRPr="002B3C04"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6A0288CD" w14:textId="77777777" w:rsidR="00D550AE" w:rsidRPr="002860E2"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E471D73" w14:textId="77777777" w:rsidR="00D550AE" w:rsidRPr="002B3C04"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0941C416" w14:textId="77777777" w:rsidR="00D550AE" w:rsidRPr="002860E2" w:rsidRDefault="00D550AE" w:rsidP="00D550AE">
            <w:pPr>
              <w:contextualSpacing/>
              <w:rPr>
                <w:rFonts w:asciiTheme="minorHAnsi" w:hAnsiTheme="minorHAnsi"/>
                <w:sz w:val="20"/>
                <w:szCs w:val="20"/>
              </w:rPr>
            </w:pPr>
          </w:p>
          <w:p w14:paraId="3B0C247C" w14:textId="77777777" w:rsidR="00D550AE" w:rsidRPr="002860E2" w:rsidRDefault="00D550AE" w:rsidP="00D550A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1FA47C84" w14:textId="77777777" w:rsidR="00D550AE" w:rsidRPr="002860E2" w:rsidRDefault="00D550AE" w:rsidP="00D550AE">
            <w:pPr>
              <w:contextualSpacing/>
              <w:rPr>
                <w:rFonts w:asciiTheme="minorHAnsi" w:hAnsiTheme="minorHAnsi"/>
                <w:sz w:val="20"/>
                <w:szCs w:val="20"/>
              </w:rPr>
            </w:pPr>
          </w:p>
        </w:tc>
      </w:tr>
      <w:tr w:rsidR="00D550AE" w:rsidRPr="002860E2" w14:paraId="6CACDF1B" w14:textId="77777777" w:rsidTr="002657F2">
        <w:trPr>
          <w:cantSplit/>
        </w:trPr>
        <w:tc>
          <w:tcPr>
            <w:tcW w:w="675" w:type="dxa"/>
          </w:tcPr>
          <w:p w14:paraId="1C71B60B" w14:textId="77777777" w:rsidR="00D550AE" w:rsidRPr="002860E2" w:rsidRDefault="00D550AE" w:rsidP="00D550AE">
            <w:pPr>
              <w:numPr>
                <w:ilvl w:val="0"/>
                <w:numId w:val="23"/>
              </w:numPr>
              <w:contextualSpacing/>
              <w:rPr>
                <w:rFonts w:asciiTheme="minorHAnsi" w:hAnsiTheme="minorHAnsi"/>
                <w:b/>
                <w:sz w:val="20"/>
                <w:szCs w:val="20"/>
              </w:rPr>
            </w:pPr>
          </w:p>
        </w:tc>
        <w:tc>
          <w:tcPr>
            <w:tcW w:w="8055" w:type="dxa"/>
          </w:tcPr>
          <w:p w14:paraId="3813A2C9" w14:textId="77777777" w:rsidR="00D550AE" w:rsidRDefault="00D550AE" w:rsidP="00D550AE">
            <w:pPr>
              <w:pStyle w:val="ColorfulList-Accent11"/>
              <w:ind w:left="0"/>
              <w:rPr>
                <w:rFonts w:asciiTheme="minorHAnsi" w:hAnsiTheme="minorHAnsi"/>
                <w:sz w:val="20"/>
                <w:szCs w:val="20"/>
              </w:rPr>
            </w:pPr>
            <w:r w:rsidRPr="003A131D">
              <w:rPr>
                <w:rFonts w:asciiTheme="minorHAnsi" w:hAnsiTheme="minorHAnsi"/>
                <w:sz w:val="20"/>
                <w:szCs w:val="20"/>
              </w:rPr>
              <w:t>The EPDP Team recommends that Registrars are required to retain the herein-specified data elements for a period of three years following the life of the registration.</w:t>
            </w:r>
          </w:p>
          <w:p w14:paraId="3FC62646" w14:textId="77777777" w:rsidR="00D550AE" w:rsidRDefault="00D550AE" w:rsidP="00D550AE">
            <w:pPr>
              <w:pStyle w:val="ColorfulList-Accent11"/>
              <w:ind w:left="0"/>
              <w:rPr>
                <w:rFonts w:asciiTheme="minorHAnsi" w:hAnsiTheme="minorHAnsi"/>
                <w:sz w:val="20"/>
                <w:szCs w:val="20"/>
              </w:rPr>
            </w:pPr>
          </w:p>
          <w:p w14:paraId="096EB55F" w14:textId="0577AFA5" w:rsidR="00D550AE" w:rsidRPr="002860E2" w:rsidRDefault="00D550AE" w:rsidP="00D550AE">
            <w:pPr>
              <w:pStyle w:val="ColorfulList-Accent11"/>
              <w:ind w:left="0"/>
              <w:rPr>
                <w:rFonts w:asciiTheme="minorHAnsi" w:hAnsiTheme="minorHAnsi"/>
                <w:sz w:val="20"/>
                <w:szCs w:val="20"/>
              </w:rPr>
            </w:pPr>
            <w:r w:rsidRPr="003A131D">
              <w:rPr>
                <w:rFonts w:asciiTheme="minorHAnsi" w:hAnsiTheme="minorHAnsi"/>
                <w:sz w:val="20"/>
                <w:szCs w:val="20"/>
              </w:rPr>
              <w:t>ICANN itself recommends a longer period of 2 years.  Cybersecurity incidents have dwell time that can go years, as the recent Marriott/Starwood breach news proves.  Attack indicators can be discovered long after the attack itself, and after DNS resources are deleted.  Investigation, particularly when it involves law enforcement, can be lengthy.  It’s important that information on previously registered domains is retained for a useful period for security and law enforcement needs.  One year is simply not enough time for lookback needs.  The consistent utilization, by security and law enforcement personnel, of historic data from various third party Whois services is testament to the need.</w:t>
            </w:r>
          </w:p>
        </w:tc>
        <w:tc>
          <w:tcPr>
            <w:tcW w:w="2700" w:type="dxa"/>
          </w:tcPr>
          <w:p w14:paraId="7730C54A" w14:textId="06FE8B6D" w:rsidR="00D550AE" w:rsidRPr="003A131D" w:rsidRDefault="00D550AE" w:rsidP="00D550AE">
            <w:pPr>
              <w:contextualSpacing/>
              <w:rPr>
                <w:rFonts w:asciiTheme="minorHAnsi" w:hAnsiTheme="minorHAnsi"/>
                <w:sz w:val="20"/>
                <w:szCs w:val="20"/>
              </w:rPr>
            </w:pPr>
            <w:r w:rsidRPr="003A131D">
              <w:rPr>
                <w:rFonts w:asciiTheme="minorHAnsi" w:hAnsiTheme="minorHAnsi"/>
                <w:sz w:val="20"/>
                <w:szCs w:val="20"/>
              </w:rPr>
              <w:t>Dean S. Marks; Coalition for Online Accountability</w:t>
            </w:r>
          </w:p>
        </w:tc>
        <w:tc>
          <w:tcPr>
            <w:tcW w:w="3960" w:type="dxa"/>
          </w:tcPr>
          <w:p w14:paraId="250DA889" w14:textId="18225E19" w:rsidR="00D550AE" w:rsidRPr="002860E2"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180764F7" w14:textId="77777777" w:rsidR="00D550AE" w:rsidRPr="002B3C04"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6EB91F5C" w14:textId="77777777" w:rsidR="00D550AE" w:rsidRPr="002860E2"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EF4FF23" w14:textId="77777777" w:rsidR="00D550AE" w:rsidRPr="002B3C04"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27ECBF27" w14:textId="77777777" w:rsidR="00D550AE" w:rsidRPr="002860E2" w:rsidRDefault="00D550AE" w:rsidP="00D550AE">
            <w:pPr>
              <w:contextualSpacing/>
              <w:rPr>
                <w:rFonts w:asciiTheme="minorHAnsi" w:hAnsiTheme="minorHAnsi"/>
                <w:sz w:val="20"/>
                <w:szCs w:val="20"/>
              </w:rPr>
            </w:pPr>
          </w:p>
          <w:p w14:paraId="406E020D" w14:textId="77777777" w:rsidR="00D550AE" w:rsidRPr="002860E2" w:rsidRDefault="00D550AE" w:rsidP="00D550A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751801E" w14:textId="77777777" w:rsidR="00D550AE" w:rsidRPr="002860E2" w:rsidRDefault="00D550AE" w:rsidP="00D550AE">
            <w:pPr>
              <w:contextualSpacing/>
              <w:rPr>
                <w:rFonts w:asciiTheme="minorHAnsi" w:hAnsiTheme="minorHAnsi"/>
                <w:sz w:val="20"/>
                <w:szCs w:val="20"/>
              </w:rPr>
            </w:pPr>
          </w:p>
        </w:tc>
      </w:tr>
      <w:tr w:rsidR="00D550AE" w:rsidRPr="002860E2" w14:paraId="43ECD52A" w14:textId="77777777" w:rsidTr="002657F2">
        <w:trPr>
          <w:cantSplit/>
        </w:trPr>
        <w:tc>
          <w:tcPr>
            <w:tcW w:w="675" w:type="dxa"/>
          </w:tcPr>
          <w:p w14:paraId="3EF7F157" w14:textId="77777777" w:rsidR="00D550AE" w:rsidRPr="002860E2" w:rsidRDefault="00D550AE" w:rsidP="00D550AE">
            <w:pPr>
              <w:numPr>
                <w:ilvl w:val="0"/>
                <w:numId w:val="23"/>
              </w:numPr>
              <w:contextualSpacing/>
              <w:rPr>
                <w:rFonts w:asciiTheme="minorHAnsi" w:hAnsiTheme="minorHAnsi"/>
                <w:b/>
                <w:sz w:val="20"/>
                <w:szCs w:val="20"/>
              </w:rPr>
            </w:pPr>
          </w:p>
        </w:tc>
        <w:tc>
          <w:tcPr>
            <w:tcW w:w="8055" w:type="dxa"/>
          </w:tcPr>
          <w:p w14:paraId="67840293" w14:textId="77777777" w:rsidR="00D550AE" w:rsidRPr="003A131D" w:rsidRDefault="00D550AE" w:rsidP="00D550AE">
            <w:pPr>
              <w:pStyle w:val="ColorfulList-Accent11"/>
              <w:ind w:left="30"/>
              <w:rPr>
                <w:rFonts w:asciiTheme="minorHAnsi" w:hAnsiTheme="minorHAnsi"/>
                <w:sz w:val="20"/>
                <w:szCs w:val="20"/>
              </w:rPr>
            </w:pPr>
            <w:r w:rsidRPr="003A131D">
              <w:rPr>
                <w:rFonts w:asciiTheme="minorHAnsi" w:hAnsiTheme="minorHAnsi"/>
                <w:sz w:val="20"/>
                <w:szCs w:val="20"/>
              </w:rPr>
              <w:t xml:space="preserve">The AG IS </w:t>
            </w:r>
            <w:proofErr w:type="gramStart"/>
            <w:r w:rsidRPr="003A131D">
              <w:rPr>
                <w:rFonts w:asciiTheme="minorHAnsi" w:hAnsiTheme="minorHAnsi"/>
                <w:sz w:val="20"/>
                <w:szCs w:val="20"/>
              </w:rPr>
              <w:t>believes</w:t>
            </w:r>
            <w:proofErr w:type="gramEnd"/>
            <w:r w:rsidRPr="003A131D">
              <w:rPr>
                <w:rFonts w:asciiTheme="minorHAnsi" w:hAnsiTheme="minorHAnsi"/>
                <w:sz w:val="20"/>
                <w:szCs w:val="20"/>
              </w:rPr>
              <w:t xml:space="preserve"> that the EPDP proposed one year data retention period is insufficient for important cybersecurity purposes that, like other legitimate interests, must be considered beyond use for Transfer Dispute Resolution Policy purposes. Offenders, including those responsible for significant security threats, inadvertently reveal crucial identifiers, often at the beginning of their career but also over time. Likewise, changes in a Whois record over the course of years provides important insight into not only cybersecurity investigations but also prevention of future attacks through correlation analysis. Consequently, the analysis of historical Whois data is part and parcel of most cybersecurity investigations. Over the years, there have been many examples of botnets, DDoS attacks, malware hosting, SPAM, and phishing campaigns that have been successfully uncovered because of Whois record correlation with data points older than a year.</w:t>
            </w:r>
          </w:p>
          <w:p w14:paraId="4E63BC22" w14:textId="77777777" w:rsidR="00D550AE" w:rsidRPr="003A131D" w:rsidRDefault="00D550AE" w:rsidP="00D550AE">
            <w:pPr>
              <w:pStyle w:val="ColorfulList-Accent11"/>
              <w:rPr>
                <w:rFonts w:asciiTheme="minorHAnsi" w:hAnsiTheme="minorHAnsi"/>
                <w:sz w:val="20"/>
                <w:szCs w:val="20"/>
              </w:rPr>
            </w:pPr>
          </w:p>
          <w:p w14:paraId="4341EF3A" w14:textId="6335526B" w:rsidR="00D550AE" w:rsidRPr="002860E2" w:rsidRDefault="00D550AE" w:rsidP="00D550AE">
            <w:pPr>
              <w:pStyle w:val="ColorfulList-Accent11"/>
              <w:ind w:left="0"/>
              <w:rPr>
                <w:rFonts w:asciiTheme="minorHAnsi" w:hAnsiTheme="minorHAnsi"/>
                <w:sz w:val="20"/>
                <w:szCs w:val="20"/>
              </w:rPr>
            </w:pPr>
            <w:r w:rsidRPr="003A131D">
              <w:rPr>
                <w:rFonts w:asciiTheme="minorHAnsi" w:hAnsiTheme="minorHAnsi"/>
                <w:sz w:val="20"/>
                <w:szCs w:val="20"/>
              </w:rPr>
              <w:t xml:space="preserve">For example, the perpetrator of a 2016 </w:t>
            </w:r>
            <w:proofErr w:type="spellStart"/>
            <w:r w:rsidRPr="003A131D">
              <w:rPr>
                <w:rFonts w:asciiTheme="minorHAnsi" w:hAnsiTheme="minorHAnsi"/>
                <w:sz w:val="20"/>
                <w:szCs w:val="20"/>
              </w:rPr>
              <w:t>Mirai</w:t>
            </w:r>
            <w:proofErr w:type="spellEnd"/>
            <w:r w:rsidRPr="003A131D">
              <w:rPr>
                <w:rFonts w:asciiTheme="minorHAnsi" w:hAnsiTheme="minorHAnsi"/>
                <w:sz w:val="20"/>
                <w:szCs w:val="20"/>
              </w:rPr>
              <w:t xml:space="preserve"> botnet offshoot attack on approximately a million Deutsche Telekom routers in Germany was discovered using historical Whois data that predated the attack by several years.  Accordingly, it is important to not only retain the most recent registration record but also all registration history for a long period of time. Recent examples suggest at least six years is necessary.</w:t>
            </w:r>
          </w:p>
        </w:tc>
        <w:tc>
          <w:tcPr>
            <w:tcW w:w="2700" w:type="dxa"/>
          </w:tcPr>
          <w:p w14:paraId="53836733" w14:textId="63D5EC10" w:rsidR="00D550AE" w:rsidRPr="002860E2" w:rsidRDefault="00D550AE" w:rsidP="00D550AE">
            <w:pPr>
              <w:contextualSpacing/>
              <w:rPr>
                <w:rFonts w:asciiTheme="minorHAnsi" w:hAnsiTheme="minorHAnsi"/>
                <w:sz w:val="20"/>
                <w:szCs w:val="20"/>
              </w:rPr>
            </w:pPr>
            <w:r w:rsidRPr="003A131D">
              <w:rPr>
                <w:rFonts w:asciiTheme="minorHAnsi" w:hAnsiTheme="minorHAnsi"/>
                <w:sz w:val="20"/>
                <w:szCs w:val="20"/>
              </w:rPr>
              <w:t xml:space="preserve">Greg </w:t>
            </w:r>
            <w:proofErr w:type="spellStart"/>
            <w:r w:rsidRPr="003A131D">
              <w:rPr>
                <w:rFonts w:asciiTheme="minorHAnsi" w:hAnsiTheme="minorHAnsi"/>
                <w:sz w:val="20"/>
                <w:szCs w:val="20"/>
              </w:rPr>
              <w:t>Mounier</w:t>
            </w:r>
            <w:proofErr w:type="spellEnd"/>
            <w:r w:rsidRPr="003A131D">
              <w:rPr>
                <w:rFonts w:asciiTheme="minorHAnsi" w:hAnsiTheme="minorHAnsi"/>
                <w:sz w:val="20"/>
                <w:szCs w:val="20"/>
              </w:rPr>
              <w:t xml:space="preserve"> on behalf of Europol AGIS; Europol Advisory Group on Internet Security</w:t>
            </w:r>
          </w:p>
        </w:tc>
        <w:tc>
          <w:tcPr>
            <w:tcW w:w="3960" w:type="dxa"/>
          </w:tcPr>
          <w:p w14:paraId="731AF547" w14:textId="0EB71A38" w:rsidR="00D550AE" w:rsidRPr="002860E2"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6C409841" w14:textId="4EA336BE" w:rsidR="00D550AE" w:rsidRPr="002B3C04"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The EPDP considered the designation of “</w:t>
            </w:r>
            <w:r w:rsidRPr="00E35BCD">
              <w:rPr>
                <w:rFonts w:asciiTheme="minorHAnsi" w:eastAsia="Times New Roman" w:hAnsiTheme="minorHAnsi"/>
                <w:color w:val="000000"/>
                <w:sz w:val="20"/>
                <w:szCs w:val="20"/>
              </w:rPr>
              <w:t>Intent and wording of this recommendation requires amendment</w:t>
            </w:r>
            <w:r>
              <w:rPr>
                <w:rFonts w:asciiTheme="minorHAnsi" w:eastAsia="Times New Roman" w:hAnsiTheme="minorHAnsi"/>
                <w:color w:val="000000"/>
                <w:sz w:val="20"/>
                <w:szCs w:val="20"/>
              </w:rPr>
              <w:t>”</w:t>
            </w:r>
          </w:p>
          <w:p w14:paraId="051DF25F" w14:textId="77777777" w:rsidR="00D550AE" w:rsidRPr="002860E2"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8E7EA9F" w14:textId="42C3F5DA" w:rsidR="00D550AE" w:rsidRPr="002B3C04"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b/>
                <w:color w:val="000000"/>
                <w:sz w:val="20"/>
                <w:szCs w:val="20"/>
              </w:rPr>
              <w:t xml:space="preserve">  </w:t>
            </w:r>
            <w:r w:rsidRPr="00E35BCD">
              <w:rPr>
                <w:rFonts w:asciiTheme="minorHAnsi" w:eastAsia="Times New Roman" w:hAnsiTheme="minorHAnsi"/>
                <w:color w:val="000000"/>
                <w:sz w:val="20"/>
                <w:szCs w:val="20"/>
              </w:rPr>
              <w:t xml:space="preserve">none </w:t>
            </w:r>
          </w:p>
          <w:p w14:paraId="2420B3E0" w14:textId="77777777" w:rsidR="00D550AE" w:rsidRPr="002860E2" w:rsidRDefault="00D550AE" w:rsidP="00D550AE">
            <w:pPr>
              <w:contextualSpacing/>
              <w:rPr>
                <w:rFonts w:asciiTheme="minorHAnsi" w:hAnsiTheme="minorHAnsi"/>
                <w:sz w:val="20"/>
                <w:szCs w:val="20"/>
              </w:rPr>
            </w:pPr>
          </w:p>
          <w:p w14:paraId="15A15140" w14:textId="3520EFDE" w:rsidR="00D550AE" w:rsidRPr="002860E2" w:rsidRDefault="00D550AE" w:rsidP="00D550A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68B6B28E" w14:textId="77777777" w:rsidR="00D550AE" w:rsidRPr="002860E2" w:rsidRDefault="00D550AE" w:rsidP="00D550AE">
            <w:pPr>
              <w:contextualSpacing/>
              <w:rPr>
                <w:rFonts w:asciiTheme="minorHAnsi" w:hAnsiTheme="minorHAnsi"/>
                <w:sz w:val="20"/>
                <w:szCs w:val="20"/>
              </w:rPr>
            </w:pPr>
          </w:p>
        </w:tc>
      </w:tr>
      <w:tr w:rsidR="00D550AE" w:rsidRPr="002860E2" w14:paraId="78E0DA12" w14:textId="77777777" w:rsidTr="002657F2">
        <w:trPr>
          <w:cantSplit/>
        </w:trPr>
        <w:tc>
          <w:tcPr>
            <w:tcW w:w="675" w:type="dxa"/>
          </w:tcPr>
          <w:p w14:paraId="625088FA" w14:textId="77777777" w:rsidR="00D550AE" w:rsidRPr="002860E2" w:rsidRDefault="00D550AE" w:rsidP="00D550AE">
            <w:pPr>
              <w:numPr>
                <w:ilvl w:val="0"/>
                <w:numId w:val="23"/>
              </w:numPr>
              <w:contextualSpacing/>
              <w:rPr>
                <w:rFonts w:asciiTheme="minorHAnsi" w:hAnsiTheme="minorHAnsi"/>
                <w:b/>
                <w:sz w:val="20"/>
                <w:szCs w:val="20"/>
              </w:rPr>
            </w:pPr>
          </w:p>
        </w:tc>
        <w:tc>
          <w:tcPr>
            <w:tcW w:w="8055" w:type="dxa"/>
          </w:tcPr>
          <w:p w14:paraId="2FCB13C2" w14:textId="77777777" w:rsidR="00D550AE" w:rsidRPr="003A131D" w:rsidRDefault="00D550AE" w:rsidP="00D550AE">
            <w:pPr>
              <w:pStyle w:val="ColorfulList-Accent11"/>
              <w:ind w:left="30"/>
              <w:rPr>
                <w:rFonts w:asciiTheme="minorHAnsi" w:hAnsiTheme="minorHAnsi"/>
                <w:sz w:val="20"/>
                <w:szCs w:val="20"/>
              </w:rPr>
            </w:pPr>
            <w:r w:rsidRPr="003A131D">
              <w:rPr>
                <w:rFonts w:asciiTheme="minorHAnsi" w:hAnsiTheme="minorHAnsi"/>
                <w:sz w:val="20"/>
                <w:szCs w:val="20"/>
              </w:rPr>
              <w:t xml:space="preserve">Further to our observations on ICANN’s request for feedback on Proposed Interim Models for Compliance with ICANN Agreements and Policies in Relation to the GDPR, a one-year data retention practice would risk harming legitimate investigations.  </w:t>
            </w:r>
          </w:p>
          <w:p w14:paraId="1CC1C7A1" w14:textId="77777777" w:rsidR="00D550AE" w:rsidRPr="003A131D" w:rsidRDefault="00D550AE" w:rsidP="00D550AE">
            <w:pPr>
              <w:pStyle w:val="ColorfulList-Accent11"/>
              <w:ind w:left="30"/>
              <w:rPr>
                <w:rFonts w:asciiTheme="minorHAnsi" w:hAnsiTheme="minorHAnsi"/>
                <w:sz w:val="20"/>
                <w:szCs w:val="20"/>
              </w:rPr>
            </w:pPr>
          </w:p>
          <w:p w14:paraId="51143046" w14:textId="77777777" w:rsidR="00D550AE" w:rsidRPr="003A131D" w:rsidRDefault="00D550AE" w:rsidP="00D550AE">
            <w:pPr>
              <w:pStyle w:val="ColorfulList-Accent11"/>
              <w:ind w:left="30"/>
              <w:rPr>
                <w:rFonts w:asciiTheme="minorHAnsi" w:hAnsiTheme="minorHAnsi"/>
                <w:sz w:val="20"/>
                <w:szCs w:val="20"/>
              </w:rPr>
            </w:pPr>
            <w:r w:rsidRPr="003A131D">
              <w:rPr>
                <w:rFonts w:asciiTheme="minorHAnsi" w:hAnsiTheme="minorHAnsi"/>
                <w:sz w:val="20"/>
                <w:szCs w:val="20"/>
              </w:rPr>
              <w:t>ICANN may recall that other industries’ (e.g., accounting and legal) data retention best practices generally point to seven years as a guide.</w:t>
            </w:r>
          </w:p>
          <w:p w14:paraId="46A3C2B3" w14:textId="0E8CBD88" w:rsidR="00D550AE" w:rsidRPr="002860E2" w:rsidRDefault="00D550AE" w:rsidP="00D550AE">
            <w:pPr>
              <w:pStyle w:val="ColorfulList-Accent11"/>
              <w:ind w:left="0"/>
              <w:rPr>
                <w:rFonts w:asciiTheme="minorHAnsi" w:hAnsiTheme="minorHAnsi"/>
                <w:sz w:val="20"/>
                <w:szCs w:val="20"/>
              </w:rPr>
            </w:pPr>
            <w:r w:rsidRPr="003A131D">
              <w:rPr>
                <w:rFonts w:asciiTheme="minorHAnsi" w:hAnsiTheme="minorHAnsi"/>
                <w:sz w:val="20"/>
                <w:szCs w:val="20"/>
              </w:rPr>
              <w:t xml:space="preserve"> (See e.g., www.sec.gov/rules/final/33-8180.htm, and www.vantageinsurance.co.uk/assets/files/atrisk/September%202011.pdf.)</w:t>
            </w:r>
          </w:p>
        </w:tc>
        <w:tc>
          <w:tcPr>
            <w:tcW w:w="2700" w:type="dxa"/>
          </w:tcPr>
          <w:p w14:paraId="13712BBD" w14:textId="3262DECE" w:rsidR="00D550AE" w:rsidRPr="00E35BCD" w:rsidRDefault="00D550AE" w:rsidP="00D550AE">
            <w:pPr>
              <w:contextualSpacing/>
              <w:rPr>
                <w:rFonts w:asciiTheme="minorHAnsi" w:hAnsiTheme="minorHAnsi"/>
                <w:sz w:val="20"/>
                <w:szCs w:val="20"/>
              </w:rPr>
            </w:pPr>
            <w:r w:rsidRPr="003A131D">
              <w:rPr>
                <w:rFonts w:asciiTheme="minorHAnsi" w:hAnsiTheme="minorHAnsi"/>
                <w:sz w:val="20"/>
                <w:szCs w:val="20"/>
              </w:rPr>
              <w:t>Brian Beckham; Head, Internet Dispute Resolution Section at WIPO</w:t>
            </w:r>
          </w:p>
        </w:tc>
        <w:tc>
          <w:tcPr>
            <w:tcW w:w="3960" w:type="dxa"/>
          </w:tcPr>
          <w:p w14:paraId="1804341E" w14:textId="77777777" w:rsidR="00D550AE" w:rsidRPr="002860E2"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w:t>
            </w:r>
          </w:p>
          <w:p w14:paraId="74502FC6" w14:textId="77777777" w:rsidR="00D550AE" w:rsidRPr="002B3C04"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4345A6B5" w14:textId="77777777" w:rsidR="00D550AE" w:rsidRPr="002860E2"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2193742" w14:textId="77777777" w:rsidR="00D550AE" w:rsidRPr="002B3C04"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7C69C015" w14:textId="77777777" w:rsidR="00D550AE" w:rsidRPr="002860E2" w:rsidRDefault="00D550AE" w:rsidP="00D550AE">
            <w:pPr>
              <w:contextualSpacing/>
              <w:rPr>
                <w:rFonts w:asciiTheme="minorHAnsi" w:hAnsiTheme="minorHAnsi"/>
                <w:sz w:val="20"/>
                <w:szCs w:val="20"/>
              </w:rPr>
            </w:pPr>
          </w:p>
          <w:p w14:paraId="7FFACF0D" w14:textId="77777777" w:rsidR="00D550AE" w:rsidRPr="002860E2" w:rsidRDefault="00D550AE" w:rsidP="00D550A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7A7BBE9" w14:textId="77777777" w:rsidR="00D550AE" w:rsidRPr="002860E2"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D550AE" w:rsidRPr="002860E2" w14:paraId="6404843D" w14:textId="77777777" w:rsidTr="008D7EE5">
        <w:trPr>
          <w:cantSplit/>
        </w:trPr>
        <w:tc>
          <w:tcPr>
            <w:tcW w:w="15390" w:type="dxa"/>
            <w:gridSpan w:val="4"/>
            <w:shd w:val="clear" w:color="auto" w:fill="FF0000"/>
          </w:tcPr>
          <w:p w14:paraId="6FBA9574" w14:textId="77777777" w:rsidR="00D550AE" w:rsidRPr="008D7EE5" w:rsidRDefault="00D550AE" w:rsidP="00D550AE">
            <w:pPr>
              <w:pStyle w:val="ColorfulList-Accent11"/>
              <w:ind w:left="0"/>
              <w:rPr>
                <w:rFonts w:asciiTheme="minorHAnsi" w:eastAsia="Times New Roman" w:hAnsiTheme="minorHAnsi"/>
                <w:b/>
                <w:color w:val="000000"/>
                <w:sz w:val="22"/>
                <w:szCs w:val="22"/>
                <w:shd w:val="clear" w:color="auto" w:fill="FF9900"/>
              </w:rPr>
            </w:pPr>
            <w:r w:rsidRPr="002B3C04">
              <w:rPr>
                <w:rFonts w:asciiTheme="minorHAnsi" w:hAnsiTheme="minorHAnsi"/>
                <w:b/>
                <w:color w:val="FFFFFF" w:themeColor="background1"/>
                <w:sz w:val="22"/>
                <w:szCs w:val="22"/>
              </w:rPr>
              <w:t>Delete recommendation</w:t>
            </w:r>
          </w:p>
        </w:tc>
      </w:tr>
      <w:tr w:rsidR="00D550AE" w:rsidRPr="002860E2" w14:paraId="0EBDA36E" w14:textId="77777777" w:rsidTr="002657F2">
        <w:trPr>
          <w:cantSplit/>
        </w:trPr>
        <w:tc>
          <w:tcPr>
            <w:tcW w:w="675" w:type="dxa"/>
          </w:tcPr>
          <w:p w14:paraId="1C52172B" w14:textId="77777777" w:rsidR="00D550AE" w:rsidRPr="002860E2" w:rsidRDefault="00D550AE" w:rsidP="00D550AE">
            <w:pPr>
              <w:numPr>
                <w:ilvl w:val="0"/>
                <w:numId w:val="23"/>
              </w:numPr>
              <w:contextualSpacing/>
              <w:rPr>
                <w:rFonts w:asciiTheme="minorHAnsi" w:hAnsiTheme="minorHAnsi"/>
                <w:b/>
                <w:sz w:val="20"/>
                <w:szCs w:val="20"/>
              </w:rPr>
            </w:pPr>
          </w:p>
        </w:tc>
        <w:tc>
          <w:tcPr>
            <w:tcW w:w="8055" w:type="dxa"/>
          </w:tcPr>
          <w:p w14:paraId="4F3A27B8" w14:textId="09117D04" w:rsidR="00D550AE" w:rsidRPr="002860E2" w:rsidRDefault="00D550AE" w:rsidP="00D550AE">
            <w:pPr>
              <w:pStyle w:val="ColorfulList-Accent11"/>
              <w:ind w:left="0"/>
              <w:rPr>
                <w:rFonts w:asciiTheme="minorHAnsi" w:hAnsiTheme="minorHAnsi"/>
                <w:sz w:val="20"/>
                <w:szCs w:val="20"/>
              </w:rPr>
            </w:pPr>
            <w:r w:rsidRPr="003A131D">
              <w:rPr>
                <w:rFonts w:asciiTheme="minorHAnsi" w:hAnsiTheme="minorHAnsi"/>
                <w:sz w:val="20"/>
                <w:szCs w:val="20"/>
              </w:rPr>
              <w:t>Language needs to be added to cater for data retention waivers</w:t>
            </w:r>
          </w:p>
        </w:tc>
        <w:tc>
          <w:tcPr>
            <w:tcW w:w="2700" w:type="dxa"/>
          </w:tcPr>
          <w:p w14:paraId="0512A09A" w14:textId="5F6B3DC0" w:rsidR="00D550AE" w:rsidRPr="002860E2" w:rsidRDefault="00D550AE" w:rsidP="00D550AE">
            <w:pPr>
              <w:contextualSpacing/>
              <w:rPr>
                <w:rFonts w:asciiTheme="minorHAnsi" w:hAnsiTheme="minorHAnsi"/>
                <w:sz w:val="20"/>
                <w:szCs w:val="20"/>
              </w:rPr>
            </w:pPr>
            <w:r w:rsidRPr="003A131D">
              <w:rPr>
                <w:rFonts w:asciiTheme="minorHAnsi" w:hAnsiTheme="minorHAnsi"/>
                <w:sz w:val="20"/>
                <w:szCs w:val="20"/>
              </w:rPr>
              <w:t>Michele Neylon; Blacknight Internet Solutions Ltd</w:t>
            </w:r>
          </w:p>
        </w:tc>
        <w:tc>
          <w:tcPr>
            <w:tcW w:w="3960" w:type="dxa"/>
          </w:tcPr>
          <w:p w14:paraId="36A7F6DB" w14:textId="4FC45673" w:rsidR="00D550AE" w:rsidRPr="002860E2"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0000"/>
              </w:rPr>
              <w:t>Divergence</w:t>
            </w:r>
          </w:p>
          <w:p w14:paraId="64B61143" w14:textId="77777777" w:rsidR="00D550AE" w:rsidRPr="002B3C04"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37C13226" w14:textId="77777777" w:rsidR="00D550AE" w:rsidRPr="002860E2"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09ADAA7C" w14:textId="77777777" w:rsidR="00D550AE" w:rsidRPr="002B3C04"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6671FFE1" w14:textId="77777777" w:rsidR="00D550AE" w:rsidRPr="002860E2" w:rsidRDefault="00D550AE" w:rsidP="00D550AE">
            <w:pPr>
              <w:contextualSpacing/>
              <w:rPr>
                <w:rFonts w:asciiTheme="minorHAnsi" w:hAnsiTheme="minorHAnsi"/>
                <w:sz w:val="20"/>
                <w:szCs w:val="20"/>
              </w:rPr>
            </w:pPr>
          </w:p>
          <w:p w14:paraId="3E725AB7" w14:textId="77777777" w:rsidR="00D550AE" w:rsidRPr="002860E2" w:rsidRDefault="00D550AE" w:rsidP="00D550A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440F019C" w14:textId="77777777" w:rsidR="00D550AE" w:rsidRPr="002860E2" w:rsidRDefault="00D550AE" w:rsidP="00D550AE">
            <w:pPr>
              <w:contextualSpacing/>
              <w:rPr>
                <w:rFonts w:asciiTheme="minorHAnsi" w:hAnsiTheme="minorHAnsi"/>
                <w:sz w:val="20"/>
                <w:szCs w:val="20"/>
              </w:rPr>
            </w:pPr>
          </w:p>
        </w:tc>
      </w:tr>
      <w:tr w:rsidR="00D550AE" w:rsidRPr="002860E2" w14:paraId="0FE5EC4A" w14:textId="77777777" w:rsidTr="000B5015">
        <w:trPr>
          <w:cantSplit/>
        </w:trPr>
        <w:tc>
          <w:tcPr>
            <w:tcW w:w="15390" w:type="dxa"/>
            <w:gridSpan w:val="4"/>
            <w:shd w:val="clear" w:color="auto" w:fill="DAEEF3" w:themeFill="accent5" w:themeFillTint="33"/>
          </w:tcPr>
          <w:p w14:paraId="6B8CB418" w14:textId="77777777" w:rsidR="00D550AE" w:rsidRPr="002860E2"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r w:rsidRPr="000B5015">
              <w:rPr>
                <w:rFonts w:asciiTheme="minorHAnsi" w:hAnsiTheme="minorHAnsi"/>
                <w:b/>
                <w:color w:val="000000" w:themeColor="text1"/>
                <w:sz w:val="22"/>
                <w:szCs w:val="22"/>
              </w:rPr>
              <w:t>Not designated</w:t>
            </w:r>
          </w:p>
        </w:tc>
      </w:tr>
      <w:tr w:rsidR="00D550AE" w:rsidRPr="002860E2" w14:paraId="13F8475F" w14:textId="77777777" w:rsidTr="002657F2">
        <w:trPr>
          <w:cantSplit/>
        </w:trPr>
        <w:tc>
          <w:tcPr>
            <w:tcW w:w="675" w:type="dxa"/>
          </w:tcPr>
          <w:p w14:paraId="02A69832" w14:textId="77777777" w:rsidR="00D550AE" w:rsidRPr="002860E2" w:rsidRDefault="00D550AE" w:rsidP="00D550AE">
            <w:pPr>
              <w:numPr>
                <w:ilvl w:val="0"/>
                <w:numId w:val="23"/>
              </w:numPr>
              <w:contextualSpacing/>
              <w:rPr>
                <w:rFonts w:asciiTheme="minorHAnsi" w:hAnsiTheme="minorHAnsi"/>
                <w:b/>
                <w:sz w:val="20"/>
                <w:szCs w:val="20"/>
              </w:rPr>
            </w:pPr>
          </w:p>
        </w:tc>
        <w:tc>
          <w:tcPr>
            <w:tcW w:w="8055" w:type="dxa"/>
          </w:tcPr>
          <w:p w14:paraId="4C296A50" w14:textId="77777777" w:rsidR="00D550AE" w:rsidRPr="002860E2" w:rsidRDefault="00D550AE" w:rsidP="00D550AE">
            <w:pPr>
              <w:pStyle w:val="ColorfulList-Accent11"/>
              <w:ind w:left="0"/>
              <w:rPr>
                <w:rFonts w:asciiTheme="minorHAnsi" w:hAnsiTheme="minorHAnsi"/>
                <w:sz w:val="20"/>
                <w:szCs w:val="20"/>
              </w:rPr>
            </w:pPr>
            <w:r>
              <w:rPr>
                <w:rFonts w:asciiTheme="minorHAnsi" w:hAnsiTheme="minorHAnsi"/>
                <w:sz w:val="20"/>
                <w:szCs w:val="20"/>
              </w:rPr>
              <w:t>No selection made and no additional comments submitted</w:t>
            </w:r>
          </w:p>
          <w:p w14:paraId="6BE06916" w14:textId="77777777" w:rsidR="00D550AE" w:rsidRPr="002860E2" w:rsidRDefault="00D550AE" w:rsidP="00D550AE">
            <w:pPr>
              <w:pStyle w:val="ColorfulList-Accent11"/>
              <w:ind w:left="0"/>
              <w:rPr>
                <w:rFonts w:asciiTheme="minorHAnsi" w:hAnsiTheme="minorHAnsi"/>
                <w:sz w:val="20"/>
                <w:szCs w:val="20"/>
              </w:rPr>
            </w:pPr>
          </w:p>
          <w:p w14:paraId="1B2C62A9" w14:textId="77777777" w:rsidR="00D550AE" w:rsidRPr="002860E2" w:rsidRDefault="00D550AE" w:rsidP="00D550AE">
            <w:pPr>
              <w:pStyle w:val="ColorfulList-Accent11"/>
              <w:ind w:left="0"/>
              <w:rPr>
                <w:rFonts w:asciiTheme="minorHAnsi" w:hAnsiTheme="minorHAnsi"/>
                <w:sz w:val="20"/>
                <w:szCs w:val="20"/>
              </w:rPr>
            </w:pPr>
          </w:p>
          <w:p w14:paraId="10D1B601" w14:textId="77777777" w:rsidR="00D550AE" w:rsidRPr="002860E2" w:rsidRDefault="00D550AE" w:rsidP="00D550AE">
            <w:pPr>
              <w:pStyle w:val="ColorfulList-Accent11"/>
              <w:ind w:left="0"/>
              <w:rPr>
                <w:rFonts w:asciiTheme="minorHAnsi" w:hAnsiTheme="minorHAnsi"/>
                <w:sz w:val="20"/>
                <w:szCs w:val="20"/>
              </w:rPr>
            </w:pPr>
          </w:p>
        </w:tc>
        <w:tc>
          <w:tcPr>
            <w:tcW w:w="2700" w:type="dxa"/>
          </w:tcPr>
          <w:p w14:paraId="2EE8D159" w14:textId="77777777" w:rsidR="00D550AE" w:rsidRPr="003A131D" w:rsidRDefault="00D550AE" w:rsidP="00D550AE">
            <w:pPr>
              <w:pStyle w:val="ListParagraph"/>
              <w:numPr>
                <w:ilvl w:val="0"/>
                <w:numId w:val="41"/>
              </w:numPr>
              <w:ind w:left="336"/>
              <w:contextualSpacing/>
              <w:rPr>
                <w:rFonts w:asciiTheme="minorHAnsi" w:hAnsiTheme="minorHAnsi"/>
                <w:sz w:val="20"/>
                <w:szCs w:val="20"/>
              </w:rPr>
            </w:pPr>
            <w:r w:rsidRPr="003A131D">
              <w:rPr>
                <w:rFonts w:asciiTheme="minorHAnsi" w:hAnsiTheme="minorHAnsi"/>
                <w:sz w:val="20"/>
                <w:szCs w:val="20"/>
              </w:rPr>
              <w:t>Lori Schulman Senior Director, Internet Policy; International Trademark Association (INTA)</w:t>
            </w:r>
          </w:p>
          <w:p w14:paraId="34B4026C" w14:textId="77777777" w:rsidR="00D550AE" w:rsidRPr="003A131D" w:rsidRDefault="00D550AE" w:rsidP="00D550AE">
            <w:pPr>
              <w:pStyle w:val="ListParagraph"/>
              <w:numPr>
                <w:ilvl w:val="0"/>
                <w:numId w:val="41"/>
              </w:numPr>
              <w:ind w:left="336"/>
              <w:contextualSpacing/>
              <w:rPr>
                <w:rFonts w:asciiTheme="minorHAnsi" w:hAnsiTheme="minorHAnsi"/>
                <w:sz w:val="20"/>
                <w:szCs w:val="20"/>
              </w:rPr>
            </w:pPr>
            <w:r w:rsidRPr="003A131D">
              <w:rPr>
                <w:rFonts w:asciiTheme="minorHAnsi" w:hAnsiTheme="minorHAnsi"/>
                <w:sz w:val="20"/>
                <w:szCs w:val="20"/>
              </w:rPr>
              <w:t>Neil Fried; The Motion Picture Association of America</w:t>
            </w:r>
          </w:p>
          <w:p w14:paraId="78CDC0D3" w14:textId="77777777" w:rsidR="00D550AE" w:rsidRPr="003A131D" w:rsidRDefault="00D550AE" w:rsidP="00D550AE">
            <w:pPr>
              <w:pStyle w:val="ListParagraph"/>
              <w:numPr>
                <w:ilvl w:val="0"/>
                <w:numId w:val="41"/>
              </w:numPr>
              <w:ind w:left="336"/>
              <w:contextualSpacing/>
              <w:rPr>
                <w:rFonts w:asciiTheme="minorHAnsi" w:hAnsiTheme="minorHAnsi"/>
                <w:sz w:val="20"/>
                <w:szCs w:val="20"/>
              </w:rPr>
            </w:pPr>
            <w:r w:rsidRPr="003A131D">
              <w:rPr>
                <w:rFonts w:asciiTheme="minorHAnsi" w:hAnsiTheme="minorHAnsi"/>
                <w:sz w:val="20"/>
                <w:szCs w:val="20"/>
              </w:rPr>
              <w:t xml:space="preserve">Steve </w:t>
            </w:r>
            <w:proofErr w:type="spellStart"/>
            <w:r w:rsidRPr="003A131D">
              <w:rPr>
                <w:rFonts w:asciiTheme="minorHAnsi" w:hAnsiTheme="minorHAnsi"/>
                <w:sz w:val="20"/>
                <w:szCs w:val="20"/>
              </w:rPr>
              <w:t>Gobin</w:t>
            </w:r>
            <w:proofErr w:type="spellEnd"/>
            <w:r w:rsidRPr="003A131D">
              <w:rPr>
                <w:rFonts w:asciiTheme="minorHAnsi" w:hAnsiTheme="minorHAnsi"/>
                <w:sz w:val="20"/>
                <w:szCs w:val="20"/>
              </w:rPr>
              <w:t>; Corporate domain name management</w:t>
            </w:r>
          </w:p>
          <w:p w14:paraId="086B4575" w14:textId="77777777" w:rsidR="00D550AE" w:rsidRPr="003A131D" w:rsidRDefault="00D550AE" w:rsidP="00D550AE">
            <w:pPr>
              <w:pStyle w:val="ListParagraph"/>
              <w:numPr>
                <w:ilvl w:val="0"/>
                <w:numId w:val="41"/>
              </w:numPr>
              <w:ind w:left="336"/>
              <w:contextualSpacing/>
              <w:rPr>
                <w:rFonts w:asciiTheme="minorHAnsi" w:hAnsiTheme="minorHAnsi"/>
                <w:sz w:val="20"/>
                <w:szCs w:val="20"/>
              </w:rPr>
            </w:pPr>
            <w:r w:rsidRPr="003A131D">
              <w:rPr>
                <w:rFonts w:asciiTheme="minorHAnsi" w:hAnsiTheme="minorHAnsi"/>
                <w:sz w:val="20"/>
                <w:szCs w:val="20"/>
              </w:rPr>
              <w:t>Ashley Heineman; NTIA</w:t>
            </w:r>
          </w:p>
          <w:p w14:paraId="16545513" w14:textId="77777777" w:rsidR="00D550AE" w:rsidRPr="003A131D" w:rsidRDefault="00D550AE" w:rsidP="00D550AE">
            <w:pPr>
              <w:pStyle w:val="ListParagraph"/>
              <w:numPr>
                <w:ilvl w:val="0"/>
                <w:numId w:val="41"/>
              </w:numPr>
              <w:ind w:left="336"/>
              <w:contextualSpacing/>
              <w:rPr>
                <w:rFonts w:asciiTheme="minorHAnsi" w:hAnsiTheme="minorHAnsi"/>
                <w:sz w:val="20"/>
                <w:szCs w:val="20"/>
              </w:rPr>
            </w:pPr>
            <w:proofErr w:type="spellStart"/>
            <w:r w:rsidRPr="003A131D">
              <w:rPr>
                <w:rFonts w:asciiTheme="minorHAnsi" w:hAnsiTheme="minorHAnsi"/>
                <w:sz w:val="20"/>
                <w:szCs w:val="20"/>
              </w:rPr>
              <w:t>Sajda</w:t>
            </w:r>
            <w:proofErr w:type="spellEnd"/>
            <w:r w:rsidRPr="003A131D">
              <w:rPr>
                <w:rFonts w:asciiTheme="minorHAnsi" w:hAnsiTheme="minorHAnsi"/>
                <w:sz w:val="20"/>
                <w:szCs w:val="20"/>
              </w:rPr>
              <w:t xml:space="preserve"> </w:t>
            </w:r>
            <w:proofErr w:type="spellStart"/>
            <w:r w:rsidRPr="003A131D">
              <w:rPr>
                <w:rFonts w:asciiTheme="minorHAnsi" w:hAnsiTheme="minorHAnsi"/>
                <w:sz w:val="20"/>
                <w:szCs w:val="20"/>
              </w:rPr>
              <w:t>Ouachtouki</w:t>
            </w:r>
            <w:proofErr w:type="spellEnd"/>
            <w:r w:rsidRPr="003A131D">
              <w:rPr>
                <w:rFonts w:asciiTheme="minorHAnsi" w:hAnsiTheme="minorHAnsi"/>
                <w:sz w:val="20"/>
                <w:szCs w:val="20"/>
              </w:rPr>
              <w:t>; The Walt Disney Company</w:t>
            </w:r>
          </w:p>
          <w:p w14:paraId="3C507CE4" w14:textId="77777777" w:rsidR="00D550AE" w:rsidRPr="003A131D" w:rsidRDefault="00D550AE" w:rsidP="00D550AE">
            <w:pPr>
              <w:pStyle w:val="ListParagraph"/>
              <w:numPr>
                <w:ilvl w:val="0"/>
                <w:numId w:val="41"/>
              </w:numPr>
              <w:ind w:left="336"/>
              <w:contextualSpacing/>
              <w:rPr>
                <w:rFonts w:asciiTheme="minorHAnsi" w:hAnsiTheme="minorHAnsi"/>
                <w:sz w:val="20"/>
                <w:szCs w:val="20"/>
              </w:rPr>
            </w:pPr>
            <w:r w:rsidRPr="003A131D">
              <w:rPr>
                <w:rFonts w:asciiTheme="minorHAnsi" w:hAnsiTheme="minorHAnsi"/>
                <w:sz w:val="20"/>
                <w:szCs w:val="20"/>
              </w:rPr>
              <w:t xml:space="preserve">Monique A. </w:t>
            </w:r>
            <w:proofErr w:type="spellStart"/>
            <w:r w:rsidRPr="003A131D">
              <w:rPr>
                <w:rFonts w:asciiTheme="minorHAnsi" w:hAnsiTheme="minorHAnsi"/>
                <w:sz w:val="20"/>
                <w:szCs w:val="20"/>
              </w:rPr>
              <w:t>Goeschl</w:t>
            </w:r>
            <w:proofErr w:type="spellEnd"/>
            <w:r w:rsidRPr="003A131D">
              <w:rPr>
                <w:rFonts w:asciiTheme="minorHAnsi" w:hAnsiTheme="minorHAnsi"/>
                <w:sz w:val="20"/>
                <w:szCs w:val="20"/>
              </w:rPr>
              <w:t xml:space="preserve">; Verein </w:t>
            </w:r>
            <w:proofErr w:type="spellStart"/>
            <w:r w:rsidRPr="003A131D">
              <w:rPr>
                <w:rFonts w:asciiTheme="minorHAnsi" w:hAnsiTheme="minorHAnsi"/>
                <w:sz w:val="20"/>
                <w:szCs w:val="20"/>
              </w:rPr>
              <w:t>für</w:t>
            </w:r>
            <w:proofErr w:type="spellEnd"/>
            <w:r w:rsidRPr="003A131D">
              <w:rPr>
                <w:rFonts w:asciiTheme="minorHAnsi" w:hAnsiTheme="minorHAnsi"/>
                <w:sz w:val="20"/>
                <w:szCs w:val="20"/>
              </w:rPr>
              <w:t xml:space="preserve"> Anti-</w:t>
            </w:r>
            <w:proofErr w:type="spellStart"/>
            <w:r w:rsidRPr="003A131D">
              <w:rPr>
                <w:rFonts w:asciiTheme="minorHAnsi" w:hAnsiTheme="minorHAnsi"/>
                <w:sz w:val="20"/>
                <w:szCs w:val="20"/>
              </w:rPr>
              <w:t>Piraterie</w:t>
            </w:r>
            <w:proofErr w:type="spellEnd"/>
            <w:r w:rsidRPr="003A131D">
              <w:rPr>
                <w:rFonts w:asciiTheme="minorHAnsi" w:hAnsiTheme="minorHAnsi"/>
                <w:sz w:val="20"/>
                <w:szCs w:val="20"/>
              </w:rPr>
              <w:t xml:space="preserve"> der Film- und </w:t>
            </w:r>
            <w:proofErr w:type="spellStart"/>
            <w:r w:rsidRPr="003A131D">
              <w:rPr>
                <w:rFonts w:asciiTheme="minorHAnsi" w:hAnsiTheme="minorHAnsi"/>
                <w:sz w:val="20"/>
                <w:szCs w:val="20"/>
              </w:rPr>
              <w:t>Videobranche</w:t>
            </w:r>
            <w:proofErr w:type="spellEnd"/>
            <w:r w:rsidRPr="003A131D">
              <w:rPr>
                <w:rFonts w:asciiTheme="minorHAnsi" w:hAnsiTheme="minorHAnsi"/>
                <w:sz w:val="20"/>
                <w:szCs w:val="20"/>
              </w:rPr>
              <w:t xml:space="preserve"> (VAP)</w:t>
            </w:r>
          </w:p>
          <w:p w14:paraId="76D3F923" w14:textId="77777777" w:rsidR="00D550AE" w:rsidRPr="003A131D" w:rsidRDefault="00D550AE" w:rsidP="00D550AE">
            <w:pPr>
              <w:pStyle w:val="ListParagraph"/>
              <w:numPr>
                <w:ilvl w:val="0"/>
                <w:numId w:val="41"/>
              </w:numPr>
              <w:ind w:left="336"/>
              <w:contextualSpacing/>
              <w:rPr>
                <w:rFonts w:asciiTheme="minorHAnsi" w:hAnsiTheme="minorHAnsi"/>
                <w:sz w:val="20"/>
                <w:szCs w:val="20"/>
              </w:rPr>
            </w:pPr>
            <w:r w:rsidRPr="003A131D">
              <w:rPr>
                <w:rFonts w:asciiTheme="minorHAnsi" w:hAnsiTheme="minorHAnsi"/>
                <w:sz w:val="20"/>
                <w:szCs w:val="20"/>
              </w:rPr>
              <w:t xml:space="preserve">Theo </w:t>
            </w:r>
            <w:proofErr w:type="spellStart"/>
            <w:r w:rsidRPr="003A131D">
              <w:rPr>
                <w:rFonts w:asciiTheme="minorHAnsi" w:hAnsiTheme="minorHAnsi"/>
                <w:sz w:val="20"/>
                <w:szCs w:val="20"/>
              </w:rPr>
              <w:t>Geurts</w:t>
            </w:r>
            <w:proofErr w:type="spellEnd"/>
          </w:p>
          <w:p w14:paraId="3D09AA67" w14:textId="77777777" w:rsidR="00D550AE" w:rsidRPr="003A131D" w:rsidRDefault="00D550AE" w:rsidP="00D550AE">
            <w:pPr>
              <w:pStyle w:val="ListParagraph"/>
              <w:numPr>
                <w:ilvl w:val="0"/>
                <w:numId w:val="41"/>
              </w:numPr>
              <w:ind w:left="336"/>
              <w:contextualSpacing/>
              <w:rPr>
                <w:rFonts w:asciiTheme="minorHAnsi" w:hAnsiTheme="minorHAnsi"/>
                <w:sz w:val="20"/>
                <w:szCs w:val="20"/>
              </w:rPr>
            </w:pPr>
            <w:proofErr w:type="spellStart"/>
            <w:r w:rsidRPr="003A131D">
              <w:rPr>
                <w:rFonts w:asciiTheme="minorHAnsi" w:hAnsiTheme="minorHAnsi"/>
                <w:sz w:val="20"/>
                <w:szCs w:val="20"/>
              </w:rPr>
              <w:t>Ivett</w:t>
            </w:r>
            <w:proofErr w:type="spellEnd"/>
            <w:r w:rsidRPr="003A131D">
              <w:rPr>
                <w:rFonts w:asciiTheme="minorHAnsi" w:hAnsiTheme="minorHAnsi"/>
                <w:sz w:val="20"/>
                <w:szCs w:val="20"/>
              </w:rPr>
              <w:t xml:space="preserve"> </w:t>
            </w:r>
            <w:proofErr w:type="spellStart"/>
            <w:r w:rsidRPr="003A131D">
              <w:rPr>
                <w:rFonts w:asciiTheme="minorHAnsi" w:hAnsiTheme="minorHAnsi"/>
                <w:sz w:val="20"/>
                <w:szCs w:val="20"/>
              </w:rPr>
              <w:t>Paulovics</w:t>
            </w:r>
            <w:proofErr w:type="spellEnd"/>
            <w:r w:rsidRPr="003A131D">
              <w:rPr>
                <w:rFonts w:asciiTheme="minorHAnsi" w:hAnsiTheme="minorHAnsi"/>
                <w:sz w:val="20"/>
                <w:szCs w:val="20"/>
              </w:rPr>
              <w:t xml:space="preserve">; MFSD </w:t>
            </w:r>
            <w:proofErr w:type="spellStart"/>
            <w:r w:rsidRPr="003A131D">
              <w:rPr>
                <w:rFonts w:asciiTheme="minorHAnsi" w:hAnsiTheme="minorHAnsi"/>
                <w:sz w:val="20"/>
                <w:szCs w:val="20"/>
              </w:rPr>
              <w:t>Srl</w:t>
            </w:r>
            <w:proofErr w:type="spellEnd"/>
            <w:r w:rsidRPr="003A131D">
              <w:rPr>
                <w:rFonts w:asciiTheme="minorHAnsi" w:hAnsiTheme="minorHAnsi"/>
                <w:sz w:val="20"/>
                <w:szCs w:val="20"/>
              </w:rPr>
              <w:t xml:space="preserve"> URS Provider</w:t>
            </w:r>
          </w:p>
          <w:p w14:paraId="36DB0078" w14:textId="77777777" w:rsidR="00D550AE" w:rsidRPr="003A131D" w:rsidRDefault="00D550AE" w:rsidP="00D550AE">
            <w:pPr>
              <w:pStyle w:val="ListParagraph"/>
              <w:numPr>
                <w:ilvl w:val="0"/>
                <w:numId w:val="41"/>
              </w:numPr>
              <w:ind w:left="336"/>
              <w:contextualSpacing/>
              <w:rPr>
                <w:rFonts w:asciiTheme="minorHAnsi" w:hAnsiTheme="minorHAnsi"/>
                <w:sz w:val="20"/>
                <w:szCs w:val="20"/>
              </w:rPr>
            </w:pPr>
            <w:r w:rsidRPr="003A131D">
              <w:rPr>
                <w:rFonts w:asciiTheme="minorHAnsi" w:hAnsiTheme="minorHAnsi"/>
                <w:sz w:val="20"/>
                <w:szCs w:val="20"/>
              </w:rPr>
              <w:t xml:space="preserve">Ashley Roberts; </w:t>
            </w:r>
            <w:proofErr w:type="spellStart"/>
            <w:r w:rsidRPr="003A131D">
              <w:rPr>
                <w:rFonts w:asciiTheme="minorHAnsi" w:hAnsiTheme="minorHAnsi"/>
                <w:sz w:val="20"/>
                <w:szCs w:val="20"/>
              </w:rPr>
              <w:t>Valideus</w:t>
            </w:r>
            <w:proofErr w:type="spellEnd"/>
          </w:p>
          <w:p w14:paraId="0AADC746" w14:textId="77777777" w:rsidR="00D550AE" w:rsidRPr="003A131D" w:rsidRDefault="00D550AE" w:rsidP="00D550AE">
            <w:pPr>
              <w:pStyle w:val="ListParagraph"/>
              <w:numPr>
                <w:ilvl w:val="0"/>
                <w:numId w:val="41"/>
              </w:numPr>
              <w:ind w:left="336"/>
              <w:contextualSpacing/>
              <w:rPr>
                <w:rFonts w:asciiTheme="minorHAnsi" w:hAnsiTheme="minorHAnsi"/>
                <w:sz w:val="20"/>
                <w:szCs w:val="20"/>
              </w:rPr>
            </w:pPr>
            <w:r w:rsidRPr="003A131D">
              <w:rPr>
                <w:rFonts w:asciiTheme="minorHAnsi" w:hAnsiTheme="minorHAnsi"/>
                <w:sz w:val="20"/>
                <w:szCs w:val="20"/>
              </w:rPr>
              <w:t>Renee Fossen; Forum - URS and UDRP Provider</w:t>
            </w:r>
          </w:p>
          <w:p w14:paraId="583FF836" w14:textId="47C28D70" w:rsidR="00D550AE" w:rsidRPr="00E35BCD" w:rsidRDefault="00D550AE" w:rsidP="00D550AE">
            <w:pPr>
              <w:pStyle w:val="ListParagraph"/>
              <w:numPr>
                <w:ilvl w:val="0"/>
                <w:numId w:val="41"/>
              </w:numPr>
              <w:ind w:left="336"/>
              <w:contextualSpacing/>
              <w:rPr>
                <w:rFonts w:asciiTheme="minorHAnsi" w:hAnsiTheme="minorHAnsi"/>
                <w:sz w:val="20"/>
                <w:szCs w:val="20"/>
              </w:rPr>
            </w:pPr>
            <w:r w:rsidRPr="003A131D">
              <w:rPr>
                <w:rFonts w:asciiTheme="minorHAnsi" w:hAnsiTheme="minorHAnsi"/>
                <w:sz w:val="20"/>
                <w:szCs w:val="20"/>
              </w:rPr>
              <w:t>Stephanie Perrin</w:t>
            </w:r>
          </w:p>
        </w:tc>
        <w:tc>
          <w:tcPr>
            <w:tcW w:w="3960" w:type="dxa"/>
          </w:tcPr>
          <w:p w14:paraId="29222422" w14:textId="77777777" w:rsidR="00D550AE" w:rsidRPr="002860E2"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rPr>
              <w:t> </w:t>
            </w:r>
          </w:p>
          <w:p w14:paraId="1DD0F123" w14:textId="77777777" w:rsidR="00D550AE" w:rsidRPr="002B3C04"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none</w:t>
            </w:r>
          </w:p>
          <w:p w14:paraId="73BF9BCF" w14:textId="77777777" w:rsidR="00D550AE" w:rsidRPr="002860E2"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8C95B13" w14:textId="77777777" w:rsidR="00D550AE" w:rsidRPr="002B3C04" w:rsidRDefault="00D550AE" w:rsidP="00D55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14:paraId="7FB79994" w14:textId="77777777" w:rsidR="00D550AE" w:rsidRPr="002860E2" w:rsidRDefault="00D550AE" w:rsidP="00D550AE">
            <w:pPr>
              <w:contextualSpacing/>
              <w:rPr>
                <w:rFonts w:asciiTheme="minorHAnsi" w:hAnsiTheme="minorHAnsi"/>
                <w:sz w:val="20"/>
                <w:szCs w:val="20"/>
              </w:rPr>
            </w:pPr>
          </w:p>
          <w:p w14:paraId="418BAD04" w14:textId="77777777" w:rsidR="00D550AE" w:rsidRPr="002860E2" w:rsidRDefault="00D550AE" w:rsidP="00D550AE">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26793BCF" w14:textId="77777777" w:rsidR="00D550AE" w:rsidRPr="002860E2" w:rsidRDefault="00D550AE" w:rsidP="00D550AE">
            <w:pPr>
              <w:contextualSpacing/>
              <w:rPr>
                <w:rFonts w:asciiTheme="minorHAnsi" w:hAnsiTheme="minorHAnsi"/>
                <w:sz w:val="20"/>
                <w:szCs w:val="20"/>
              </w:rPr>
            </w:pPr>
          </w:p>
        </w:tc>
      </w:tr>
    </w:tbl>
    <w:p w14:paraId="36D6D2D1" w14:textId="32901ECF" w:rsidR="00676084" w:rsidRDefault="00676084" w:rsidP="00676084">
      <w:pPr>
        <w:rPr>
          <w:rFonts w:asciiTheme="minorHAnsi" w:hAnsiTheme="minorHAnsi"/>
        </w:rPr>
      </w:pPr>
    </w:p>
    <w:p w14:paraId="7785AC64" w14:textId="74E3226E" w:rsidR="001B466B" w:rsidRPr="002860E2" w:rsidRDefault="001B466B" w:rsidP="001B466B">
      <w:pPr>
        <w:pStyle w:val="Heading1"/>
        <w:shd w:val="clear" w:color="auto" w:fill="0A3251"/>
        <w:rPr>
          <w:rFonts w:asciiTheme="minorHAnsi" w:hAnsiTheme="minorHAnsi"/>
          <w:color w:val="FFFFFF" w:themeColor="background1"/>
        </w:rPr>
      </w:pPr>
      <w:r>
        <w:rPr>
          <w:rFonts w:asciiTheme="minorHAnsi" w:hAnsiTheme="minorHAnsi"/>
          <w:color w:val="FFFFFF" w:themeColor="background1"/>
        </w:rPr>
        <w:t>RECOMMENDATION</w:t>
      </w:r>
      <w:r w:rsidRPr="002860E2">
        <w:rPr>
          <w:rFonts w:asciiTheme="minorHAnsi" w:hAnsiTheme="minorHAnsi"/>
          <w:color w:val="FFFFFF" w:themeColor="background1"/>
        </w:rPr>
        <w:t xml:space="preserve"> </w:t>
      </w:r>
      <w:r>
        <w:rPr>
          <w:rFonts w:asciiTheme="minorHAnsi" w:hAnsiTheme="minorHAnsi"/>
          <w:color w:val="FFFFFF" w:themeColor="background1"/>
        </w:rPr>
        <w:t>11</w:t>
      </w:r>
      <w:r>
        <w:rPr>
          <w:rFonts w:asciiTheme="minorHAnsi" w:hAnsiTheme="minorHAnsi"/>
          <w:color w:val="FFFFFF" w:themeColor="background1"/>
        </w:rPr>
        <w:t xml:space="preserve"> – Additional Comments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B466B" w:rsidRPr="002860E2" w14:paraId="7299EA1E" w14:textId="77777777" w:rsidTr="009A1B45">
        <w:trPr>
          <w:tblHeader/>
        </w:trPr>
        <w:tc>
          <w:tcPr>
            <w:tcW w:w="675" w:type="dxa"/>
            <w:tcBorders>
              <w:bottom w:val="single" w:sz="4" w:space="0" w:color="000000"/>
            </w:tcBorders>
            <w:shd w:val="clear" w:color="auto" w:fill="1768B1"/>
          </w:tcPr>
          <w:p w14:paraId="5E336041" w14:textId="77777777" w:rsidR="001B466B" w:rsidRPr="002860E2" w:rsidRDefault="001B466B" w:rsidP="009A1B45">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14:paraId="7400750D" w14:textId="77777777" w:rsidR="001B466B" w:rsidRPr="002860E2" w:rsidRDefault="001B466B" w:rsidP="009A1B45">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14:paraId="509772F3" w14:textId="77777777" w:rsidR="001B466B" w:rsidRPr="002860E2" w:rsidRDefault="001B466B" w:rsidP="009A1B45">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14:paraId="5D21BE99" w14:textId="77777777" w:rsidR="001B466B" w:rsidRPr="002860E2" w:rsidRDefault="001B466B" w:rsidP="009A1B45">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Pr="002860E2">
              <w:rPr>
                <w:rFonts w:asciiTheme="minorHAnsi" w:hAnsiTheme="minorHAnsi"/>
                <w:b/>
                <w:color w:val="FFFFFF" w:themeColor="background1"/>
                <w:sz w:val="22"/>
                <w:szCs w:val="22"/>
              </w:rPr>
              <w:t xml:space="preserve"> Response / Action Taken</w:t>
            </w:r>
          </w:p>
        </w:tc>
      </w:tr>
      <w:tr w:rsidR="001B466B" w:rsidRPr="002860E2" w14:paraId="5E5A82C3" w14:textId="77777777" w:rsidTr="009A1B45">
        <w:trPr>
          <w:cantSplit/>
        </w:trPr>
        <w:tc>
          <w:tcPr>
            <w:tcW w:w="675" w:type="dxa"/>
          </w:tcPr>
          <w:p w14:paraId="15B76861" w14:textId="77777777" w:rsidR="001B466B" w:rsidRPr="002860E2" w:rsidRDefault="001B466B" w:rsidP="001B466B">
            <w:pPr>
              <w:numPr>
                <w:ilvl w:val="0"/>
                <w:numId w:val="23"/>
              </w:numPr>
              <w:contextualSpacing/>
              <w:rPr>
                <w:rFonts w:asciiTheme="minorHAnsi" w:hAnsiTheme="minorHAnsi"/>
                <w:b/>
                <w:sz w:val="20"/>
                <w:szCs w:val="20"/>
              </w:rPr>
            </w:pPr>
          </w:p>
        </w:tc>
        <w:tc>
          <w:tcPr>
            <w:tcW w:w="8055" w:type="dxa"/>
          </w:tcPr>
          <w:p w14:paraId="10456037" w14:textId="77777777" w:rsidR="003A131D" w:rsidRPr="003A131D" w:rsidRDefault="003A131D" w:rsidP="003A131D">
            <w:pPr>
              <w:pStyle w:val="ColorfulList-Accent11"/>
              <w:ind w:left="0"/>
              <w:rPr>
                <w:rFonts w:asciiTheme="minorHAnsi" w:hAnsiTheme="minorHAnsi"/>
                <w:sz w:val="20"/>
                <w:szCs w:val="20"/>
              </w:rPr>
            </w:pPr>
            <w:r w:rsidRPr="003A131D">
              <w:rPr>
                <w:rFonts w:asciiTheme="minorHAnsi" w:hAnsiTheme="minorHAnsi"/>
                <w:sz w:val="20"/>
                <w:szCs w:val="20"/>
              </w:rPr>
              <w:t xml:space="preserve">Further to our observations on ICANN’s request for feedback on Proposed Interim Models for Compliance with ICANN Agreements and Policies in Relation to the GDPR, a one-year data retention practice would risk harming legitimate investigations.  </w:t>
            </w:r>
          </w:p>
          <w:p w14:paraId="5088CCA9" w14:textId="77777777" w:rsidR="003A131D" w:rsidRPr="003A131D" w:rsidRDefault="003A131D" w:rsidP="003A131D">
            <w:pPr>
              <w:pStyle w:val="ColorfulList-Accent11"/>
              <w:ind w:left="0"/>
              <w:rPr>
                <w:rFonts w:asciiTheme="minorHAnsi" w:hAnsiTheme="minorHAnsi"/>
                <w:sz w:val="20"/>
                <w:szCs w:val="20"/>
              </w:rPr>
            </w:pPr>
          </w:p>
          <w:p w14:paraId="2B204F74" w14:textId="77777777" w:rsidR="003A131D" w:rsidRPr="003A131D" w:rsidRDefault="003A131D" w:rsidP="003A131D">
            <w:pPr>
              <w:pStyle w:val="ColorfulList-Accent11"/>
              <w:ind w:left="0"/>
              <w:rPr>
                <w:rFonts w:asciiTheme="minorHAnsi" w:hAnsiTheme="minorHAnsi"/>
                <w:sz w:val="20"/>
                <w:szCs w:val="20"/>
              </w:rPr>
            </w:pPr>
            <w:r w:rsidRPr="003A131D">
              <w:rPr>
                <w:rFonts w:asciiTheme="minorHAnsi" w:hAnsiTheme="minorHAnsi"/>
                <w:sz w:val="20"/>
                <w:szCs w:val="20"/>
              </w:rPr>
              <w:t>ICANN may recall that other industries’ (e.g., accounting and legal) data retention best practices generally point to seven years as a guide.</w:t>
            </w:r>
          </w:p>
          <w:p w14:paraId="382BFEDF" w14:textId="1194E9BD" w:rsidR="001B466B" w:rsidRPr="00716069" w:rsidRDefault="003A131D" w:rsidP="003A131D">
            <w:pPr>
              <w:pStyle w:val="ColorfulList-Accent11"/>
              <w:ind w:left="0"/>
              <w:rPr>
                <w:rFonts w:asciiTheme="minorHAnsi" w:hAnsiTheme="minorHAnsi"/>
                <w:sz w:val="20"/>
                <w:szCs w:val="20"/>
              </w:rPr>
            </w:pPr>
            <w:r w:rsidRPr="003A131D">
              <w:rPr>
                <w:rFonts w:asciiTheme="minorHAnsi" w:hAnsiTheme="minorHAnsi"/>
                <w:sz w:val="20"/>
                <w:szCs w:val="20"/>
              </w:rPr>
              <w:t xml:space="preserve"> (See e.g., www.sec.gov/rules/final/33-8180.htm, and www.vantageinsurance.co.uk/assets/files/atrisk/September%202011.pdf.)</w:t>
            </w:r>
          </w:p>
        </w:tc>
        <w:tc>
          <w:tcPr>
            <w:tcW w:w="2700" w:type="dxa"/>
          </w:tcPr>
          <w:p w14:paraId="0ADD7C3E" w14:textId="138A3A86" w:rsidR="001B466B" w:rsidRPr="00716069" w:rsidRDefault="003A131D" w:rsidP="009A1B45">
            <w:pPr>
              <w:contextualSpacing/>
              <w:rPr>
                <w:rFonts w:asciiTheme="minorHAnsi" w:hAnsiTheme="minorHAnsi"/>
                <w:sz w:val="20"/>
                <w:szCs w:val="20"/>
              </w:rPr>
            </w:pPr>
            <w:r w:rsidRPr="003A131D">
              <w:rPr>
                <w:rFonts w:asciiTheme="minorHAnsi" w:hAnsiTheme="minorHAnsi"/>
                <w:sz w:val="20"/>
                <w:szCs w:val="20"/>
              </w:rPr>
              <w:t>Brian Beckham; Head, Internet Dispute Resolution Section at WIPO</w:t>
            </w:r>
          </w:p>
        </w:tc>
        <w:tc>
          <w:tcPr>
            <w:tcW w:w="3960" w:type="dxa"/>
          </w:tcPr>
          <w:p w14:paraId="6DF41815" w14:textId="77777777" w:rsidR="001B466B" w:rsidRPr="002860E2" w:rsidRDefault="001B466B"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484CDB5C" w14:textId="77777777" w:rsidR="001B466B" w:rsidRPr="002B3C04" w:rsidRDefault="001B466B"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47882A78" w14:textId="77777777" w:rsidR="001B466B" w:rsidRPr="002860E2" w:rsidRDefault="001B466B"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DD21376" w14:textId="77777777" w:rsidR="001B466B" w:rsidRPr="002B3C04" w:rsidRDefault="001B466B"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0F4175DB" w14:textId="77777777" w:rsidR="001B466B" w:rsidRPr="002860E2" w:rsidRDefault="001B466B" w:rsidP="009A1B45">
            <w:pPr>
              <w:contextualSpacing/>
              <w:rPr>
                <w:rFonts w:asciiTheme="minorHAnsi" w:hAnsiTheme="minorHAnsi"/>
                <w:sz w:val="20"/>
                <w:szCs w:val="20"/>
              </w:rPr>
            </w:pPr>
          </w:p>
          <w:p w14:paraId="5D52F9D2" w14:textId="77777777" w:rsidR="001B466B" w:rsidRPr="002860E2" w:rsidRDefault="001B466B" w:rsidP="009A1B45">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346CE05" w14:textId="77777777" w:rsidR="001B466B" w:rsidRPr="002860E2" w:rsidRDefault="001B466B"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highlight w:val="cyan"/>
                <w:shd w:val="clear" w:color="auto" w:fill="FF9900"/>
              </w:rPr>
            </w:pPr>
          </w:p>
        </w:tc>
      </w:tr>
      <w:tr w:rsidR="001B466B" w:rsidRPr="002860E2" w14:paraId="4718D3AE" w14:textId="77777777" w:rsidTr="009A1B45">
        <w:trPr>
          <w:cantSplit/>
        </w:trPr>
        <w:tc>
          <w:tcPr>
            <w:tcW w:w="675" w:type="dxa"/>
          </w:tcPr>
          <w:p w14:paraId="515750B9" w14:textId="77777777" w:rsidR="001B466B" w:rsidRPr="002860E2" w:rsidRDefault="001B466B" w:rsidP="001B466B">
            <w:pPr>
              <w:numPr>
                <w:ilvl w:val="0"/>
                <w:numId w:val="23"/>
              </w:numPr>
              <w:contextualSpacing/>
              <w:rPr>
                <w:rFonts w:asciiTheme="minorHAnsi" w:hAnsiTheme="minorHAnsi"/>
                <w:b/>
                <w:sz w:val="20"/>
                <w:szCs w:val="20"/>
              </w:rPr>
            </w:pPr>
          </w:p>
        </w:tc>
        <w:tc>
          <w:tcPr>
            <w:tcW w:w="8055" w:type="dxa"/>
          </w:tcPr>
          <w:p w14:paraId="1DC0B9E7" w14:textId="3E5E4053" w:rsidR="001B466B" w:rsidRPr="00716069" w:rsidRDefault="003A131D" w:rsidP="009A1B45">
            <w:pPr>
              <w:pStyle w:val="ColorfulList-Accent11"/>
              <w:ind w:left="0"/>
              <w:rPr>
                <w:rFonts w:asciiTheme="minorHAnsi" w:hAnsiTheme="minorHAnsi"/>
                <w:sz w:val="20"/>
                <w:szCs w:val="20"/>
              </w:rPr>
            </w:pPr>
            <w:r w:rsidRPr="003A131D">
              <w:rPr>
                <w:rFonts w:asciiTheme="minorHAnsi" w:hAnsiTheme="minorHAnsi"/>
                <w:sz w:val="20"/>
                <w:szCs w:val="20"/>
              </w:rPr>
              <w:t>ICANN recommends a longer period, 2 years. Cybersecurity incidents have dwell time that can go years, as recent breach news proves. Attack indicators can be discovered long after the attack itself, and after DNS resources are deleted. Investigation, particularly when it involves law enforcement, can be lengthy. It’s important that information on previously registered domains is retained for a useful period for security and law enforcement needs. One year is not enough time for lookback needs. The consistent utilization, by security and LEA personnel, of historic data from various 3rd party WHOIS services is testament to the need.</w:t>
            </w:r>
          </w:p>
        </w:tc>
        <w:tc>
          <w:tcPr>
            <w:tcW w:w="2700" w:type="dxa"/>
          </w:tcPr>
          <w:p w14:paraId="05A88D97" w14:textId="76C4B5BE" w:rsidR="001B466B" w:rsidRPr="00716069" w:rsidRDefault="003A131D" w:rsidP="009A1B45">
            <w:pPr>
              <w:contextualSpacing/>
              <w:rPr>
                <w:rFonts w:asciiTheme="minorHAnsi" w:hAnsiTheme="minorHAnsi"/>
                <w:sz w:val="20"/>
                <w:szCs w:val="20"/>
              </w:rPr>
            </w:pPr>
            <w:r w:rsidRPr="003A131D">
              <w:rPr>
                <w:rFonts w:asciiTheme="minorHAnsi" w:hAnsiTheme="minorHAnsi"/>
                <w:sz w:val="20"/>
                <w:szCs w:val="20"/>
              </w:rPr>
              <w:t xml:space="preserve">Brian King; </w:t>
            </w:r>
            <w:proofErr w:type="spellStart"/>
            <w:r w:rsidRPr="003A131D">
              <w:rPr>
                <w:rFonts w:asciiTheme="minorHAnsi" w:hAnsiTheme="minorHAnsi"/>
                <w:sz w:val="20"/>
                <w:szCs w:val="20"/>
              </w:rPr>
              <w:t>MarkMonitor</w:t>
            </w:r>
            <w:proofErr w:type="spellEnd"/>
            <w:r w:rsidRPr="003A131D">
              <w:rPr>
                <w:rFonts w:asciiTheme="minorHAnsi" w:hAnsiTheme="minorHAnsi"/>
                <w:sz w:val="20"/>
                <w:szCs w:val="20"/>
              </w:rPr>
              <w:t>, Inc., a Clarivate Analytics company</w:t>
            </w:r>
          </w:p>
        </w:tc>
        <w:tc>
          <w:tcPr>
            <w:tcW w:w="3960" w:type="dxa"/>
          </w:tcPr>
          <w:p w14:paraId="2E4C95F3" w14:textId="77777777" w:rsidR="001B466B" w:rsidRPr="002860E2" w:rsidRDefault="001B466B"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4B2158AE" w14:textId="77777777" w:rsidR="001B466B" w:rsidRPr="002B3C04" w:rsidRDefault="001B466B"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5953D70A" w14:textId="77777777" w:rsidR="001B466B" w:rsidRPr="002860E2" w:rsidRDefault="001B466B"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006D6D95" w14:textId="77777777" w:rsidR="001B466B" w:rsidRPr="002B3C04" w:rsidRDefault="001B466B"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0111A388" w14:textId="77777777" w:rsidR="001B466B" w:rsidRPr="002860E2" w:rsidRDefault="001B466B" w:rsidP="009A1B45">
            <w:pPr>
              <w:contextualSpacing/>
              <w:rPr>
                <w:rFonts w:asciiTheme="minorHAnsi" w:hAnsiTheme="minorHAnsi"/>
                <w:sz w:val="20"/>
                <w:szCs w:val="20"/>
              </w:rPr>
            </w:pPr>
          </w:p>
          <w:p w14:paraId="1CBB46F1" w14:textId="77777777" w:rsidR="001B466B" w:rsidRPr="002860E2" w:rsidRDefault="001B466B" w:rsidP="009A1B45">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79D42CF" w14:textId="77777777" w:rsidR="001B466B" w:rsidRPr="002860E2" w:rsidRDefault="001B466B"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highlight w:val="cyan"/>
                <w:shd w:val="clear" w:color="auto" w:fill="FF9900"/>
              </w:rPr>
            </w:pPr>
          </w:p>
        </w:tc>
      </w:tr>
      <w:tr w:rsidR="001B466B" w:rsidRPr="002860E2" w14:paraId="31B6AB32" w14:textId="77777777" w:rsidTr="009A1B45">
        <w:trPr>
          <w:cantSplit/>
        </w:trPr>
        <w:tc>
          <w:tcPr>
            <w:tcW w:w="675" w:type="dxa"/>
          </w:tcPr>
          <w:p w14:paraId="1E7D9F84" w14:textId="77777777" w:rsidR="001B466B" w:rsidRPr="002860E2" w:rsidRDefault="001B466B" w:rsidP="001B466B">
            <w:pPr>
              <w:numPr>
                <w:ilvl w:val="0"/>
                <w:numId w:val="23"/>
              </w:numPr>
              <w:contextualSpacing/>
              <w:rPr>
                <w:rFonts w:asciiTheme="minorHAnsi" w:hAnsiTheme="minorHAnsi"/>
                <w:b/>
                <w:sz w:val="20"/>
                <w:szCs w:val="20"/>
              </w:rPr>
            </w:pPr>
          </w:p>
        </w:tc>
        <w:tc>
          <w:tcPr>
            <w:tcW w:w="8055" w:type="dxa"/>
          </w:tcPr>
          <w:p w14:paraId="74AA8D41" w14:textId="77777777" w:rsidR="003A131D" w:rsidRPr="003A131D" w:rsidRDefault="003A131D" w:rsidP="003A131D">
            <w:pPr>
              <w:pStyle w:val="ColorfulList-Accent11"/>
              <w:ind w:left="0"/>
              <w:rPr>
                <w:rFonts w:asciiTheme="minorHAnsi" w:hAnsiTheme="minorHAnsi"/>
                <w:sz w:val="20"/>
                <w:szCs w:val="20"/>
              </w:rPr>
            </w:pPr>
            <w:r w:rsidRPr="003A131D">
              <w:rPr>
                <w:rFonts w:asciiTheme="minorHAnsi" w:hAnsiTheme="minorHAnsi"/>
                <w:sz w:val="20"/>
                <w:szCs w:val="20"/>
              </w:rPr>
              <w:t xml:space="preserve">The </w:t>
            </w:r>
            <w:proofErr w:type="spellStart"/>
            <w:r w:rsidRPr="003A131D">
              <w:rPr>
                <w:rFonts w:asciiTheme="minorHAnsi" w:hAnsiTheme="minorHAnsi"/>
                <w:sz w:val="20"/>
                <w:szCs w:val="20"/>
              </w:rPr>
              <w:t>RySG</w:t>
            </w:r>
            <w:proofErr w:type="spellEnd"/>
            <w:r w:rsidRPr="003A131D">
              <w:rPr>
                <w:rFonts w:asciiTheme="minorHAnsi" w:hAnsiTheme="minorHAnsi"/>
                <w:sz w:val="20"/>
                <w:szCs w:val="20"/>
              </w:rPr>
              <w:t xml:space="preserve"> cautions the over reliance on just identifying the limitation for the TDRP. Note that if a retention period is specifically linked to data retained for a specific purpose, data retained beyond the minimum, may ONLY be used for that purpose. Whereas we completely encourage the identification of the necessity for different limitation periods, thus linking retention to specific and measurable periods, the </w:t>
            </w:r>
            <w:proofErr w:type="spellStart"/>
            <w:r w:rsidRPr="003A131D">
              <w:rPr>
                <w:rFonts w:asciiTheme="minorHAnsi" w:hAnsiTheme="minorHAnsi"/>
                <w:sz w:val="20"/>
                <w:szCs w:val="20"/>
              </w:rPr>
              <w:t>ePDP</w:t>
            </w:r>
            <w:proofErr w:type="spellEnd"/>
            <w:r w:rsidRPr="003A131D">
              <w:rPr>
                <w:rFonts w:asciiTheme="minorHAnsi" w:hAnsiTheme="minorHAnsi"/>
                <w:sz w:val="20"/>
                <w:szCs w:val="20"/>
              </w:rPr>
              <w:t xml:space="preserve"> should compile all specific </w:t>
            </w:r>
            <w:proofErr w:type="gramStart"/>
            <w:r w:rsidRPr="003A131D">
              <w:rPr>
                <w:rFonts w:asciiTheme="minorHAnsi" w:hAnsiTheme="minorHAnsi"/>
                <w:sz w:val="20"/>
                <w:szCs w:val="20"/>
              </w:rPr>
              <w:t>grounding  limitation</w:t>
            </w:r>
            <w:proofErr w:type="gramEnd"/>
            <w:r w:rsidRPr="003A131D">
              <w:rPr>
                <w:rFonts w:asciiTheme="minorHAnsi" w:hAnsiTheme="minorHAnsi"/>
                <w:sz w:val="20"/>
                <w:szCs w:val="20"/>
              </w:rPr>
              <w:t xml:space="preserve"> periods to ensure the ongoing use for such purposes.  </w:t>
            </w:r>
          </w:p>
          <w:p w14:paraId="4DF9EEDF" w14:textId="77777777" w:rsidR="003A131D" w:rsidRPr="003A131D" w:rsidRDefault="003A131D" w:rsidP="003A131D">
            <w:pPr>
              <w:pStyle w:val="ColorfulList-Accent11"/>
              <w:ind w:left="0"/>
              <w:rPr>
                <w:rFonts w:asciiTheme="minorHAnsi" w:hAnsiTheme="minorHAnsi"/>
                <w:sz w:val="20"/>
                <w:szCs w:val="20"/>
              </w:rPr>
            </w:pPr>
          </w:p>
          <w:p w14:paraId="1B83AD5B" w14:textId="084DCF63" w:rsidR="001B466B" w:rsidRPr="00716069" w:rsidRDefault="003A131D" w:rsidP="003A131D">
            <w:pPr>
              <w:pStyle w:val="ColorfulList-Accent11"/>
              <w:ind w:left="0"/>
              <w:rPr>
                <w:rFonts w:asciiTheme="minorHAnsi" w:hAnsiTheme="minorHAnsi"/>
                <w:sz w:val="20"/>
                <w:szCs w:val="20"/>
              </w:rPr>
            </w:pPr>
            <w:r w:rsidRPr="003A131D">
              <w:rPr>
                <w:rFonts w:asciiTheme="minorHAnsi" w:hAnsiTheme="minorHAnsi"/>
                <w:sz w:val="20"/>
                <w:szCs w:val="20"/>
              </w:rPr>
              <w:t>Furthermore, the IRTP Policy Status Report is currently out for public comment and could lead to work that changes the TDRP retention period.</w:t>
            </w:r>
          </w:p>
        </w:tc>
        <w:tc>
          <w:tcPr>
            <w:tcW w:w="2700" w:type="dxa"/>
          </w:tcPr>
          <w:p w14:paraId="259E36E1" w14:textId="663F555B" w:rsidR="001B466B" w:rsidRPr="00716069" w:rsidRDefault="003A131D" w:rsidP="009A1B45">
            <w:pPr>
              <w:contextualSpacing/>
              <w:rPr>
                <w:rFonts w:asciiTheme="minorHAnsi" w:hAnsiTheme="minorHAnsi"/>
                <w:sz w:val="20"/>
                <w:szCs w:val="20"/>
              </w:rPr>
            </w:pPr>
            <w:r w:rsidRPr="003A131D">
              <w:rPr>
                <w:rFonts w:asciiTheme="minorHAnsi" w:hAnsiTheme="minorHAnsi"/>
                <w:sz w:val="20"/>
                <w:szCs w:val="20"/>
              </w:rPr>
              <w:t xml:space="preserve">Wim </w:t>
            </w:r>
            <w:proofErr w:type="spellStart"/>
            <w:proofErr w:type="gramStart"/>
            <w:r w:rsidRPr="003A131D">
              <w:rPr>
                <w:rFonts w:asciiTheme="minorHAnsi" w:hAnsiTheme="minorHAnsi"/>
                <w:sz w:val="20"/>
                <w:szCs w:val="20"/>
              </w:rPr>
              <w:t>Degezelle</w:t>
            </w:r>
            <w:proofErr w:type="spellEnd"/>
            <w:r w:rsidRPr="003A131D">
              <w:rPr>
                <w:rFonts w:asciiTheme="minorHAnsi" w:hAnsiTheme="minorHAnsi"/>
                <w:sz w:val="20"/>
                <w:szCs w:val="20"/>
              </w:rPr>
              <w:t xml:space="preserve"> ;</w:t>
            </w:r>
            <w:proofErr w:type="gramEnd"/>
            <w:r w:rsidRPr="003A131D">
              <w:rPr>
                <w:rFonts w:asciiTheme="minorHAnsi" w:hAnsiTheme="minorHAnsi"/>
                <w:sz w:val="20"/>
                <w:szCs w:val="20"/>
              </w:rPr>
              <w:t xml:space="preserve"> </w:t>
            </w:r>
            <w:proofErr w:type="spellStart"/>
            <w:r w:rsidRPr="003A131D">
              <w:rPr>
                <w:rFonts w:asciiTheme="minorHAnsi" w:hAnsiTheme="minorHAnsi"/>
                <w:sz w:val="20"/>
                <w:szCs w:val="20"/>
              </w:rPr>
              <w:t>RySG</w:t>
            </w:r>
            <w:proofErr w:type="spellEnd"/>
          </w:p>
        </w:tc>
        <w:tc>
          <w:tcPr>
            <w:tcW w:w="3960" w:type="dxa"/>
          </w:tcPr>
          <w:p w14:paraId="41AC1FC5" w14:textId="77777777" w:rsidR="001B466B" w:rsidRPr="002860E2" w:rsidRDefault="001B466B"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034B8DBB" w14:textId="77777777" w:rsidR="001B466B" w:rsidRPr="002B3C04" w:rsidRDefault="001B466B"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refer to like comments above in the “yes/no” sections</w:t>
            </w:r>
          </w:p>
          <w:p w14:paraId="0488E527" w14:textId="77777777" w:rsidR="001B466B" w:rsidRPr="002860E2" w:rsidRDefault="001B466B"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2CBAEB6" w14:textId="77777777" w:rsidR="001B466B" w:rsidRPr="002B3C04" w:rsidRDefault="001B466B"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none</w:t>
            </w:r>
          </w:p>
          <w:p w14:paraId="2AFA46AA" w14:textId="77777777" w:rsidR="001B466B" w:rsidRPr="002860E2" w:rsidRDefault="001B466B" w:rsidP="009A1B45">
            <w:pPr>
              <w:contextualSpacing/>
              <w:rPr>
                <w:rFonts w:asciiTheme="minorHAnsi" w:hAnsiTheme="minorHAnsi"/>
                <w:sz w:val="20"/>
                <w:szCs w:val="20"/>
              </w:rPr>
            </w:pPr>
          </w:p>
          <w:p w14:paraId="5E75A815" w14:textId="77777777" w:rsidR="001B466B" w:rsidRPr="002860E2" w:rsidRDefault="001B466B" w:rsidP="009A1B45">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w:t>
            </w:r>
            <w:r w:rsidRPr="002860E2">
              <w:rPr>
                <w:rFonts w:asciiTheme="minorHAnsi" w:hAnsiTheme="minorHAnsi"/>
                <w:sz w:val="20"/>
                <w:szCs w:val="20"/>
              </w:rPr>
              <w:t>]</w:t>
            </w:r>
          </w:p>
          <w:p w14:paraId="62BE184A" w14:textId="77777777" w:rsidR="001B466B" w:rsidRPr="002860E2" w:rsidRDefault="001B466B"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highlight w:val="cyan"/>
                <w:shd w:val="clear" w:color="auto" w:fill="FF9900"/>
              </w:rPr>
            </w:pPr>
          </w:p>
        </w:tc>
      </w:tr>
      <w:tr w:rsidR="001B466B" w:rsidRPr="002860E2" w14:paraId="11A0F7BC" w14:textId="77777777" w:rsidTr="009A1B45">
        <w:trPr>
          <w:cantSplit/>
        </w:trPr>
        <w:tc>
          <w:tcPr>
            <w:tcW w:w="675" w:type="dxa"/>
          </w:tcPr>
          <w:p w14:paraId="47D26E9C" w14:textId="77777777" w:rsidR="001B466B" w:rsidRPr="002860E2" w:rsidRDefault="001B466B" w:rsidP="001B466B">
            <w:pPr>
              <w:numPr>
                <w:ilvl w:val="0"/>
                <w:numId w:val="23"/>
              </w:numPr>
              <w:contextualSpacing/>
              <w:rPr>
                <w:rFonts w:asciiTheme="minorHAnsi" w:hAnsiTheme="minorHAnsi"/>
                <w:b/>
                <w:sz w:val="20"/>
                <w:szCs w:val="20"/>
              </w:rPr>
            </w:pPr>
          </w:p>
        </w:tc>
        <w:tc>
          <w:tcPr>
            <w:tcW w:w="8055" w:type="dxa"/>
          </w:tcPr>
          <w:p w14:paraId="6EEA4184" w14:textId="5F7067F1" w:rsidR="001B466B" w:rsidRPr="00716069" w:rsidRDefault="003A131D" w:rsidP="009A1B45">
            <w:pPr>
              <w:pStyle w:val="ColorfulList-Accent11"/>
              <w:ind w:left="0"/>
              <w:rPr>
                <w:rFonts w:asciiTheme="minorHAnsi" w:hAnsiTheme="minorHAnsi"/>
                <w:sz w:val="20"/>
                <w:szCs w:val="20"/>
              </w:rPr>
            </w:pPr>
            <w:r w:rsidRPr="003A131D">
              <w:rPr>
                <w:rFonts w:asciiTheme="minorHAnsi" w:hAnsiTheme="minorHAnsi"/>
                <w:sz w:val="20"/>
                <w:szCs w:val="20"/>
              </w:rPr>
              <w:t>The GAC requests that the EPDP team consider extending the period of retention of data when in receipt of a legitimate request.</w:t>
            </w:r>
          </w:p>
        </w:tc>
        <w:tc>
          <w:tcPr>
            <w:tcW w:w="2700" w:type="dxa"/>
          </w:tcPr>
          <w:p w14:paraId="2BE065E8" w14:textId="49716FF4" w:rsidR="001B466B" w:rsidRPr="00716069" w:rsidRDefault="003A131D" w:rsidP="009A1B45">
            <w:pPr>
              <w:contextualSpacing/>
              <w:rPr>
                <w:rFonts w:asciiTheme="minorHAnsi" w:hAnsiTheme="minorHAnsi"/>
                <w:sz w:val="20"/>
                <w:szCs w:val="20"/>
              </w:rPr>
            </w:pPr>
            <w:r w:rsidRPr="003A131D">
              <w:rPr>
                <w:rFonts w:asciiTheme="minorHAnsi" w:hAnsiTheme="minorHAnsi"/>
                <w:sz w:val="20"/>
                <w:szCs w:val="20"/>
              </w:rPr>
              <w:t xml:space="preserve">Fabien </w:t>
            </w:r>
            <w:proofErr w:type="spellStart"/>
            <w:r w:rsidRPr="003A131D">
              <w:rPr>
                <w:rFonts w:asciiTheme="minorHAnsi" w:hAnsiTheme="minorHAnsi"/>
                <w:sz w:val="20"/>
                <w:szCs w:val="20"/>
              </w:rPr>
              <w:t>Betremieux</w:t>
            </w:r>
            <w:proofErr w:type="spellEnd"/>
            <w:r w:rsidRPr="003A131D">
              <w:rPr>
                <w:rFonts w:asciiTheme="minorHAnsi" w:hAnsiTheme="minorHAnsi"/>
                <w:sz w:val="20"/>
                <w:szCs w:val="20"/>
              </w:rPr>
              <w:t>; GAC</w:t>
            </w:r>
          </w:p>
        </w:tc>
        <w:tc>
          <w:tcPr>
            <w:tcW w:w="3960" w:type="dxa"/>
          </w:tcPr>
          <w:p w14:paraId="5AB23FFC" w14:textId="77777777" w:rsidR="001B466B" w:rsidRPr="002860E2" w:rsidRDefault="001B466B"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034D8410" w14:textId="77777777" w:rsidR="001B466B" w:rsidRPr="002B3C04" w:rsidRDefault="001B466B"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4FD0014D" w14:textId="77777777" w:rsidR="001B466B" w:rsidRPr="002860E2" w:rsidRDefault="001B466B"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9CEB63F" w14:textId="77777777" w:rsidR="001B466B" w:rsidRPr="002B3C04" w:rsidRDefault="001B466B"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0A32867A" w14:textId="77777777" w:rsidR="001B466B" w:rsidRPr="002860E2" w:rsidRDefault="001B466B" w:rsidP="009A1B45">
            <w:pPr>
              <w:contextualSpacing/>
              <w:rPr>
                <w:rFonts w:asciiTheme="minorHAnsi" w:hAnsiTheme="minorHAnsi"/>
                <w:sz w:val="20"/>
                <w:szCs w:val="20"/>
              </w:rPr>
            </w:pPr>
          </w:p>
          <w:p w14:paraId="4F5DA5E6" w14:textId="77777777" w:rsidR="001B466B" w:rsidRPr="002860E2" w:rsidRDefault="001B466B" w:rsidP="009A1B45">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6B24F81" w14:textId="77777777" w:rsidR="001B466B" w:rsidRPr="002860E2" w:rsidRDefault="001B466B"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highlight w:val="cyan"/>
                <w:shd w:val="clear" w:color="auto" w:fill="FF9900"/>
              </w:rPr>
            </w:pPr>
          </w:p>
        </w:tc>
      </w:tr>
      <w:tr w:rsidR="001B466B" w:rsidRPr="002860E2" w14:paraId="55E2C102" w14:textId="77777777" w:rsidTr="009A1B45">
        <w:trPr>
          <w:cantSplit/>
        </w:trPr>
        <w:tc>
          <w:tcPr>
            <w:tcW w:w="675" w:type="dxa"/>
          </w:tcPr>
          <w:p w14:paraId="674CA20A" w14:textId="77777777" w:rsidR="001B466B" w:rsidRPr="002860E2" w:rsidRDefault="001B466B" w:rsidP="001B466B">
            <w:pPr>
              <w:numPr>
                <w:ilvl w:val="0"/>
                <w:numId w:val="23"/>
              </w:numPr>
              <w:contextualSpacing/>
              <w:rPr>
                <w:rFonts w:asciiTheme="minorHAnsi" w:hAnsiTheme="minorHAnsi"/>
                <w:b/>
                <w:sz w:val="20"/>
                <w:szCs w:val="20"/>
              </w:rPr>
            </w:pPr>
          </w:p>
        </w:tc>
        <w:tc>
          <w:tcPr>
            <w:tcW w:w="8055" w:type="dxa"/>
          </w:tcPr>
          <w:p w14:paraId="01F14310" w14:textId="4A30E74A" w:rsidR="001B466B" w:rsidRPr="002860E2" w:rsidRDefault="003A131D" w:rsidP="009A1B45">
            <w:pPr>
              <w:pStyle w:val="ColorfulList-Accent11"/>
              <w:ind w:left="0"/>
              <w:rPr>
                <w:rFonts w:asciiTheme="minorHAnsi" w:hAnsiTheme="minorHAnsi"/>
                <w:sz w:val="20"/>
                <w:szCs w:val="20"/>
              </w:rPr>
            </w:pPr>
            <w:r w:rsidRPr="003A131D">
              <w:rPr>
                <w:rFonts w:asciiTheme="minorHAnsi" w:hAnsiTheme="minorHAnsi"/>
                <w:sz w:val="20"/>
                <w:szCs w:val="20"/>
              </w:rPr>
              <w:t>Although difficult to quantify, 1 year of data retention period seems to be a reasonable period that it neither too less nor too high.</w:t>
            </w:r>
          </w:p>
        </w:tc>
        <w:tc>
          <w:tcPr>
            <w:tcW w:w="2700" w:type="dxa"/>
          </w:tcPr>
          <w:p w14:paraId="1FA65FBB" w14:textId="7C382E4B" w:rsidR="001B466B" w:rsidRPr="00163E62" w:rsidRDefault="003A131D" w:rsidP="009A1B45">
            <w:pPr>
              <w:contextualSpacing/>
              <w:rPr>
                <w:rFonts w:asciiTheme="minorHAnsi" w:hAnsiTheme="minorHAnsi"/>
                <w:sz w:val="20"/>
                <w:szCs w:val="20"/>
              </w:rPr>
            </w:pPr>
            <w:r w:rsidRPr="003A131D">
              <w:rPr>
                <w:rFonts w:asciiTheme="minorHAnsi" w:hAnsiTheme="minorHAnsi"/>
                <w:sz w:val="20"/>
                <w:szCs w:val="20"/>
              </w:rPr>
              <w:t xml:space="preserve">DR. JAIDEEP KUMAR </w:t>
            </w:r>
            <w:proofErr w:type="gramStart"/>
            <w:r w:rsidRPr="003A131D">
              <w:rPr>
                <w:rFonts w:asciiTheme="minorHAnsi" w:hAnsiTheme="minorHAnsi"/>
                <w:sz w:val="20"/>
                <w:szCs w:val="20"/>
              </w:rPr>
              <w:t>MISHRA ;</w:t>
            </w:r>
            <w:proofErr w:type="gramEnd"/>
            <w:r w:rsidRPr="003A131D">
              <w:rPr>
                <w:rFonts w:asciiTheme="minorHAnsi" w:hAnsiTheme="minorHAnsi"/>
                <w:sz w:val="20"/>
                <w:szCs w:val="20"/>
              </w:rPr>
              <w:t xml:space="preserve"> DIRECTOR MINISTRY OF ELECTRONICS AND INFORMATION TECHNOLOGY, GOVERNMENT OF INDIA</w:t>
            </w:r>
          </w:p>
        </w:tc>
        <w:tc>
          <w:tcPr>
            <w:tcW w:w="3960" w:type="dxa"/>
          </w:tcPr>
          <w:p w14:paraId="4CB35523" w14:textId="77777777" w:rsidR="001B466B" w:rsidRPr="002860E2" w:rsidRDefault="001B466B"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16D60625" w14:textId="77777777" w:rsidR="001B466B" w:rsidRPr="002B3C04" w:rsidRDefault="001B466B"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r>
              <w:rPr>
                <w:rFonts w:asciiTheme="minorHAnsi" w:eastAsia="Times New Roman" w:hAnsiTheme="minorHAnsi"/>
                <w:color w:val="000000"/>
                <w:sz w:val="20"/>
                <w:szCs w:val="20"/>
              </w:rPr>
              <w:t xml:space="preserve"> </w:t>
            </w:r>
          </w:p>
          <w:p w14:paraId="2BB67888" w14:textId="77777777" w:rsidR="001B466B" w:rsidRPr="002860E2" w:rsidRDefault="001B466B"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23AD100" w14:textId="77777777" w:rsidR="001B466B" w:rsidRPr="002B3C04" w:rsidRDefault="001B466B"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b/>
                <w:color w:val="000000"/>
                <w:sz w:val="20"/>
                <w:szCs w:val="20"/>
              </w:rPr>
              <w:t>Action Taken:</w:t>
            </w:r>
            <w:r>
              <w:rPr>
                <w:rFonts w:asciiTheme="minorHAnsi" w:eastAsia="Times New Roman" w:hAnsiTheme="minorHAnsi"/>
                <w:color w:val="000000"/>
                <w:sz w:val="20"/>
                <w:szCs w:val="20"/>
              </w:rPr>
              <w:t xml:space="preserve"> </w:t>
            </w:r>
          </w:p>
          <w:p w14:paraId="7570AD6F" w14:textId="77777777" w:rsidR="001B466B" w:rsidRPr="002860E2" w:rsidRDefault="001B466B" w:rsidP="009A1B45">
            <w:pPr>
              <w:contextualSpacing/>
              <w:rPr>
                <w:rFonts w:asciiTheme="minorHAnsi" w:hAnsiTheme="minorHAnsi"/>
                <w:sz w:val="20"/>
                <w:szCs w:val="20"/>
              </w:rPr>
            </w:pPr>
          </w:p>
          <w:p w14:paraId="7EBA839E" w14:textId="77777777" w:rsidR="001B466B" w:rsidRPr="002860E2" w:rsidRDefault="001B466B" w:rsidP="009A1B45">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54582DD2" w14:textId="77777777" w:rsidR="001B466B" w:rsidRPr="002860E2" w:rsidRDefault="001B466B" w:rsidP="009A1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bl>
    <w:p w14:paraId="77133CE5" w14:textId="77777777" w:rsidR="001B466B" w:rsidRDefault="001B466B" w:rsidP="001B466B">
      <w:pPr>
        <w:rPr>
          <w:rFonts w:asciiTheme="minorHAnsi" w:hAnsiTheme="minorHAnsi"/>
        </w:rPr>
      </w:pPr>
    </w:p>
    <w:p w14:paraId="5DFABF31" w14:textId="77777777" w:rsidR="001B466B" w:rsidRPr="002860E2" w:rsidRDefault="001B466B" w:rsidP="00676084">
      <w:pPr>
        <w:rPr>
          <w:rFonts w:asciiTheme="minorHAnsi" w:hAnsiTheme="minorHAnsi"/>
        </w:rPr>
      </w:pPr>
    </w:p>
    <w:sectPr w:rsidR="001B466B" w:rsidRPr="002860E2" w:rsidSect="00AA0B8D">
      <w:footerReference w:type="default" r:id="rId9"/>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4D6A95" w14:textId="77777777" w:rsidR="004834F0" w:rsidRDefault="004834F0" w:rsidP="00E3563F">
      <w:r>
        <w:separator/>
      </w:r>
    </w:p>
  </w:endnote>
  <w:endnote w:type="continuationSeparator" w:id="0">
    <w:p w14:paraId="531E9E57" w14:textId="77777777" w:rsidR="004834F0" w:rsidRDefault="004834F0"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swiss"/>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A4D965" w14:textId="77777777" w:rsidR="00EC2C46" w:rsidRDefault="00EC2C46">
    <w:pPr>
      <w:pStyle w:val="Footer"/>
      <w:jc w:val="center"/>
    </w:pPr>
    <w:r>
      <w:fldChar w:fldCharType="begin"/>
    </w:r>
    <w:r>
      <w:instrText xml:space="preserve"> PAGE   \* MERGEFORMAT </w:instrText>
    </w:r>
    <w:r>
      <w:fldChar w:fldCharType="separate"/>
    </w:r>
    <w:r w:rsidR="00EE725F">
      <w:rPr>
        <w:noProof/>
      </w:rPr>
      <w:t>6</w:t>
    </w:r>
    <w:r>
      <w:rPr>
        <w:noProof/>
      </w:rPr>
      <w:fldChar w:fldCharType="end"/>
    </w:r>
  </w:p>
  <w:p w14:paraId="4134B38F" w14:textId="77777777"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E89BF8" w14:textId="77777777" w:rsidR="004834F0" w:rsidRDefault="004834F0" w:rsidP="00E3563F">
      <w:r>
        <w:separator/>
      </w:r>
    </w:p>
  </w:footnote>
  <w:footnote w:type="continuationSeparator" w:id="0">
    <w:p w14:paraId="763B98ED" w14:textId="77777777" w:rsidR="004834F0" w:rsidRDefault="004834F0"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433EB1"/>
    <w:multiLevelType w:val="hybridMultilevel"/>
    <w:tmpl w:val="792062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E10918"/>
    <w:multiLevelType w:val="hybridMultilevel"/>
    <w:tmpl w:val="FDCAE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8E73EB"/>
    <w:multiLevelType w:val="hybridMultilevel"/>
    <w:tmpl w:val="A3463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9149A8"/>
    <w:multiLevelType w:val="hybridMultilevel"/>
    <w:tmpl w:val="CF56D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BE702A2"/>
    <w:multiLevelType w:val="hybridMultilevel"/>
    <w:tmpl w:val="D8188E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27628F"/>
    <w:multiLevelType w:val="hybridMultilevel"/>
    <w:tmpl w:val="C5225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016E56"/>
    <w:multiLevelType w:val="hybridMultilevel"/>
    <w:tmpl w:val="1C821644"/>
    <w:lvl w:ilvl="0" w:tplc="E98886BA">
      <w:start w:val="1"/>
      <w:numFmt w:val="decimal"/>
      <w:lvlText w:val="%1."/>
      <w:lvlJc w:val="left"/>
      <w:pPr>
        <w:ind w:left="720" w:hanging="720"/>
      </w:pPr>
      <w:rPr>
        <w:rFonts w:hint="default"/>
      </w:rPr>
    </w:lvl>
    <w:lvl w:ilvl="1" w:tplc="7B7CD430">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28"/>
  </w:num>
  <w:num w:numId="4">
    <w:abstractNumId w:val="32"/>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4"/>
  </w:num>
  <w:num w:numId="9">
    <w:abstractNumId w:val="33"/>
  </w:num>
  <w:num w:numId="10">
    <w:abstractNumId w:val="10"/>
  </w:num>
  <w:num w:numId="11">
    <w:abstractNumId w:val="37"/>
  </w:num>
  <w:num w:numId="12">
    <w:abstractNumId w:val="27"/>
  </w:num>
  <w:num w:numId="13">
    <w:abstractNumId w:val="5"/>
  </w:num>
  <w:num w:numId="14">
    <w:abstractNumId w:val="19"/>
  </w:num>
  <w:num w:numId="15">
    <w:abstractNumId w:val="43"/>
  </w:num>
  <w:num w:numId="16">
    <w:abstractNumId w:val="38"/>
  </w:num>
  <w:num w:numId="17">
    <w:abstractNumId w:val="7"/>
  </w:num>
  <w:num w:numId="18">
    <w:abstractNumId w:val="23"/>
  </w:num>
  <w:num w:numId="19">
    <w:abstractNumId w:val="40"/>
  </w:num>
  <w:num w:numId="20">
    <w:abstractNumId w:val="2"/>
  </w:num>
  <w:num w:numId="21">
    <w:abstractNumId w:val="42"/>
  </w:num>
  <w:num w:numId="22">
    <w:abstractNumId w:val="3"/>
  </w:num>
  <w:num w:numId="23">
    <w:abstractNumId w:val="39"/>
  </w:num>
  <w:num w:numId="24">
    <w:abstractNumId w:val="21"/>
  </w:num>
  <w:num w:numId="25">
    <w:abstractNumId w:val="25"/>
  </w:num>
  <w:num w:numId="26">
    <w:abstractNumId w:val="15"/>
  </w:num>
  <w:num w:numId="27">
    <w:abstractNumId w:val="34"/>
  </w:num>
  <w:num w:numId="28">
    <w:abstractNumId w:val="30"/>
  </w:num>
  <w:num w:numId="29">
    <w:abstractNumId w:val="14"/>
  </w:num>
  <w:num w:numId="30">
    <w:abstractNumId w:val="17"/>
  </w:num>
  <w:num w:numId="31">
    <w:abstractNumId w:val="36"/>
  </w:num>
  <w:num w:numId="32">
    <w:abstractNumId w:val="20"/>
  </w:num>
  <w:num w:numId="33">
    <w:abstractNumId w:val="26"/>
  </w:num>
  <w:num w:numId="34">
    <w:abstractNumId w:val="16"/>
  </w:num>
  <w:num w:numId="35">
    <w:abstractNumId w:val="41"/>
  </w:num>
  <w:num w:numId="36">
    <w:abstractNumId w:val="9"/>
  </w:num>
  <w:num w:numId="37">
    <w:abstractNumId w:val="22"/>
  </w:num>
  <w:num w:numId="38">
    <w:abstractNumId w:val="29"/>
  </w:num>
  <w:num w:numId="39">
    <w:abstractNumId w:val="1"/>
  </w:num>
  <w:num w:numId="40">
    <w:abstractNumId w:val="8"/>
  </w:num>
  <w:num w:numId="41">
    <w:abstractNumId w:val="12"/>
  </w:num>
  <w:num w:numId="42">
    <w:abstractNumId w:val="35"/>
  </w:num>
  <w:num w:numId="43">
    <w:abstractNumId w:val="31"/>
  </w:num>
  <w:num w:numId="44">
    <w:abstractNumId w:val="13"/>
  </w:num>
  <w:num w:numId="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2BF4"/>
    <w:rsid w:val="00000382"/>
    <w:rsid w:val="00003669"/>
    <w:rsid w:val="00016B3A"/>
    <w:rsid w:val="00032527"/>
    <w:rsid w:val="00055E12"/>
    <w:rsid w:val="00056938"/>
    <w:rsid w:val="000618BB"/>
    <w:rsid w:val="00067ED5"/>
    <w:rsid w:val="00072359"/>
    <w:rsid w:val="00072366"/>
    <w:rsid w:val="00072688"/>
    <w:rsid w:val="00072C03"/>
    <w:rsid w:val="000831A7"/>
    <w:rsid w:val="00083768"/>
    <w:rsid w:val="000A0629"/>
    <w:rsid w:val="000A1D44"/>
    <w:rsid w:val="000A3B39"/>
    <w:rsid w:val="000A7B4D"/>
    <w:rsid w:val="000B5015"/>
    <w:rsid w:val="000B687E"/>
    <w:rsid w:val="000C213E"/>
    <w:rsid w:val="000C41AC"/>
    <w:rsid w:val="000D4882"/>
    <w:rsid w:val="000D5004"/>
    <w:rsid w:val="000E0B7B"/>
    <w:rsid w:val="000E3475"/>
    <w:rsid w:val="000E62C3"/>
    <w:rsid w:val="000E7DA1"/>
    <w:rsid w:val="000F0BCC"/>
    <w:rsid w:val="000F2AAF"/>
    <w:rsid w:val="000F6219"/>
    <w:rsid w:val="00110E6D"/>
    <w:rsid w:val="00142DA9"/>
    <w:rsid w:val="00144DA9"/>
    <w:rsid w:val="00145919"/>
    <w:rsid w:val="001556A8"/>
    <w:rsid w:val="00156DE5"/>
    <w:rsid w:val="00160157"/>
    <w:rsid w:val="00161E5B"/>
    <w:rsid w:val="00163F0A"/>
    <w:rsid w:val="0016792B"/>
    <w:rsid w:val="0017295E"/>
    <w:rsid w:val="00172D14"/>
    <w:rsid w:val="001735E3"/>
    <w:rsid w:val="00174146"/>
    <w:rsid w:val="00175AB9"/>
    <w:rsid w:val="00196DBB"/>
    <w:rsid w:val="00197AE1"/>
    <w:rsid w:val="001A0130"/>
    <w:rsid w:val="001B2C23"/>
    <w:rsid w:val="001B3C32"/>
    <w:rsid w:val="001B466B"/>
    <w:rsid w:val="001B4A89"/>
    <w:rsid w:val="001B4BEA"/>
    <w:rsid w:val="001B5BE1"/>
    <w:rsid w:val="001D5C26"/>
    <w:rsid w:val="001E696D"/>
    <w:rsid w:val="001F24C1"/>
    <w:rsid w:val="001F30FC"/>
    <w:rsid w:val="001F3A35"/>
    <w:rsid w:val="002103FC"/>
    <w:rsid w:val="002146BF"/>
    <w:rsid w:val="00222095"/>
    <w:rsid w:val="00234801"/>
    <w:rsid w:val="00235D20"/>
    <w:rsid w:val="00237EF6"/>
    <w:rsid w:val="00242CD1"/>
    <w:rsid w:val="002449DE"/>
    <w:rsid w:val="0025124B"/>
    <w:rsid w:val="00256329"/>
    <w:rsid w:val="002657F2"/>
    <w:rsid w:val="00274F8B"/>
    <w:rsid w:val="002837B8"/>
    <w:rsid w:val="002860E2"/>
    <w:rsid w:val="002A242E"/>
    <w:rsid w:val="002A3985"/>
    <w:rsid w:val="002A6B5C"/>
    <w:rsid w:val="002A7DE1"/>
    <w:rsid w:val="002B0C71"/>
    <w:rsid w:val="002B3C04"/>
    <w:rsid w:val="002B51A5"/>
    <w:rsid w:val="002C643C"/>
    <w:rsid w:val="002D126A"/>
    <w:rsid w:val="002D5CF1"/>
    <w:rsid w:val="002E20D5"/>
    <w:rsid w:val="002E740C"/>
    <w:rsid w:val="002F0728"/>
    <w:rsid w:val="002F583D"/>
    <w:rsid w:val="00303472"/>
    <w:rsid w:val="00312150"/>
    <w:rsid w:val="00317EE9"/>
    <w:rsid w:val="00321637"/>
    <w:rsid w:val="003236F8"/>
    <w:rsid w:val="003239C4"/>
    <w:rsid w:val="00323E92"/>
    <w:rsid w:val="00324893"/>
    <w:rsid w:val="00325C14"/>
    <w:rsid w:val="00327850"/>
    <w:rsid w:val="00331298"/>
    <w:rsid w:val="00342D0A"/>
    <w:rsid w:val="0034564C"/>
    <w:rsid w:val="003620B8"/>
    <w:rsid w:val="00365CFC"/>
    <w:rsid w:val="003664BF"/>
    <w:rsid w:val="00366703"/>
    <w:rsid w:val="00377A18"/>
    <w:rsid w:val="00377D54"/>
    <w:rsid w:val="00384A45"/>
    <w:rsid w:val="00397CCB"/>
    <w:rsid w:val="003A131D"/>
    <w:rsid w:val="003A6E63"/>
    <w:rsid w:val="003C3C9E"/>
    <w:rsid w:val="003D238F"/>
    <w:rsid w:val="003E2C65"/>
    <w:rsid w:val="003E4DF0"/>
    <w:rsid w:val="003F100A"/>
    <w:rsid w:val="003F2820"/>
    <w:rsid w:val="003F6488"/>
    <w:rsid w:val="004009D1"/>
    <w:rsid w:val="00405492"/>
    <w:rsid w:val="00407272"/>
    <w:rsid w:val="0043262C"/>
    <w:rsid w:val="00433739"/>
    <w:rsid w:val="00436B8F"/>
    <w:rsid w:val="00437AF3"/>
    <w:rsid w:val="00443E13"/>
    <w:rsid w:val="00444068"/>
    <w:rsid w:val="0045126E"/>
    <w:rsid w:val="00464EA2"/>
    <w:rsid w:val="00473E42"/>
    <w:rsid w:val="00476390"/>
    <w:rsid w:val="004834F0"/>
    <w:rsid w:val="00487888"/>
    <w:rsid w:val="00492A85"/>
    <w:rsid w:val="004A37C0"/>
    <w:rsid w:val="004B4C8A"/>
    <w:rsid w:val="004D0107"/>
    <w:rsid w:val="004D1348"/>
    <w:rsid w:val="004D377C"/>
    <w:rsid w:val="004D549B"/>
    <w:rsid w:val="004E5687"/>
    <w:rsid w:val="004F47AB"/>
    <w:rsid w:val="00501BDF"/>
    <w:rsid w:val="00504173"/>
    <w:rsid w:val="00506251"/>
    <w:rsid w:val="00521AD0"/>
    <w:rsid w:val="0052462D"/>
    <w:rsid w:val="00526F52"/>
    <w:rsid w:val="0053052E"/>
    <w:rsid w:val="00534C71"/>
    <w:rsid w:val="00540E66"/>
    <w:rsid w:val="00544355"/>
    <w:rsid w:val="0054485F"/>
    <w:rsid w:val="005453C6"/>
    <w:rsid w:val="005550E9"/>
    <w:rsid w:val="0055620F"/>
    <w:rsid w:val="00562DE0"/>
    <w:rsid w:val="00570507"/>
    <w:rsid w:val="005714F5"/>
    <w:rsid w:val="005805C2"/>
    <w:rsid w:val="00580E83"/>
    <w:rsid w:val="00582D58"/>
    <w:rsid w:val="00587E57"/>
    <w:rsid w:val="005912B6"/>
    <w:rsid w:val="005B4346"/>
    <w:rsid w:val="005B5572"/>
    <w:rsid w:val="005C399C"/>
    <w:rsid w:val="005D01EB"/>
    <w:rsid w:val="005D28EE"/>
    <w:rsid w:val="005D43A2"/>
    <w:rsid w:val="005D5326"/>
    <w:rsid w:val="005D619F"/>
    <w:rsid w:val="005E4C02"/>
    <w:rsid w:val="005F005E"/>
    <w:rsid w:val="005F41F5"/>
    <w:rsid w:val="005F4ED1"/>
    <w:rsid w:val="00600152"/>
    <w:rsid w:val="00607529"/>
    <w:rsid w:val="00610DF4"/>
    <w:rsid w:val="00617E10"/>
    <w:rsid w:val="006306A3"/>
    <w:rsid w:val="00631DAA"/>
    <w:rsid w:val="0064678E"/>
    <w:rsid w:val="00646ECA"/>
    <w:rsid w:val="006515E0"/>
    <w:rsid w:val="006605C9"/>
    <w:rsid w:val="00662E58"/>
    <w:rsid w:val="00663FA9"/>
    <w:rsid w:val="00665894"/>
    <w:rsid w:val="00676084"/>
    <w:rsid w:val="006924D1"/>
    <w:rsid w:val="00695B37"/>
    <w:rsid w:val="006B04C7"/>
    <w:rsid w:val="006B7CD8"/>
    <w:rsid w:val="006D0547"/>
    <w:rsid w:val="006D1ED1"/>
    <w:rsid w:val="006D58C3"/>
    <w:rsid w:val="006D6EF7"/>
    <w:rsid w:val="006E0C41"/>
    <w:rsid w:val="006F18EC"/>
    <w:rsid w:val="006F23CC"/>
    <w:rsid w:val="00700E7E"/>
    <w:rsid w:val="00712997"/>
    <w:rsid w:val="00713FC1"/>
    <w:rsid w:val="007160CD"/>
    <w:rsid w:val="0073029D"/>
    <w:rsid w:val="0073082D"/>
    <w:rsid w:val="0073280D"/>
    <w:rsid w:val="00735DB2"/>
    <w:rsid w:val="00735E1A"/>
    <w:rsid w:val="0074180B"/>
    <w:rsid w:val="007604EC"/>
    <w:rsid w:val="00761956"/>
    <w:rsid w:val="00761C50"/>
    <w:rsid w:val="007663C1"/>
    <w:rsid w:val="00775F35"/>
    <w:rsid w:val="007861C8"/>
    <w:rsid w:val="00790C44"/>
    <w:rsid w:val="007A3055"/>
    <w:rsid w:val="007A63F1"/>
    <w:rsid w:val="007A7405"/>
    <w:rsid w:val="007B0793"/>
    <w:rsid w:val="007C35F0"/>
    <w:rsid w:val="007C5344"/>
    <w:rsid w:val="007C58A9"/>
    <w:rsid w:val="007C65DC"/>
    <w:rsid w:val="007C7810"/>
    <w:rsid w:val="007F3A26"/>
    <w:rsid w:val="007F6C04"/>
    <w:rsid w:val="0080405F"/>
    <w:rsid w:val="00810CE7"/>
    <w:rsid w:val="00824FEA"/>
    <w:rsid w:val="00830049"/>
    <w:rsid w:val="0083774F"/>
    <w:rsid w:val="008422A0"/>
    <w:rsid w:val="008457C9"/>
    <w:rsid w:val="00851F3A"/>
    <w:rsid w:val="008622EB"/>
    <w:rsid w:val="00864622"/>
    <w:rsid w:val="00871292"/>
    <w:rsid w:val="008A039F"/>
    <w:rsid w:val="008B3D88"/>
    <w:rsid w:val="008B7535"/>
    <w:rsid w:val="008C34A2"/>
    <w:rsid w:val="008D71E5"/>
    <w:rsid w:val="008D7EE5"/>
    <w:rsid w:val="008F48C8"/>
    <w:rsid w:val="008F4FC6"/>
    <w:rsid w:val="00901A1D"/>
    <w:rsid w:val="00901F25"/>
    <w:rsid w:val="00924FAA"/>
    <w:rsid w:val="009370D8"/>
    <w:rsid w:val="00943672"/>
    <w:rsid w:val="009556B8"/>
    <w:rsid w:val="00956CDB"/>
    <w:rsid w:val="00962367"/>
    <w:rsid w:val="00971083"/>
    <w:rsid w:val="009711F9"/>
    <w:rsid w:val="00974330"/>
    <w:rsid w:val="009759BA"/>
    <w:rsid w:val="00981E95"/>
    <w:rsid w:val="0098665A"/>
    <w:rsid w:val="00992561"/>
    <w:rsid w:val="00992DD8"/>
    <w:rsid w:val="009A7920"/>
    <w:rsid w:val="009B0A15"/>
    <w:rsid w:val="009C09D6"/>
    <w:rsid w:val="009C6E74"/>
    <w:rsid w:val="009D7D5D"/>
    <w:rsid w:val="009E1260"/>
    <w:rsid w:val="009E2B92"/>
    <w:rsid w:val="009E79DE"/>
    <w:rsid w:val="009F48F2"/>
    <w:rsid w:val="00A03109"/>
    <w:rsid w:val="00A075ED"/>
    <w:rsid w:val="00A1507F"/>
    <w:rsid w:val="00A3656B"/>
    <w:rsid w:val="00A36B8F"/>
    <w:rsid w:val="00A443A1"/>
    <w:rsid w:val="00A60B32"/>
    <w:rsid w:val="00A651B1"/>
    <w:rsid w:val="00A66394"/>
    <w:rsid w:val="00A67AAB"/>
    <w:rsid w:val="00A736FB"/>
    <w:rsid w:val="00A76062"/>
    <w:rsid w:val="00A76F49"/>
    <w:rsid w:val="00A8654F"/>
    <w:rsid w:val="00A87960"/>
    <w:rsid w:val="00A9349A"/>
    <w:rsid w:val="00A97628"/>
    <w:rsid w:val="00AA0B8D"/>
    <w:rsid w:val="00AA1C85"/>
    <w:rsid w:val="00AA7AFD"/>
    <w:rsid w:val="00AB07A0"/>
    <w:rsid w:val="00AC3871"/>
    <w:rsid w:val="00AD5C8F"/>
    <w:rsid w:val="00AE05E1"/>
    <w:rsid w:val="00AE1E62"/>
    <w:rsid w:val="00AE464B"/>
    <w:rsid w:val="00AE6599"/>
    <w:rsid w:val="00AF06E9"/>
    <w:rsid w:val="00AF23B2"/>
    <w:rsid w:val="00AF25E2"/>
    <w:rsid w:val="00AF5BB6"/>
    <w:rsid w:val="00AF7D56"/>
    <w:rsid w:val="00B05323"/>
    <w:rsid w:val="00B128B5"/>
    <w:rsid w:val="00B14612"/>
    <w:rsid w:val="00B20BA4"/>
    <w:rsid w:val="00B25836"/>
    <w:rsid w:val="00B274E4"/>
    <w:rsid w:val="00B306AD"/>
    <w:rsid w:val="00B33F28"/>
    <w:rsid w:val="00B416E0"/>
    <w:rsid w:val="00B578DD"/>
    <w:rsid w:val="00B60C03"/>
    <w:rsid w:val="00B64DD0"/>
    <w:rsid w:val="00B65811"/>
    <w:rsid w:val="00B726E7"/>
    <w:rsid w:val="00B848D2"/>
    <w:rsid w:val="00B9442E"/>
    <w:rsid w:val="00BA12E4"/>
    <w:rsid w:val="00BA53A2"/>
    <w:rsid w:val="00BA7A00"/>
    <w:rsid w:val="00BB685E"/>
    <w:rsid w:val="00BC0793"/>
    <w:rsid w:val="00BC119E"/>
    <w:rsid w:val="00BC7983"/>
    <w:rsid w:val="00BE020E"/>
    <w:rsid w:val="00BE0ED0"/>
    <w:rsid w:val="00BE5844"/>
    <w:rsid w:val="00BF3B9F"/>
    <w:rsid w:val="00C032FE"/>
    <w:rsid w:val="00C06C0B"/>
    <w:rsid w:val="00C13832"/>
    <w:rsid w:val="00C15486"/>
    <w:rsid w:val="00C17B45"/>
    <w:rsid w:val="00C36F81"/>
    <w:rsid w:val="00C412C7"/>
    <w:rsid w:val="00C435F3"/>
    <w:rsid w:val="00C43E85"/>
    <w:rsid w:val="00C7129E"/>
    <w:rsid w:val="00C72B04"/>
    <w:rsid w:val="00C82A67"/>
    <w:rsid w:val="00C851AF"/>
    <w:rsid w:val="00CB0C02"/>
    <w:rsid w:val="00CB7558"/>
    <w:rsid w:val="00CC2CD5"/>
    <w:rsid w:val="00CE1A56"/>
    <w:rsid w:val="00CE5D4C"/>
    <w:rsid w:val="00CF764A"/>
    <w:rsid w:val="00D0061C"/>
    <w:rsid w:val="00D0168C"/>
    <w:rsid w:val="00D045AC"/>
    <w:rsid w:val="00D10CEF"/>
    <w:rsid w:val="00D22D39"/>
    <w:rsid w:val="00D3005F"/>
    <w:rsid w:val="00D316D6"/>
    <w:rsid w:val="00D32791"/>
    <w:rsid w:val="00D4024E"/>
    <w:rsid w:val="00D45F9B"/>
    <w:rsid w:val="00D550AE"/>
    <w:rsid w:val="00D5734F"/>
    <w:rsid w:val="00D80DC7"/>
    <w:rsid w:val="00D829C9"/>
    <w:rsid w:val="00D8703B"/>
    <w:rsid w:val="00D95C06"/>
    <w:rsid w:val="00DB0E8C"/>
    <w:rsid w:val="00DB45C9"/>
    <w:rsid w:val="00DC26AA"/>
    <w:rsid w:val="00DC6811"/>
    <w:rsid w:val="00DC6A17"/>
    <w:rsid w:val="00DD27C4"/>
    <w:rsid w:val="00DE42B5"/>
    <w:rsid w:val="00E0015B"/>
    <w:rsid w:val="00E0308C"/>
    <w:rsid w:val="00E0436F"/>
    <w:rsid w:val="00E0743F"/>
    <w:rsid w:val="00E0778D"/>
    <w:rsid w:val="00E2012C"/>
    <w:rsid w:val="00E202D3"/>
    <w:rsid w:val="00E212B7"/>
    <w:rsid w:val="00E22C7A"/>
    <w:rsid w:val="00E237D5"/>
    <w:rsid w:val="00E24D1D"/>
    <w:rsid w:val="00E3563F"/>
    <w:rsid w:val="00E35BCD"/>
    <w:rsid w:val="00E45785"/>
    <w:rsid w:val="00E517C0"/>
    <w:rsid w:val="00E527FF"/>
    <w:rsid w:val="00E529E0"/>
    <w:rsid w:val="00E71ABE"/>
    <w:rsid w:val="00E724A6"/>
    <w:rsid w:val="00E773EA"/>
    <w:rsid w:val="00E776CB"/>
    <w:rsid w:val="00E829A7"/>
    <w:rsid w:val="00E87E02"/>
    <w:rsid w:val="00E9365C"/>
    <w:rsid w:val="00EA0008"/>
    <w:rsid w:val="00EA3E0C"/>
    <w:rsid w:val="00EA6408"/>
    <w:rsid w:val="00EB29FF"/>
    <w:rsid w:val="00EB4D7A"/>
    <w:rsid w:val="00EC13CD"/>
    <w:rsid w:val="00EC2C46"/>
    <w:rsid w:val="00ED17FC"/>
    <w:rsid w:val="00ED7630"/>
    <w:rsid w:val="00EE6E18"/>
    <w:rsid w:val="00EE725F"/>
    <w:rsid w:val="00EE7E1D"/>
    <w:rsid w:val="00EF1D00"/>
    <w:rsid w:val="00EF2BF4"/>
    <w:rsid w:val="00EF4503"/>
    <w:rsid w:val="00EF5087"/>
    <w:rsid w:val="00F028EC"/>
    <w:rsid w:val="00F03C2D"/>
    <w:rsid w:val="00F10EBE"/>
    <w:rsid w:val="00F122A1"/>
    <w:rsid w:val="00F15020"/>
    <w:rsid w:val="00F31E74"/>
    <w:rsid w:val="00F330AF"/>
    <w:rsid w:val="00F45D75"/>
    <w:rsid w:val="00F50303"/>
    <w:rsid w:val="00F546E9"/>
    <w:rsid w:val="00F6678E"/>
    <w:rsid w:val="00F66C03"/>
    <w:rsid w:val="00F73556"/>
    <w:rsid w:val="00F73991"/>
    <w:rsid w:val="00F74F78"/>
    <w:rsid w:val="00F830FF"/>
    <w:rsid w:val="00F879B2"/>
    <w:rsid w:val="00F96759"/>
    <w:rsid w:val="00FC0189"/>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98F7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D:\My%20Documents\Career\ICANN\ICANN%20Working%20Groups\WHOIS\EPDP-Whois\Public%20Comment\EPDP%20On%20the%20Temporary%20Specification%20for%20gTLD%20Registration%20Data%20-%20Public%20Comment%20Proceeding%20Input%20Form%20(Responses).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0"/>
            <c:bubble3D val="0"/>
            <c:spPr>
              <a:solidFill>
                <a:srgbClr val="00B050"/>
              </a:solidFill>
            </c:spPr>
            <c:extLst>
              <c:ext xmlns:c16="http://schemas.microsoft.com/office/drawing/2014/chart" uri="{C3380CC4-5D6E-409C-BE32-E72D297353CC}">
                <c16:uniqueId val="{00000001-60D8-4237-B14C-202E1588F4BD}"/>
              </c:ext>
            </c:extLst>
          </c:dPt>
          <c:dPt>
            <c:idx val="1"/>
            <c:bubble3D val="0"/>
            <c:spPr>
              <a:solidFill>
                <a:srgbClr val="92D050"/>
              </a:solidFill>
            </c:spPr>
            <c:extLst>
              <c:ext xmlns:c16="http://schemas.microsoft.com/office/drawing/2014/chart" uri="{C3380CC4-5D6E-409C-BE32-E72D297353CC}">
                <c16:uniqueId val="{00000003-60D8-4237-B14C-202E1588F4BD}"/>
              </c:ext>
            </c:extLst>
          </c:dPt>
          <c:dPt>
            <c:idx val="2"/>
            <c:bubble3D val="0"/>
            <c:spPr>
              <a:solidFill>
                <a:srgbClr val="FFFF00"/>
              </a:solidFill>
            </c:spPr>
            <c:extLst>
              <c:ext xmlns:c16="http://schemas.microsoft.com/office/drawing/2014/chart" uri="{C3380CC4-5D6E-409C-BE32-E72D297353CC}">
                <c16:uniqueId val="{00000005-60D8-4237-B14C-202E1588F4BD}"/>
              </c:ext>
            </c:extLst>
          </c:dPt>
          <c:dPt>
            <c:idx val="3"/>
            <c:bubble3D val="0"/>
            <c:spPr>
              <a:solidFill>
                <a:srgbClr val="FF0000"/>
              </a:solidFill>
            </c:spPr>
            <c:extLst>
              <c:ext xmlns:c16="http://schemas.microsoft.com/office/drawing/2014/chart" uri="{C3380CC4-5D6E-409C-BE32-E72D297353CC}">
                <c16:uniqueId val="{00000007-60D8-4237-B14C-202E1588F4BD}"/>
              </c:ext>
            </c:extLst>
          </c:dPt>
          <c:dPt>
            <c:idx val="4"/>
            <c:bubble3D val="0"/>
            <c:spPr>
              <a:solidFill>
                <a:schemeClr val="accent5">
                  <a:lumMod val="20000"/>
                  <a:lumOff val="80000"/>
                </a:schemeClr>
              </a:solidFill>
            </c:spPr>
            <c:extLst>
              <c:ext xmlns:c16="http://schemas.microsoft.com/office/drawing/2014/chart" uri="{C3380CC4-5D6E-409C-BE32-E72D297353CC}">
                <c16:uniqueId val="{00000009-60D8-4237-B14C-202E1588F4BD}"/>
              </c:ext>
            </c:extLst>
          </c:dPt>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'Form Responses'!$BU$47:$BU$51</c:f>
              <c:strCache>
                <c:ptCount val="5"/>
                <c:pt idx="0">
                  <c:v>Support recommendation as written</c:v>
                </c:pt>
                <c:pt idx="1">
                  <c:v>Support intent of recommendation with edits</c:v>
                </c:pt>
                <c:pt idx="2">
                  <c:v>Intent and wording of this recommendation requires amendment</c:v>
                </c:pt>
                <c:pt idx="3">
                  <c:v>Delete recommendation</c:v>
                </c:pt>
                <c:pt idx="4">
                  <c:v>Not designated</c:v>
                </c:pt>
              </c:strCache>
            </c:strRef>
          </c:cat>
          <c:val>
            <c:numRef>
              <c:f>'Form Responses'!$BV$47:$BV$51</c:f>
              <c:numCache>
                <c:formatCode>General</c:formatCode>
                <c:ptCount val="5"/>
                <c:pt idx="0">
                  <c:v>14</c:v>
                </c:pt>
                <c:pt idx="1">
                  <c:v>11</c:v>
                </c:pt>
                <c:pt idx="2">
                  <c:v>5</c:v>
                </c:pt>
                <c:pt idx="3">
                  <c:v>1</c:v>
                </c:pt>
                <c:pt idx="4">
                  <c:v>11</c:v>
                </c:pt>
              </c:numCache>
            </c:numRef>
          </c:val>
          <c:extLst>
            <c:ext xmlns:c16="http://schemas.microsoft.com/office/drawing/2014/chart" uri="{C3380CC4-5D6E-409C-BE32-E72D297353CC}">
              <c16:uniqueId val="{0000000A-60D8-4237-B14C-202E1588F4BD}"/>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spPr>
    <a:solidFill>
      <a:schemeClr val="bg1">
        <a:lumMod val="85000"/>
      </a:schemeClr>
    </a:solidFill>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90AAC7-D68C-41FD-9D36-9FA496017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gnso-groupname-pcrt-yyyymmdd-template</Template>
  <TotalTime>0</TotalTime>
  <Pages>10</Pages>
  <Words>2844</Words>
  <Characters>16215</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2018-12-31T02:06:00Z</dcterms:created>
  <dcterms:modified xsi:type="dcterms:W3CDTF">2018-12-31T02:47:00Z</dcterms:modified>
</cp:coreProperties>
</file>