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48392B">
        <w:rPr>
          <w:rFonts w:asciiTheme="minorHAnsi" w:hAnsiTheme="minorHAnsi"/>
          <w:sz w:val="22"/>
        </w:rPr>
        <w:t xml:space="preserve"> </w:t>
      </w:r>
      <w:r w:rsidR="00FE5149">
        <w:rPr>
          <w:rFonts w:asciiTheme="minorHAnsi" w:hAnsiTheme="minorHAnsi"/>
          <w:sz w:val="22"/>
        </w:rPr>
        <w:t>31</w:t>
      </w:r>
      <w:bookmarkStart w:id="0" w:name="_GoBack"/>
      <w:bookmarkEnd w:id="0"/>
      <w:r w:rsidR="0048392B">
        <w:rPr>
          <w:rFonts w:asciiTheme="minorHAnsi" w:hAnsiTheme="minorHAnsi"/>
          <w:sz w:val="22"/>
        </w:rPr>
        <w:t xml:space="preserve">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1"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1"/>
      <w:r w:rsidR="0048392B">
        <w:rPr>
          <w:rFonts w:asciiTheme="minorHAnsi" w:hAnsiTheme="minorHAnsi"/>
          <w:color w:val="FFFFFF" w:themeColor="background1"/>
        </w:rPr>
        <w:t>10</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48392B">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B14189">
        <w:tc>
          <w:tcPr>
            <w:tcW w:w="15390" w:type="dxa"/>
            <w:gridSpan w:val="4"/>
            <w:tcBorders>
              <w:bottom w:val="single" w:sz="4" w:space="0" w:color="000000"/>
            </w:tcBorders>
            <w:shd w:val="clear" w:color="auto" w:fill="D9D9D9" w:themeFill="background1" w:themeFillShade="D9"/>
          </w:tcPr>
          <w:p w:rsidR="00175AB9" w:rsidRPr="0048392B" w:rsidRDefault="0048392B" w:rsidP="00AC3871">
            <w:pPr>
              <w:contextualSpacing/>
              <w:rPr>
                <w:rFonts w:asciiTheme="minorHAnsi" w:hAnsiTheme="minorHAnsi" w:cstheme="minorHAnsi"/>
                <w:sz w:val="23"/>
                <w:szCs w:val="23"/>
              </w:rPr>
            </w:pPr>
            <w:r w:rsidRPr="0048392B">
              <w:rPr>
                <w:rFonts w:asciiTheme="minorHAnsi" w:hAnsiTheme="minorHAnsi" w:cstheme="minorHAnsi"/>
                <w:sz w:val="23"/>
                <w:szCs w:val="23"/>
              </w:rPr>
              <w:t xml:space="preserve">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contact, but MUST NOT identify the contact email address or the contact itself, remain in place. </w:t>
            </w:r>
          </w:p>
          <w:p w:rsidR="0048392B" w:rsidRPr="00CE1A56" w:rsidRDefault="0048392B" w:rsidP="00AC3871">
            <w:pPr>
              <w:contextualSpacing/>
              <w:rPr>
                <w:rFonts w:asciiTheme="minorHAnsi" w:hAnsiTheme="minorHAnsi"/>
                <w:b/>
                <w:sz w:val="20"/>
                <w:szCs w:val="20"/>
              </w:rPr>
            </w:pPr>
          </w:p>
          <w:p w:rsidR="004F47AB" w:rsidRPr="002860E2" w:rsidRDefault="00B14189" w:rsidP="00AC3871">
            <w:pPr>
              <w:contextualSpacing/>
              <w:rPr>
                <w:rFonts w:asciiTheme="minorHAnsi" w:hAnsiTheme="minorHAnsi"/>
                <w:b/>
                <w:sz w:val="22"/>
              </w:rPr>
            </w:pPr>
            <w:r>
              <w:rPr>
                <w:noProof/>
              </w:rPr>
              <w:drawing>
                <wp:inline distT="0" distB="0" distL="0" distR="0" wp14:anchorId="0E366D02" wp14:editId="59009B00">
                  <wp:extent cx="4351735" cy="2819400"/>
                  <wp:effectExtent l="0" t="0" r="0" b="0"/>
                  <wp:docPr id="1" name="Chart 1">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48392B">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F18C2" w:rsidRPr="00FF18C2" w:rsidRDefault="008A4F25" w:rsidP="00FF18C2">
            <w:pPr>
              <w:pStyle w:val="ColorfulList-Accent11"/>
              <w:ind w:left="0"/>
              <w:rPr>
                <w:rFonts w:asciiTheme="minorHAnsi" w:hAnsiTheme="minorHAnsi"/>
                <w:sz w:val="20"/>
                <w:szCs w:val="20"/>
              </w:rPr>
            </w:pPr>
            <w:r w:rsidRPr="008A4F25">
              <w:rPr>
                <w:rFonts w:asciiTheme="minorHAnsi" w:hAnsiTheme="minorHAnsi"/>
                <w:sz w:val="20"/>
                <w:szCs w:val="20"/>
              </w:rPr>
              <w:t xml:space="preserve">Publication of the registrant’s email address in a way that can be automatically harvested and used for any purpose is clearly not acceptable and not compliant with the GDPR. Recommendation 10 is a good way to optimize privacy while furthering the goal of </w:t>
            </w:r>
            <w:proofErr w:type="spellStart"/>
            <w:r w:rsidRPr="008A4F25">
              <w:rPr>
                <w:rFonts w:asciiTheme="minorHAnsi" w:hAnsiTheme="minorHAnsi"/>
                <w:sz w:val="20"/>
                <w:szCs w:val="20"/>
              </w:rPr>
              <w:t>contactability</w:t>
            </w:r>
            <w:proofErr w:type="spellEnd"/>
            <w:r w:rsidRPr="008A4F25">
              <w:rPr>
                <w:rFonts w:asciiTheme="minorHAnsi" w:hAnsiTheme="minorHAnsi"/>
                <w:sz w:val="20"/>
                <w:szCs w:val="20"/>
              </w:rPr>
              <w:t xml:space="preserve"> articulated by Purpose 3. </w:t>
            </w:r>
          </w:p>
        </w:tc>
        <w:tc>
          <w:tcPr>
            <w:tcW w:w="2700" w:type="dxa"/>
          </w:tcPr>
          <w:p w:rsidR="004E16F7" w:rsidRDefault="008A4F25" w:rsidP="004E16F7">
            <w:pPr>
              <w:pStyle w:val="ColorfulList-Accent11"/>
              <w:numPr>
                <w:ilvl w:val="0"/>
                <w:numId w:val="42"/>
              </w:numPr>
              <w:rPr>
                <w:rFonts w:asciiTheme="minorHAnsi" w:hAnsiTheme="minorHAnsi"/>
                <w:sz w:val="20"/>
                <w:szCs w:val="20"/>
              </w:rPr>
            </w:pPr>
            <w:r w:rsidRPr="008A4F25">
              <w:rPr>
                <w:rFonts w:asciiTheme="minorHAnsi" w:hAnsiTheme="minorHAnsi"/>
                <w:sz w:val="20"/>
                <w:szCs w:val="20"/>
              </w:rPr>
              <w:t xml:space="preserve">Ayden </w:t>
            </w:r>
            <w:proofErr w:type="spellStart"/>
            <w:r w:rsidRPr="008A4F25">
              <w:rPr>
                <w:rFonts w:asciiTheme="minorHAnsi" w:hAnsiTheme="minorHAnsi"/>
                <w:sz w:val="20"/>
                <w:szCs w:val="20"/>
              </w:rPr>
              <w:t>Férdeline</w:t>
            </w:r>
            <w:proofErr w:type="spellEnd"/>
            <w:r w:rsidRPr="008A4F25">
              <w:rPr>
                <w:rFonts w:asciiTheme="minorHAnsi" w:hAnsiTheme="minorHAnsi"/>
                <w:sz w:val="20"/>
                <w:szCs w:val="20"/>
              </w:rPr>
              <w:t>; NCSG</w:t>
            </w:r>
          </w:p>
          <w:p w:rsidR="00FF18C2" w:rsidRPr="004E16F7" w:rsidRDefault="00FF18C2" w:rsidP="004E16F7">
            <w:pPr>
              <w:pStyle w:val="ColorfulList-Accent11"/>
              <w:numPr>
                <w:ilvl w:val="0"/>
                <w:numId w:val="42"/>
              </w:numPr>
              <w:rPr>
                <w:rFonts w:asciiTheme="minorHAnsi" w:hAnsiTheme="minorHAnsi"/>
                <w:sz w:val="20"/>
                <w:szCs w:val="20"/>
              </w:rPr>
            </w:pPr>
            <w:proofErr w:type="spellStart"/>
            <w:r w:rsidRPr="004E16F7">
              <w:rPr>
                <w:rFonts w:asciiTheme="minorHAnsi" w:hAnsiTheme="minorHAnsi"/>
                <w:sz w:val="20"/>
                <w:szCs w:val="20"/>
              </w:rPr>
              <w:t>Farzaneh</w:t>
            </w:r>
            <w:proofErr w:type="spellEnd"/>
            <w:r w:rsidRPr="004E16F7">
              <w:rPr>
                <w:rFonts w:asciiTheme="minorHAnsi" w:hAnsiTheme="minorHAnsi"/>
                <w:sz w:val="20"/>
                <w:szCs w:val="20"/>
              </w:rPr>
              <w:t xml:space="preserve"> </w:t>
            </w:r>
            <w:proofErr w:type="spellStart"/>
            <w:r w:rsidRPr="004E16F7">
              <w:rPr>
                <w:rFonts w:asciiTheme="minorHAnsi" w:hAnsiTheme="minorHAnsi"/>
                <w:sz w:val="20"/>
                <w:szCs w:val="20"/>
              </w:rPr>
              <w:t>Badii</w:t>
            </w:r>
            <w:proofErr w:type="spellEnd"/>
            <w:r w:rsidRPr="004E16F7">
              <w:rPr>
                <w:rFonts w:asciiTheme="minorHAnsi" w:hAnsiTheme="minorHAnsi"/>
                <w:sz w:val="20"/>
                <w:szCs w:val="20"/>
              </w:rPr>
              <w:t xml:space="preserve">; Internet Governance Project </w:t>
            </w:r>
          </w:p>
          <w:p w:rsidR="008A4F25" w:rsidRPr="008A4F25" w:rsidRDefault="008A4F25" w:rsidP="008A4F25">
            <w:pPr>
              <w:pStyle w:val="ColorfulList-Accent11"/>
              <w:ind w:left="0"/>
              <w:rPr>
                <w:rFonts w:asciiTheme="minorHAnsi" w:hAnsiTheme="minorHAnsi"/>
                <w:sz w:val="20"/>
                <w:szCs w:val="20"/>
              </w:rPr>
            </w:pPr>
          </w:p>
          <w:p w:rsidR="00072C03" w:rsidRPr="002860E2" w:rsidRDefault="00072C03" w:rsidP="008A4F25">
            <w:pPr>
              <w:pStyle w:val="ColorfulList-Accent11"/>
              <w:ind w:left="0"/>
              <w:rPr>
                <w:rFonts w:asciiTheme="minorHAnsi" w:hAnsiTheme="minorHAnsi"/>
                <w:sz w:val="20"/>
                <w:szCs w:val="20"/>
              </w:rPr>
            </w:pP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00072C03" w:rsidRPr="002860E2">
              <w:rPr>
                <w:rFonts w:asciiTheme="minorHAnsi"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2B3C04">
              <w:rPr>
                <w:rFonts w:asciiTheme="minorHAnsi" w:hAnsiTheme="minorHAnsi"/>
                <w:color w:val="000000"/>
                <w:sz w:val="20"/>
                <w:szCs w:val="20"/>
              </w:rPr>
              <w:t xml:space="preserve"> </w:t>
            </w:r>
            <w:r w:rsidR="008B3D88">
              <w:rPr>
                <w:rFonts w:asciiTheme="minorHAnsi"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sidR="002B3C04">
              <w:rPr>
                <w:rFonts w:asciiTheme="minorHAnsi" w:hAnsiTheme="minorHAnsi"/>
                <w:color w:val="000000"/>
                <w:sz w:val="20"/>
                <w:szCs w:val="20"/>
              </w:rPr>
              <w:t xml:space="preserve"> </w:t>
            </w:r>
            <w:r w:rsidR="008B3D88">
              <w:rPr>
                <w:rFonts w:asciiTheme="minorHAnsi"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This is VERY IMPORTANT for GDPR compliance AND the SECURITY of registrants and their domain names at registrars. Domain names are often stolen </w:t>
            </w:r>
            <w:proofErr w:type="gramStart"/>
            <w:r w:rsidRPr="00FF18C2">
              <w:rPr>
                <w:rFonts w:asciiTheme="minorHAnsi" w:hAnsiTheme="minorHAnsi"/>
                <w:sz w:val="20"/>
                <w:szCs w:val="20"/>
              </w:rPr>
              <w:t>by  hacking</w:t>
            </w:r>
            <w:proofErr w:type="gramEnd"/>
            <w:r w:rsidRPr="00FF18C2">
              <w:rPr>
                <w:rFonts w:asciiTheme="minorHAnsi" w:hAnsiTheme="minorHAnsi"/>
                <w:sz w:val="20"/>
                <w:szCs w:val="20"/>
              </w:rPr>
              <w:t xml:space="preserve"> email addresses, and SIM swap fraud (phone) is also a known security risk.</w:t>
            </w:r>
          </w:p>
          <w:p w:rsidR="00072C03" w:rsidRDefault="00072C03" w:rsidP="005417AB">
            <w:pPr>
              <w:pStyle w:val="ColorfulList-Accent11"/>
              <w:ind w:left="0"/>
              <w:rPr>
                <w:rFonts w:asciiTheme="minorHAnsi" w:hAnsiTheme="minorHAnsi"/>
                <w:sz w:val="20"/>
                <w:szCs w:val="20"/>
              </w:rPr>
            </w:pPr>
          </w:p>
          <w:p w:rsidR="00FF18C2" w:rsidRPr="002860E2" w:rsidRDefault="00FF18C2"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8B4C96" w:rsidRPr="00FF18C2" w:rsidRDefault="008B4C96" w:rsidP="00FF18C2">
            <w:pPr>
              <w:pStyle w:val="ColorfulList-Accent11"/>
              <w:ind w:left="0"/>
              <w:rPr>
                <w:rFonts w:asciiTheme="minorHAnsi" w:hAnsiTheme="minorHAnsi"/>
                <w:sz w:val="20"/>
                <w:szCs w:val="20"/>
              </w:rPr>
            </w:pPr>
            <w:r w:rsidRPr="00FF18C2">
              <w:rPr>
                <w:rFonts w:asciiTheme="minorHAnsi" w:hAnsiTheme="minorHAnsi"/>
                <w:sz w:val="20"/>
                <w:szCs w:val="20"/>
              </w:rPr>
              <w:t>John Poole; Domain Name Registrant</w:t>
            </w:r>
          </w:p>
          <w:p w:rsidR="00072C03" w:rsidRPr="002860E2" w:rsidRDefault="00072C03" w:rsidP="005417AB">
            <w:pPr>
              <w:contextualSpacing/>
              <w:rPr>
                <w:rFonts w:asciiTheme="minorHAnsi" w:hAnsiTheme="minorHAnsi"/>
                <w:sz w:val="20"/>
                <w:szCs w:val="20"/>
              </w:rPr>
            </w:pP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A4F25" w:rsidRPr="002860E2" w:rsidRDefault="008A4F25" w:rsidP="008A4F25">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tc>
        <w:tc>
          <w:tcPr>
            <w:tcW w:w="2700" w:type="dxa"/>
          </w:tcPr>
          <w:p w:rsidR="00FF18C2" w:rsidRDefault="00FF18C2" w:rsidP="00FF18C2">
            <w:pPr>
              <w:pStyle w:val="ColorfulList-Accent11"/>
              <w:numPr>
                <w:ilvl w:val="0"/>
                <w:numId w:val="41"/>
              </w:numPr>
              <w:rPr>
                <w:rFonts w:asciiTheme="minorHAnsi" w:hAnsiTheme="minorHAnsi"/>
                <w:sz w:val="20"/>
                <w:szCs w:val="20"/>
              </w:rPr>
            </w:pPr>
            <w:r w:rsidRPr="00FF18C2">
              <w:rPr>
                <w:rFonts w:asciiTheme="minorHAnsi" w:hAnsiTheme="minorHAnsi"/>
                <w:sz w:val="20"/>
                <w:szCs w:val="20"/>
              </w:rPr>
              <w:t>Monica Sanders; i2Coalition</w:t>
            </w:r>
          </w:p>
          <w:p w:rsidR="00FF18C2" w:rsidRPr="00FF18C2" w:rsidRDefault="00FF18C2" w:rsidP="00FF18C2">
            <w:pPr>
              <w:pStyle w:val="ColorfulList-Accent11"/>
              <w:numPr>
                <w:ilvl w:val="0"/>
                <w:numId w:val="41"/>
              </w:numPr>
              <w:rPr>
                <w:rFonts w:asciiTheme="minorHAnsi" w:hAnsiTheme="minorHAnsi"/>
                <w:sz w:val="20"/>
                <w:szCs w:val="20"/>
              </w:rPr>
            </w:pPr>
            <w:r w:rsidRPr="00FF18C2">
              <w:rPr>
                <w:rFonts w:asciiTheme="minorHAnsi" w:hAnsiTheme="minorHAnsi"/>
                <w:sz w:val="20"/>
                <w:szCs w:val="20"/>
              </w:rPr>
              <w:t>Etienne Laurin</w:t>
            </w:r>
          </w:p>
          <w:p w:rsidR="00FF18C2" w:rsidRPr="00FF18C2" w:rsidRDefault="00FF18C2" w:rsidP="00FF18C2">
            <w:pPr>
              <w:pStyle w:val="ColorfulList-Accent11"/>
              <w:numPr>
                <w:ilvl w:val="0"/>
                <w:numId w:val="41"/>
              </w:numPr>
              <w:rPr>
                <w:rFonts w:asciiTheme="minorHAnsi" w:hAnsiTheme="minorHAnsi"/>
                <w:sz w:val="20"/>
                <w:szCs w:val="20"/>
              </w:rPr>
            </w:pPr>
            <w:r w:rsidRPr="00FF18C2">
              <w:rPr>
                <w:rFonts w:asciiTheme="minorHAnsi" w:hAnsiTheme="minorHAnsi"/>
                <w:sz w:val="20"/>
                <w:szCs w:val="20"/>
              </w:rPr>
              <w:t>Ben Butler; SSAC</w:t>
            </w:r>
          </w:p>
          <w:p w:rsidR="00072C03" w:rsidRPr="00FF18C2" w:rsidRDefault="00FF18C2" w:rsidP="005417AB">
            <w:pPr>
              <w:pStyle w:val="ColorfulList-Accent11"/>
              <w:numPr>
                <w:ilvl w:val="0"/>
                <w:numId w:val="41"/>
              </w:numPr>
              <w:rPr>
                <w:rFonts w:asciiTheme="minorHAnsi" w:hAnsiTheme="minorHAnsi"/>
                <w:sz w:val="20"/>
                <w:szCs w:val="20"/>
              </w:rPr>
            </w:pPr>
            <w:proofErr w:type="spellStart"/>
            <w:r w:rsidRPr="00FF18C2">
              <w:rPr>
                <w:rFonts w:asciiTheme="minorHAnsi" w:hAnsiTheme="minorHAnsi"/>
                <w:sz w:val="20"/>
                <w:szCs w:val="20"/>
              </w:rPr>
              <w:t>Sivasubramanian</w:t>
            </w:r>
            <w:proofErr w:type="spellEnd"/>
            <w:r w:rsidRPr="00FF18C2">
              <w:rPr>
                <w:rFonts w:asciiTheme="minorHAnsi" w:hAnsiTheme="minorHAnsi"/>
                <w:sz w:val="20"/>
                <w:szCs w:val="20"/>
              </w:rPr>
              <w:t xml:space="preserve"> Muthusamy; Internet Society India Chennai</w:t>
            </w: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Until an official Accreditation and Access (i.e. Unified Access) model by ICANN is in place to facilitate legitimate and lawful access to gTLD registration data by third parties, there must be a provision for all internet users to contact domain name registrants, and anonymized email/web form seems to be the best way to do so.</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DR. JAIDEEP KUMAR </w:t>
            </w:r>
            <w:proofErr w:type="gramStart"/>
            <w:r w:rsidRPr="00FF18C2">
              <w:rPr>
                <w:rFonts w:asciiTheme="minorHAnsi" w:hAnsiTheme="minorHAnsi"/>
                <w:sz w:val="20"/>
                <w:szCs w:val="20"/>
              </w:rPr>
              <w:t>MISHRA ;</w:t>
            </w:r>
            <w:proofErr w:type="gramEnd"/>
            <w:r w:rsidRPr="00FF18C2">
              <w:rPr>
                <w:rFonts w:asciiTheme="minorHAnsi" w:hAnsiTheme="minorHAnsi"/>
                <w:sz w:val="20"/>
                <w:szCs w:val="20"/>
              </w:rPr>
              <w:t xml:space="preserve"> DIRECTOR MINISTRY OF ELECTRONICS AND INFORMATION TECHNOLOGY, GOVERNMENT OF INDIA</w:t>
            </w:r>
          </w:p>
          <w:p w:rsidR="00072C03" w:rsidRPr="002860E2" w:rsidRDefault="00072C03" w:rsidP="005417AB">
            <w:pPr>
              <w:contextualSpacing/>
              <w:rPr>
                <w:rFonts w:asciiTheme="minorHAnsi" w:hAnsiTheme="minorHAnsi"/>
                <w:sz w:val="20"/>
                <w:szCs w:val="20"/>
              </w:rPr>
            </w:pP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48392B">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It is essential to protect the users email address from slammers and stalkers </w:t>
            </w:r>
            <w:proofErr w:type="spellStart"/>
            <w:r w:rsidRPr="00FF18C2">
              <w:rPr>
                <w:rFonts w:asciiTheme="minorHAnsi" w:hAnsiTheme="minorHAnsi"/>
                <w:sz w:val="20"/>
                <w:szCs w:val="20"/>
              </w:rPr>
              <w:t>etc</w:t>
            </w:r>
            <w:proofErr w:type="spellEnd"/>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tc>
        <w:tc>
          <w:tcPr>
            <w:tcW w:w="2700" w:type="dxa"/>
          </w:tcPr>
          <w:p w:rsidR="00FF18C2" w:rsidRPr="00FF18C2" w:rsidRDefault="00FF18C2" w:rsidP="00FF18C2">
            <w:pPr>
              <w:pStyle w:val="ColorfulList-Accent11"/>
              <w:ind w:left="0"/>
              <w:rPr>
                <w:rFonts w:asciiTheme="minorHAnsi" w:hAnsiTheme="minorHAnsi"/>
                <w:sz w:val="20"/>
                <w:szCs w:val="20"/>
              </w:rPr>
            </w:pPr>
            <w:r w:rsidRPr="00FF18C2">
              <w:rPr>
                <w:rFonts w:asciiTheme="minorHAnsi" w:hAnsiTheme="minorHAnsi"/>
                <w:sz w:val="20"/>
                <w:szCs w:val="20"/>
              </w:rPr>
              <w:t xml:space="preserve">David Martel </w:t>
            </w:r>
          </w:p>
          <w:p w:rsidR="00235D20" w:rsidRPr="002860E2" w:rsidRDefault="00235D20" w:rsidP="005417AB">
            <w:pPr>
              <w:contextualSpacing/>
              <w:rPr>
                <w:rFonts w:asciiTheme="minorHAnsi" w:hAnsiTheme="minorHAnsi"/>
                <w:sz w:val="20"/>
                <w:szCs w:val="20"/>
              </w:rPr>
            </w:pPr>
          </w:p>
        </w:tc>
        <w:tc>
          <w:tcPr>
            <w:tcW w:w="3960" w:type="dxa"/>
          </w:tcPr>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FF18C2" w:rsidRPr="002860E2"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FF18C2" w:rsidRPr="002B3C04" w:rsidRDefault="00FF18C2" w:rsidP="00FF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FF18C2" w:rsidRPr="002860E2" w:rsidRDefault="00FF18C2" w:rsidP="00FF18C2">
            <w:pPr>
              <w:contextualSpacing/>
              <w:rPr>
                <w:rFonts w:asciiTheme="minorHAnsi" w:hAnsiTheme="minorHAnsi"/>
                <w:sz w:val="20"/>
                <w:szCs w:val="20"/>
              </w:rPr>
            </w:pPr>
          </w:p>
          <w:p w:rsidR="00FF18C2" w:rsidRPr="002860E2" w:rsidRDefault="00FF18C2" w:rsidP="00FF18C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235D20" w:rsidRPr="002860E2" w:rsidRDefault="00235D20" w:rsidP="005417AB">
            <w:pPr>
              <w:contextualSpacing/>
              <w:rPr>
                <w:rFonts w:asciiTheme="minorHAnsi" w:hAnsiTheme="minorHAnsi"/>
                <w:sz w:val="20"/>
                <w:szCs w:val="20"/>
              </w:rPr>
            </w:pPr>
          </w:p>
        </w:tc>
      </w:tr>
      <w:tr w:rsidR="00235D20" w:rsidRPr="002860E2" w:rsidTr="0048392B">
        <w:trPr>
          <w:cantSplit/>
        </w:trPr>
        <w:tc>
          <w:tcPr>
            <w:tcW w:w="15390" w:type="dxa"/>
            <w:gridSpan w:val="4"/>
            <w:shd w:val="clear" w:color="auto" w:fill="92D050"/>
          </w:tcPr>
          <w:p w:rsidR="00235D20" w:rsidRPr="001556A8" w:rsidRDefault="002B3C04" w:rsidP="00FF18C2">
            <w:pPr>
              <w:keepNext/>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lastRenderedPageBreak/>
              <w:t>Support intent of recommendation with edits</w:t>
            </w:r>
          </w:p>
        </w:tc>
      </w:tr>
      <w:tr w:rsidR="00072C03" w:rsidRPr="002860E2" w:rsidTr="0048392B">
        <w:trPr>
          <w:cantSplit/>
        </w:trPr>
        <w:tc>
          <w:tcPr>
            <w:tcW w:w="675" w:type="dxa"/>
          </w:tcPr>
          <w:p w:rsidR="00072C03" w:rsidRPr="002860E2" w:rsidRDefault="00072C03" w:rsidP="00FF18C2">
            <w:pPr>
              <w:keepNext/>
              <w:numPr>
                <w:ilvl w:val="0"/>
                <w:numId w:val="23"/>
              </w:numPr>
              <w:contextualSpacing/>
              <w:rPr>
                <w:rFonts w:asciiTheme="minorHAnsi" w:hAnsiTheme="minorHAnsi"/>
                <w:b/>
                <w:sz w:val="20"/>
                <w:szCs w:val="20"/>
              </w:rPr>
            </w:pPr>
          </w:p>
        </w:tc>
        <w:tc>
          <w:tcPr>
            <w:tcW w:w="8055" w:type="dxa"/>
          </w:tcPr>
          <w:p w:rsidR="00411FB7" w:rsidRDefault="00411FB7" w:rsidP="00FF18C2">
            <w:pPr>
              <w:pStyle w:val="ColorfulList-Accent11"/>
              <w:keepNext/>
              <w:ind w:left="0"/>
              <w:rPr>
                <w:rFonts w:asciiTheme="minorHAnsi" w:hAnsiTheme="minorHAnsi"/>
                <w:sz w:val="20"/>
                <w:szCs w:val="20"/>
              </w:rPr>
            </w:pPr>
            <w:r w:rsidRPr="00411FB7">
              <w:rPr>
                <w:rFonts w:asciiTheme="minorHAnsi" w:hAnsiTheme="minorHAnsi"/>
                <w:sz w:val="20"/>
                <w:szCs w:val="20"/>
              </w:rPr>
              <w:t>Delete</w:t>
            </w:r>
            <w:proofErr w:type="gramStart"/>
            <w:r w:rsidRPr="00411FB7">
              <w:rPr>
                <w:rFonts w:asciiTheme="minorHAnsi" w:hAnsiTheme="minorHAnsi"/>
                <w:sz w:val="20"/>
                <w:szCs w:val="20"/>
              </w:rPr>
              <w:t>:  “</w:t>
            </w:r>
            <w:proofErr w:type="gramEnd"/>
            <w:r w:rsidRPr="00411FB7">
              <w:rPr>
                <w:rFonts w:asciiTheme="minorHAnsi" w:hAnsiTheme="minorHAnsi"/>
                <w:sz w:val="20"/>
                <w:szCs w:val="20"/>
              </w:rPr>
              <w:t>… an email address…”</w:t>
            </w:r>
          </w:p>
          <w:p w:rsidR="00411FB7" w:rsidRDefault="00411FB7" w:rsidP="00FF18C2">
            <w:pPr>
              <w:pStyle w:val="ColorfulList-Accent11"/>
              <w:keepNext/>
              <w:ind w:left="0"/>
              <w:rPr>
                <w:rFonts w:asciiTheme="minorHAnsi" w:hAnsiTheme="minorHAnsi"/>
                <w:sz w:val="20"/>
                <w:szCs w:val="20"/>
              </w:rPr>
            </w:pPr>
          </w:p>
          <w:p w:rsidR="00411FB7" w:rsidRPr="00411FB7" w:rsidRDefault="00411FB7" w:rsidP="00FF18C2">
            <w:pPr>
              <w:pStyle w:val="ColorfulList-Accent11"/>
              <w:keepNext/>
              <w:ind w:left="0"/>
              <w:rPr>
                <w:rFonts w:asciiTheme="minorHAnsi" w:hAnsiTheme="minorHAnsi"/>
                <w:sz w:val="20"/>
                <w:szCs w:val="20"/>
              </w:rPr>
            </w:pPr>
            <w:r w:rsidRPr="00411FB7">
              <w:rPr>
                <w:rFonts w:asciiTheme="minorHAnsi" w:hAnsiTheme="minorHAnsi"/>
                <w:sz w:val="20"/>
                <w:szCs w:val="20"/>
              </w:rPr>
              <w:t>GoDaddy strongly encourages registrars to implement web contact forms rather than “relay” email addresses, as the later will become compromised rapidly following their publication.</w:t>
            </w:r>
          </w:p>
          <w:p w:rsidR="00072C03" w:rsidRPr="002860E2" w:rsidRDefault="00072C03" w:rsidP="00FF18C2">
            <w:pPr>
              <w:pStyle w:val="ColorfulList-Accent11"/>
              <w:keepNext/>
              <w:ind w:left="0"/>
              <w:rPr>
                <w:rFonts w:asciiTheme="minorHAnsi" w:hAnsiTheme="minorHAnsi"/>
                <w:sz w:val="20"/>
                <w:szCs w:val="20"/>
              </w:rPr>
            </w:pPr>
          </w:p>
        </w:tc>
        <w:tc>
          <w:tcPr>
            <w:tcW w:w="2700" w:type="dxa"/>
          </w:tcPr>
          <w:p w:rsidR="00072C03" w:rsidRPr="002860E2" w:rsidRDefault="00D503D3" w:rsidP="00FF18C2">
            <w:pPr>
              <w:keepNext/>
              <w:contextualSpacing/>
              <w:rPr>
                <w:rFonts w:asciiTheme="minorHAnsi" w:hAnsiTheme="minorHAnsi"/>
                <w:sz w:val="20"/>
                <w:szCs w:val="20"/>
              </w:rPr>
            </w:pPr>
            <w:r>
              <w:rPr>
                <w:rFonts w:ascii="Arial" w:hAnsi="Arial" w:cs="Arial"/>
                <w:sz w:val="20"/>
                <w:szCs w:val="20"/>
              </w:rPr>
              <w:t xml:space="preserve">Sara </w:t>
            </w:r>
            <w:proofErr w:type="spellStart"/>
            <w:r>
              <w:rPr>
                <w:rFonts w:ascii="Arial" w:hAnsi="Arial" w:cs="Arial"/>
                <w:sz w:val="20"/>
                <w:szCs w:val="20"/>
              </w:rPr>
              <w:t>Bockey</w:t>
            </w:r>
            <w:proofErr w:type="spellEnd"/>
            <w:r>
              <w:rPr>
                <w:rFonts w:ascii="Arial" w:hAnsi="Arial" w:cs="Arial"/>
                <w:sz w:val="20"/>
                <w:szCs w:val="20"/>
              </w:rPr>
              <w:t>; GoDaddy</w:t>
            </w:r>
          </w:p>
        </w:tc>
        <w:tc>
          <w:tcPr>
            <w:tcW w:w="3960" w:type="dxa"/>
          </w:tcPr>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FF18C2">
            <w:pPr>
              <w:keepNext/>
              <w:contextualSpacing/>
              <w:rPr>
                <w:rFonts w:asciiTheme="minorHAnsi" w:hAnsiTheme="minorHAnsi"/>
                <w:sz w:val="20"/>
                <w:szCs w:val="20"/>
              </w:rPr>
            </w:pPr>
          </w:p>
          <w:p w:rsidR="002B3C04" w:rsidRPr="002860E2" w:rsidRDefault="002B3C04" w:rsidP="00FF18C2">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FF18C2">
            <w:pPr>
              <w:keepNext/>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411FB7" w:rsidRDefault="00411FB7" w:rsidP="00411FB7">
            <w:pPr>
              <w:rPr>
                <w:rFonts w:asciiTheme="minorHAnsi" w:hAnsiTheme="minorHAnsi" w:cstheme="minorHAnsi"/>
                <w:sz w:val="20"/>
                <w:szCs w:val="20"/>
              </w:rPr>
            </w:pPr>
            <w:r w:rsidRPr="00411FB7">
              <w:rPr>
                <w:rFonts w:asciiTheme="minorHAnsi" w:hAnsiTheme="minorHAnsi" w:cstheme="minorHAnsi"/>
                <w:sz w:val="20"/>
                <w:szCs w:val="20"/>
              </w:rPr>
              <w:t xml:space="preserve">We support the intent of this recommendation but believe it should be up to the registrar to determine if this is an </w:t>
            </w:r>
            <w:proofErr w:type="gramStart"/>
            <w:r w:rsidRPr="00411FB7">
              <w:rPr>
                <w:rFonts w:asciiTheme="minorHAnsi" w:hAnsiTheme="minorHAnsi" w:cstheme="minorHAnsi"/>
                <w:sz w:val="20"/>
                <w:szCs w:val="20"/>
              </w:rPr>
              <w:t>option</w:t>
            </w:r>
            <w:proofErr w:type="gramEnd"/>
            <w:r w:rsidRPr="00411FB7">
              <w:rPr>
                <w:rFonts w:asciiTheme="minorHAnsi" w:hAnsiTheme="minorHAnsi" w:cstheme="minorHAnsi"/>
                <w:sz w:val="20"/>
                <w:szCs w:val="20"/>
              </w:rPr>
              <w:t xml:space="preserve"> they want to make available for domains under their management. Registrars may choose to allow for other methods of </w:t>
            </w:r>
            <w:proofErr w:type="spellStart"/>
            <w:r w:rsidRPr="00411FB7">
              <w:rPr>
                <w:rFonts w:asciiTheme="minorHAnsi" w:hAnsiTheme="minorHAnsi" w:cstheme="minorHAnsi"/>
                <w:sz w:val="20"/>
                <w:szCs w:val="20"/>
              </w:rPr>
              <w:t>contactability</w:t>
            </w:r>
            <w:proofErr w:type="spellEnd"/>
            <w:r w:rsidRPr="00411FB7">
              <w:rPr>
                <w:rFonts w:asciiTheme="minorHAnsi" w:hAnsiTheme="minorHAnsi" w:cstheme="minorHAnsi"/>
                <w:sz w:val="20"/>
                <w:szCs w:val="20"/>
              </w:rPr>
              <w:t xml:space="preserve"> not specified in the Temporary Specification and we believe it should be left up to each individual registrar on how they want to make that option available to registered name holders. Furthermore, we would encourage registrars to implement a web-based contact form as opposed to relay e-mail addresses as the latter have the potential to be compromised and lead to unforeseen issues down the road.</w:t>
            </w:r>
          </w:p>
        </w:tc>
        <w:tc>
          <w:tcPr>
            <w:tcW w:w="2700" w:type="dxa"/>
          </w:tcPr>
          <w:p w:rsidR="004E16F7" w:rsidRDefault="00D503D3" w:rsidP="004E16F7">
            <w:pPr>
              <w:pStyle w:val="ListParagraph"/>
              <w:numPr>
                <w:ilvl w:val="0"/>
                <w:numId w:val="43"/>
              </w:numPr>
              <w:contextualSpacing/>
              <w:rPr>
                <w:rFonts w:asciiTheme="minorHAnsi" w:hAnsiTheme="minorHAnsi" w:cstheme="minorHAnsi"/>
                <w:sz w:val="20"/>
                <w:szCs w:val="20"/>
              </w:rPr>
            </w:pPr>
            <w:r w:rsidRPr="004E16F7">
              <w:rPr>
                <w:rFonts w:asciiTheme="minorHAnsi" w:hAnsiTheme="minorHAnsi" w:cstheme="minorHAnsi"/>
                <w:sz w:val="20"/>
                <w:szCs w:val="20"/>
              </w:rPr>
              <w:t xml:space="preserve">Volker </w:t>
            </w:r>
            <w:proofErr w:type="spellStart"/>
            <w:r w:rsidRPr="004E16F7">
              <w:rPr>
                <w:rFonts w:asciiTheme="minorHAnsi" w:hAnsiTheme="minorHAnsi" w:cstheme="minorHAnsi"/>
                <w:sz w:val="20"/>
                <w:szCs w:val="20"/>
              </w:rPr>
              <w:t>Greimann</w:t>
            </w:r>
            <w:proofErr w:type="spellEnd"/>
            <w:r w:rsidRPr="004E16F7">
              <w:rPr>
                <w:rFonts w:asciiTheme="minorHAnsi" w:hAnsiTheme="minorHAnsi" w:cstheme="minorHAnsi"/>
                <w:sz w:val="20"/>
                <w:szCs w:val="20"/>
              </w:rPr>
              <w:t>; Key-Systems GmbH</w:t>
            </w:r>
            <w:r w:rsidR="00411FB7" w:rsidRPr="004E16F7">
              <w:rPr>
                <w:rFonts w:asciiTheme="minorHAnsi" w:hAnsiTheme="minorHAnsi" w:cstheme="minorHAnsi"/>
                <w:sz w:val="20"/>
                <w:szCs w:val="20"/>
              </w:rPr>
              <w:t xml:space="preserve"> </w:t>
            </w:r>
          </w:p>
          <w:p w:rsidR="00072C03" w:rsidRPr="004E16F7" w:rsidRDefault="00411FB7" w:rsidP="004E16F7">
            <w:pPr>
              <w:pStyle w:val="ListParagraph"/>
              <w:numPr>
                <w:ilvl w:val="0"/>
                <w:numId w:val="43"/>
              </w:numPr>
              <w:contextualSpacing/>
              <w:rPr>
                <w:rFonts w:asciiTheme="minorHAnsi" w:hAnsiTheme="minorHAnsi" w:cstheme="minorHAnsi"/>
                <w:sz w:val="20"/>
                <w:szCs w:val="20"/>
              </w:rPr>
            </w:pPr>
            <w:r w:rsidRPr="004E16F7">
              <w:rPr>
                <w:rFonts w:asciiTheme="minorHAnsi" w:hAnsiTheme="minorHAnsi" w:cstheme="minorHAnsi"/>
                <w:sz w:val="20"/>
                <w:szCs w:val="20"/>
              </w:rPr>
              <w:t xml:space="preserve">Zoe Bonython; </w:t>
            </w:r>
            <w:proofErr w:type="spellStart"/>
            <w:r w:rsidRPr="004E16F7">
              <w:rPr>
                <w:rFonts w:asciiTheme="minorHAnsi" w:hAnsiTheme="minorHAnsi" w:cstheme="minorHAnsi"/>
                <w:sz w:val="20"/>
                <w:szCs w:val="20"/>
              </w:rPr>
              <w:t>RrSG</w:t>
            </w:r>
            <w:proofErr w:type="spellEnd"/>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411FB7">
              <w:rPr>
                <w:rFonts w:asciiTheme="minorHAnsi" w:hAnsiTheme="minorHAnsi"/>
                <w:sz w:val="20"/>
                <w:szCs w:val="20"/>
              </w:rPr>
              <w:t>No rationale or edits provided</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Domain.com, LLC &amp; affiliates</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411FB7" w:rsidRDefault="00411FB7" w:rsidP="00411FB7">
            <w:pPr>
              <w:pStyle w:val="ColorfulList-Accent11"/>
              <w:ind w:left="0"/>
              <w:rPr>
                <w:rFonts w:asciiTheme="minorHAnsi" w:hAnsiTheme="minorHAnsi"/>
                <w:sz w:val="20"/>
                <w:szCs w:val="20"/>
              </w:rPr>
            </w:pPr>
            <w:r w:rsidRPr="00411FB7">
              <w:rPr>
                <w:rFonts w:asciiTheme="minorHAnsi" w:hAnsiTheme="minorHAnsi"/>
                <w:sz w:val="20"/>
                <w:szCs w:val="20"/>
              </w:rPr>
              <w:t>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contact, but MUST NOT identify the contact email address or the contact itself, remain in place. The preferred option is the offering of web form.</w:t>
            </w:r>
          </w:p>
          <w:p w:rsidR="00411FB7" w:rsidRDefault="00411FB7" w:rsidP="00411FB7">
            <w:pPr>
              <w:pStyle w:val="ColorfulList-Accent11"/>
              <w:ind w:left="0"/>
              <w:rPr>
                <w:rFonts w:asciiTheme="minorHAnsi" w:hAnsiTheme="minorHAnsi"/>
                <w:sz w:val="20"/>
                <w:szCs w:val="20"/>
              </w:rPr>
            </w:pPr>
          </w:p>
          <w:p w:rsidR="00411FB7" w:rsidRPr="00411FB7" w:rsidRDefault="00411FB7" w:rsidP="00411FB7">
            <w:pPr>
              <w:pStyle w:val="ColorfulList-Accent11"/>
              <w:ind w:left="0"/>
              <w:rPr>
                <w:rFonts w:asciiTheme="minorHAnsi" w:hAnsiTheme="minorHAnsi"/>
                <w:sz w:val="20"/>
                <w:szCs w:val="20"/>
              </w:rPr>
            </w:pPr>
            <w:r w:rsidRPr="00411FB7">
              <w:rPr>
                <w:rFonts w:asciiTheme="minorHAnsi" w:hAnsiTheme="minorHAnsi"/>
                <w:sz w:val="20"/>
                <w:szCs w:val="20"/>
              </w:rPr>
              <w:t>The reason for spelling out the web form as a preferred option is that e-mail addresses as a communications channel might lead to disclosure of personal data if, e.g. an auto responder is deployed by the registered name holder.</w:t>
            </w:r>
          </w:p>
          <w:p w:rsidR="00411FB7" w:rsidRDefault="00411FB7" w:rsidP="00411FB7">
            <w:pPr>
              <w:pStyle w:val="ColorfulList-Accent11"/>
              <w:ind w:left="0"/>
              <w:rPr>
                <w:rFonts w:asciiTheme="minorHAnsi" w:hAnsiTheme="minorHAnsi"/>
                <w:sz w:val="20"/>
                <w:szCs w:val="20"/>
              </w:rPr>
            </w:pPr>
          </w:p>
          <w:p w:rsidR="00072C03" w:rsidRPr="00411FB7" w:rsidRDefault="00411FB7" w:rsidP="00411FB7">
            <w:pPr>
              <w:pStyle w:val="ColorfulList-Accent11"/>
              <w:ind w:left="0"/>
              <w:rPr>
                <w:rFonts w:ascii="Arial" w:hAnsi="Arial" w:cs="Arial"/>
                <w:sz w:val="20"/>
                <w:szCs w:val="20"/>
              </w:rPr>
            </w:pPr>
            <w:r w:rsidRPr="00411FB7">
              <w:rPr>
                <w:rFonts w:asciiTheme="minorHAnsi" w:hAnsiTheme="minorHAnsi"/>
                <w:sz w:val="20"/>
                <w:szCs w:val="20"/>
              </w:rPr>
              <w:t>The requirement for offering a communications channel shall be designed to follow a “relay &amp; delete” approach. Contracted parties shall not be obliged to ensure or record delivery of communication or otherwise commit to service level agreements.</w:t>
            </w:r>
          </w:p>
        </w:tc>
        <w:tc>
          <w:tcPr>
            <w:tcW w:w="2700" w:type="dxa"/>
          </w:tcPr>
          <w:p w:rsidR="004E16F7" w:rsidRDefault="00D503D3" w:rsidP="004E16F7">
            <w:pPr>
              <w:pStyle w:val="ListParagraph"/>
              <w:numPr>
                <w:ilvl w:val="0"/>
                <w:numId w:val="44"/>
              </w:numPr>
              <w:contextualSpacing/>
              <w:rPr>
                <w:rFonts w:asciiTheme="minorHAnsi" w:hAnsiTheme="minorHAnsi" w:cstheme="minorHAnsi"/>
                <w:sz w:val="20"/>
                <w:szCs w:val="20"/>
              </w:rPr>
            </w:pPr>
            <w:r w:rsidRPr="004E16F7">
              <w:rPr>
                <w:rFonts w:asciiTheme="minorHAnsi" w:hAnsiTheme="minorHAnsi" w:cstheme="minorHAnsi"/>
                <w:sz w:val="20"/>
                <w:szCs w:val="20"/>
              </w:rPr>
              <w:t>Lars Steffen; eco – Association of the Internet Industry</w:t>
            </w:r>
            <w:r w:rsidR="00411FB7" w:rsidRPr="004E16F7">
              <w:rPr>
                <w:rFonts w:asciiTheme="minorHAnsi" w:hAnsiTheme="minorHAnsi" w:cstheme="minorHAnsi"/>
                <w:sz w:val="20"/>
                <w:szCs w:val="20"/>
              </w:rPr>
              <w:t xml:space="preserve"> </w:t>
            </w:r>
          </w:p>
          <w:p w:rsidR="00072C03" w:rsidRPr="004E16F7" w:rsidRDefault="00411FB7" w:rsidP="004E16F7">
            <w:pPr>
              <w:pStyle w:val="ListParagraph"/>
              <w:numPr>
                <w:ilvl w:val="0"/>
                <w:numId w:val="44"/>
              </w:numPr>
              <w:contextualSpacing/>
              <w:rPr>
                <w:rFonts w:asciiTheme="minorHAnsi" w:hAnsiTheme="minorHAnsi" w:cstheme="minorHAnsi"/>
                <w:sz w:val="20"/>
                <w:szCs w:val="20"/>
              </w:rPr>
            </w:pPr>
            <w:r w:rsidRPr="004E16F7">
              <w:rPr>
                <w:rFonts w:asciiTheme="minorHAnsi" w:hAnsiTheme="minorHAnsi" w:cstheme="minorHAnsi"/>
                <w:sz w:val="20"/>
                <w:szCs w:val="20"/>
              </w:rPr>
              <w:t xml:space="preserve">Wolf-Ulrich </w:t>
            </w:r>
            <w:proofErr w:type="spellStart"/>
            <w:r w:rsidRPr="004E16F7">
              <w:rPr>
                <w:rFonts w:asciiTheme="minorHAnsi" w:hAnsiTheme="minorHAnsi" w:cstheme="minorHAnsi"/>
                <w:sz w:val="20"/>
                <w:szCs w:val="20"/>
              </w:rPr>
              <w:t>Knoben</w:t>
            </w:r>
            <w:proofErr w:type="spellEnd"/>
            <w:r w:rsidRPr="004E16F7">
              <w:rPr>
                <w:rFonts w:asciiTheme="minorHAnsi" w:hAnsiTheme="minorHAnsi" w:cstheme="minorHAnsi"/>
                <w:sz w:val="20"/>
                <w:szCs w:val="20"/>
              </w:rPr>
              <w:t>; ISPCP Constituency</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D503D3" w:rsidRPr="002860E2" w:rsidTr="0048392B">
        <w:trPr>
          <w:cantSplit/>
        </w:trPr>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8A4F25" w:rsidRPr="008A4F25"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Only required for the registrant, not for the rest of the contacts.</w:t>
            </w:r>
          </w:p>
          <w:p w:rsidR="00D503D3" w:rsidRPr="002860E2" w:rsidRDefault="00D503D3" w:rsidP="005417AB">
            <w:pPr>
              <w:pStyle w:val="ColorfulList-Accent11"/>
              <w:ind w:left="0"/>
              <w:rPr>
                <w:rFonts w:asciiTheme="minorHAnsi" w:hAnsiTheme="minorHAnsi"/>
                <w:sz w:val="20"/>
                <w:szCs w:val="20"/>
              </w:rPr>
            </w:pPr>
          </w:p>
        </w:tc>
        <w:tc>
          <w:tcPr>
            <w:tcW w:w="2700" w:type="dxa"/>
          </w:tcPr>
          <w:p w:rsidR="00D503D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 xml:space="preserve">Theo </w:t>
            </w:r>
            <w:proofErr w:type="spellStart"/>
            <w:r w:rsidRPr="00411FB7">
              <w:rPr>
                <w:rFonts w:asciiTheme="minorHAnsi" w:hAnsiTheme="minorHAnsi" w:cstheme="minorHAnsi"/>
                <w:sz w:val="20"/>
                <w:szCs w:val="20"/>
              </w:rPr>
              <w:t>Geurts</w:t>
            </w:r>
            <w:proofErr w:type="spellEnd"/>
            <w:r w:rsidRPr="00411FB7">
              <w:rPr>
                <w:rFonts w:asciiTheme="minorHAnsi" w:hAnsiTheme="minorHAnsi" w:cstheme="minorHAnsi"/>
                <w:sz w:val="20"/>
                <w:szCs w:val="20"/>
              </w:rPr>
              <w:t>; Realtime Register B.V.</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503D3" w:rsidRPr="002860E2" w:rsidTr="0048392B">
        <w:trPr>
          <w:cantSplit/>
        </w:trPr>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8A4F25" w:rsidRPr="002860E2"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 xml:space="preserve">The overall intent is fine, but registrars might find other methods of facilitating communication outside of this. </w:t>
            </w:r>
            <w:proofErr w:type="gramStart"/>
            <w:r w:rsidRPr="008A4F25">
              <w:rPr>
                <w:rFonts w:asciiTheme="minorHAnsi" w:hAnsiTheme="minorHAnsi"/>
                <w:sz w:val="20"/>
                <w:szCs w:val="20"/>
              </w:rPr>
              <w:t>Also</w:t>
            </w:r>
            <w:proofErr w:type="gramEnd"/>
            <w:r w:rsidRPr="008A4F25">
              <w:rPr>
                <w:rFonts w:asciiTheme="minorHAnsi" w:hAnsiTheme="minorHAnsi"/>
                <w:sz w:val="20"/>
                <w:szCs w:val="20"/>
              </w:rPr>
              <w:t xml:space="preserve"> the publication of an email address is a potential issue depending on how it is implemented, so using a web form is preferable</w:t>
            </w:r>
          </w:p>
        </w:tc>
        <w:tc>
          <w:tcPr>
            <w:tcW w:w="2700" w:type="dxa"/>
          </w:tcPr>
          <w:p w:rsidR="00D503D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Michele Neylon; Blacknight Internet Solutions Ltd</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503D3" w:rsidRPr="002860E2" w:rsidTr="0048392B">
        <w:trPr>
          <w:cantSplit/>
        </w:trPr>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D503D3" w:rsidRPr="002860E2"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 xml:space="preserve">Publication of the registrant’s email address in a way that can be automatically harvested and used for any purpose is clearly not acceptable and not compliant with the GDPR. Recommendation 10 is a good way to optimize privacy while furthering the goal of </w:t>
            </w:r>
            <w:proofErr w:type="spellStart"/>
            <w:r w:rsidRPr="008A4F25">
              <w:rPr>
                <w:rFonts w:asciiTheme="minorHAnsi" w:hAnsiTheme="minorHAnsi"/>
                <w:sz w:val="20"/>
                <w:szCs w:val="20"/>
              </w:rPr>
              <w:t>contactability</w:t>
            </w:r>
            <w:proofErr w:type="spellEnd"/>
            <w:r w:rsidRPr="008A4F25">
              <w:rPr>
                <w:rFonts w:asciiTheme="minorHAnsi" w:hAnsiTheme="minorHAnsi"/>
                <w:sz w:val="20"/>
                <w:szCs w:val="20"/>
              </w:rPr>
              <w:t xml:space="preserve"> articulated by Purpose 3. </w:t>
            </w:r>
            <w:r w:rsidRPr="008A4F25">
              <w:rPr>
                <w:rFonts w:asciiTheme="minorHAnsi" w:hAnsiTheme="minorHAnsi"/>
                <w:sz w:val="20"/>
                <w:szCs w:val="20"/>
              </w:rPr>
              <w:br/>
            </w:r>
            <w:r w:rsidRPr="008A4F25">
              <w:rPr>
                <w:rFonts w:asciiTheme="minorHAnsi" w:hAnsiTheme="minorHAnsi"/>
                <w:sz w:val="20"/>
                <w:szCs w:val="20"/>
              </w:rPr>
              <w:br/>
              <w:t xml:space="preserve">We note further that many domains and email address provide personal and sensitive data. Far better to use a temporary, registrar-assigned and/or web form to facilitate email communication with the relevant content without inadvertently revealing personal and sensitive data. </w:t>
            </w:r>
          </w:p>
        </w:tc>
        <w:tc>
          <w:tcPr>
            <w:tcW w:w="2700" w:type="dxa"/>
          </w:tcPr>
          <w:p w:rsidR="00D503D3" w:rsidRPr="00411FB7" w:rsidRDefault="00D503D3" w:rsidP="005417AB">
            <w:pPr>
              <w:contextualSpacing/>
              <w:rPr>
                <w:rFonts w:asciiTheme="minorHAnsi" w:hAnsiTheme="minorHAnsi" w:cstheme="minorHAnsi"/>
                <w:sz w:val="20"/>
                <w:szCs w:val="20"/>
              </w:rPr>
            </w:pPr>
            <w:r w:rsidRPr="00411FB7">
              <w:rPr>
                <w:rFonts w:asciiTheme="minorHAnsi" w:hAnsiTheme="minorHAnsi" w:cstheme="minorHAnsi"/>
                <w:sz w:val="20"/>
                <w:szCs w:val="20"/>
              </w:rPr>
              <w:t>A. Mark Massey; Domain Name Rights Coalition</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503D3" w:rsidRPr="002860E2" w:rsidTr="00FF18C2">
        <w:tc>
          <w:tcPr>
            <w:tcW w:w="675" w:type="dxa"/>
          </w:tcPr>
          <w:p w:rsidR="00D503D3" w:rsidRPr="002860E2" w:rsidRDefault="00D503D3" w:rsidP="00AC3871">
            <w:pPr>
              <w:numPr>
                <w:ilvl w:val="0"/>
                <w:numId w:val="23"/>
              </w:numPr>
              <w:contextualSpacing/>
              <w:rPr>
                <w:rFonts w:asciiTheme="minorHAnsi" w:hAnsiTheme="minorHAnsi"/>
                <w:b/>
                <w:sz w:val="20"/>
                <w:szCs w:val="20"/>
              </w:rPr>
            </w:pPr>
          </w:p>
        </w:tc>
        <w:tc>
          <w:tcPr>
            <w:tcW w:w="8055" w:type="dxa"/>
          </w:tcPr>
          <w:p w:rsidR="00D503D3" w:rsidRDefault="008A4F25" w:rsidP="005417AB">
            <w:pPr>
              <w:pStyle w:val="ColorfulList-Accent11"/>
              <w:ind w:left="0"/>
              <w:rPr>
                <w:rFonts w:asciiTheme="minorHAnsi" w:hAnsiTheme="minorHAnsi"/>
                <w:sz w:val="20"/>
                <w:szCs w:val="20"/>
              </w:rPr>
            </w:pPr>
            <w:r w:rsidRPr="008A4F25">
              <w:rPr>
                <w:rFonts w:asciiTheme="minorHAnsi" w:hAnsiTheme="minorHAnsi"/>
                <w:sz w:val="20"/>
                <w:szCs w:val="20"/>
              </w:rPr>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suggests the following edits to Recommendation #10:</w:t>
            </w:r>
            <w:r w:rsidRPr="008A4F25">
              <w:rPr>
                <w:rFonts w:asciiTheme="minorHAnsi" w:hAnsiTheme="minorHAnsi"/>
                <w:sz w:val="20"/>
                <w:szCs w:val="20"/>
              </w:rPr>
              <w:br/>
              <w:t>“The EPDP Team recommends that registrars must provide a mechanism to facilitate email communication with the Registered Name Holder or contact, but must not identify the contact email address or the contact itself.”</w:t>
            </w:r>
          </w:p>
          <w:p w:rsidR="008A4F25" w:rsidRDefault="008A4F25" w:rsidP="005417AB">
            <w:pPr>
              <w:pStyle w:val="ColorfulList-Accent11"/>
              <w:ind w:left="0"/>
              <w:rPr>
                <w:rFonts w:asciiTheme="minorHAnsi" w:hAnsiTheme="minorHAnsi"/>
                <w:sz w:val="20"/>
                <w:szCs w:val="20"/>
              </w:rPr>
            </w:pPr>
          </w:p>
          <w:p w:rsidR="008A4F25" w:rsidRPr="008A4F25"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supports the intent of Recommendation #10, but notes that it only reflects two options for registrars to facilitate communication with the relevant contact. There may be instances where registrars choose to offer other methods of contact, and the recommendation should provide registrars with the flexibility to offer such methods.</w:t>
            </w:r>
            <w:r w:rsidRPr="008A4F25">
              <w:rPr>
                <w:rFonts w:asciiTheme="minorHAnsi" w:hAnsiTheme="minorHAnsi"/>
                <w:sz w:val="20"/>
                <w:szCs w:val="20"/>
              </w:rPr>
              <w:br/>
            </w:r>
            <w:r w:rsidRPr="008A4F25">
              <w:rPr>
                <w:rFonts w:asciiTheme="minorHAnsi" w:hAnsiTheme="minorHAnsi"/>
                <w:sz w:val="20"/>
                <w:szCs w:val="20"/>
              </w:rPr>
              <w:br/>
              <w:t xml:space="preserve">In the Final Report, 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believes that policy recommendations should be standalone recommendations and not reference the Temporary Specification.</w:t>
            </w:r>
          </w:p>
          <w:p w:rsidR="008A4F25" w:rsidRDefault="008A4F25" w:rsidP="005417AB">
            <w:pPr>
              <w:pStyle w:val="ColorfulList-Accent11"/>
              <w:ind w:left="0"/>
              <w:rPr>
                <w:rFonts w:asciiTheme="minorHAnsi" w:hAnsiTheme="minorHAnsi"/>
                <w:sz w:val="20"/>
                <w:szCs w:val="20"/>
              </w:rPr>
            </w:pPr>
          </w:p>
          <w:p w:rsidR="008A4F25" w:rsidRPr="002860E2" w:rsidRDefault="008A4F25" w:rsidP="005417AB">
            <w:pPr>
              <w:pStyle w:val="ColorfulList-Accent11"/>
              <w:ind w:left="0"/>
              <w:rPr>
                <w:rFonts w:asciiTheme="minorHAnsi" w:hAnsiTheme="minorHAnsi"/>
                <w:sz w:val="20"/>
                <w:szCs w:val="20"/>
              </w:rPr>
            </w:pPr>
            <w:r w:rsidRPr="008A4F25">
              <w:rPr>
                <w:rFonts w:asciiTheme="minorHAnsi" w:hAnsiTheme="minorHAnsi"/>
                <w:sz w:val="20"/>
                <w:szCs w:val="20"/>
              </w:rPr>
              <w:lastRenderedPageBreak/>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will caution against the use of an email relay system, as such a system, without proper controls may have unintended data disclosure (e.g., auto-replies, Out </w:t>
            </w:r>
            <w:proofErr w:type="gramStart"/>
            <w:r w:rsidRPr="008A4F25">
              <w:rPr>
                <w:rFonts w:asciiTheme="minorHAnsi" w:hAnsiTheme="minorHAnsi"/>
                <w:sz w:val="20"/>
                <w:szCs w:val="20"/>
              </w:rPr>
              <w:t>Of</w:t>
            </w:r>
            <w:proofErr w:type="gramEnd"/>
            <w:r w:rsidRPr="008A4F25">
              <w:rPr>
                <w:rFonts w:asciiTheme="minorHAnsi" w:hAnsiTheme="minorHAnsi"/>
                <w:sz w:val="20"/>
                <w:szCs w:val="20"/>
              </w:rPr>
              <w:t xml:space="preserve"> Office notifiers). </w:t>
            </w:r>
            <w:r w:rsidRPr="008A4F25">
              <w:rPr>
                <w:rFonts w:asciiTheme="minorHAnsi" w:hAnsiTheme="minorHAnsi"/>
                <w:sz w:val="20"/>
                <w:szCs w:val="20"/>
              </w:rPr>
              <w:br/>
            </w:r>
            <w:r w:rsidRPr="008A4F25">
              <w:rPr>
                <w:rFonts w:asciiTheme="minorHAnsi" w:hAnsiTheme="minorHAnsi"/>
                <w:sz w:val="20"/>
                <w:szCs w:val="20"/>
              </w:rPr>
              <w:br/>
              <w:t xml:space="preserve">The </w:t>
            </w:r>
            <w:proofErr w:type="spellStart"/>
            <w:r w:rsidRPr="008A4F25">
              <w:rPr>
                <w:rFonts w:asciiTheme="minorHAnsi" w:hAnsiTheme="minorHAnsi"/>
                <w:sz w:val="20"/>
                <w:szCs w:val="20"/>
              </w:rPr>
              <w:t>RySG</w:t>
            </w:r>
            <w:proofErr w:type="spellEnd"/>
            <w:r w:rsidRPr="008A4F25">
              <w:rPr>
                <w:rFonts w:asciiTheme="minorHAnsi" w:hAnsiTheme="minorHAnsi"/>
                <w:sz w:val="20"/>
                <w:szCs w:val="20"/>
              </w:rPr>
              <w:t xml:space="preserve"> also, noting the discussions of the EPDP team, would strongly resist any suggestion as to the necessity of the Registrar in ‘confirming’ delivery. Such a ‘service level’ approach is unrealistic, and this recommendation, at its highest must be only taken as a ‘pass on’ requirement and should not give rise to any unreasonable expectations on the registrars to ‘verify’ receipt of such a communication. </w:t>
            </w:r>
          </w:p>
        </w:tc>
        <w:tc>
          <w:tcPr>
            <w:tcW w:w="2700" w:type="dxa"/>
          </w:tcPr>
          <w:p w:rsidR="00D503D3" w:rsidRPr="00411FB7" w:rsidRDefault="00411FB7" w:rsidP="005417AB">
            <w:pPr>
              <w:contextualSpacing/>
              <w:rPr>
                <w:rFonts w:asciiTheme="minorHAnsi" w:hAnsiTheme="minorHAnsi" w:cstheme="minorHAnsi"/>
                <w:sz w:val="20"/>
                <w:szCs w:val="20"/>
              </w:rPr>
            </w:pPr>
            <w:r w:rsidRPr="00411FB7">
              <w:rPr>
                <w:rFonts w:asciiTheme="minorHAnsi" w:hAnsiTheme="minorHAnsi" w:cstheme="minorHAnsi"/>
                <w:sz w:val="20"/>
                <w:szCs w:val="20"/>
              </w:rPr>
              <w:lastRenderedPageBreak/>
              <w:t xml:space="preserve">Wim </w:t>
            </w:r>
            <w:proofErr w:type="spellStart"/>
            <w:proofErr w:type="gramStart"/>
            <w:r w:rsidRPr="00411FB7">
              <w:rPr>
                <w:rFonts w:asciiTheme="minorHAnsi" w:hAnsiTheme="minorHAnsi" w:cstheme="minorHAnsi"/>
                <w:sz w:val="20"/>
                <w:szCs w:val="20"/>
              </w:rPr>
              <w:t>Degezelle</w:t>
            </w:r>
            <w:proofErr w:type="spellEnd"/>
            <w:r w:rsidRPr="00411FB7">
              <w:rPr>
                <w:rFonts w:asciiTheme="minorHAnsi" w:hAnsiTheme="minorHAnsi" w:cstheme="minorHAnsi"/>
                <w:sz w:val="20"/>
                <w:szCs w:val="20"/>
              </w:rPr>
              <w:t xml:space="preserve"> ;</w:t>
            </w:r>
            <w:proofErr w:type="gramEnd"/>
            <w:r w:rsidRPr="00411FB7">
              <w:rPr>
                <w:rFonts w:asciiTheme="minorHAnsi" w:hAnsiTheme="minorHAnsi" w:cstheme="minorHAnsi"/>
                <w:sz w:val="20"/>
                <w:szCs w:val="20"/>
              </w:rPr>
              <w:t xml:space="preserve"> </w:t>
            </w:r>
            <w:proofErr w:type="spellStart"/>
            <w:r w:rsidRPr="00411FB7">
              <w:rPr>
                <w:rFonts w:asciiTheme="minorHAnsi" w:hAnsiTheme="minorHAnsi" w:cstheme="minorHAnsi"/>
                <w:sz w:val="20"/>
                <w:szCs w:val="20"/>
              </w:rPr>
              <w:t>RySG</w:t>
            </w:r>
            <w:proofErr w:type="spellEnd"/>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503D3" w:rsidRPr="002860E2" w:rsidRDefault="00D503D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411FB7" w:rsidRPr="002860E2" w:rsidTr="0048392B">
        <w:trPr>
          <w:cantSplit/>
        </w:trPr>
        <w:tc>
          <w:tcPr>
            <w:tcW w:w="675" w:type="dxa"/>
          </w:tcPr>
          <w:p w:rsidR="00411FB7" w:rsidRPr="002860E2" w:rsidRDefault="00411FB7" w:rsidP="00AC3871">
            <w:pPr>
              <w:numPr>
                <w:ilvl w:val="0"/>
                <w:numId w:val="23"/>
              </w:numPr>
              <w:contextualSpacing/>
              <w:rPr>
                <w:rFonts w:asciiTheme="minorHAnsi" w:hAnsiTheme="minorHAnsi"/>
                <w:b/>
                <w:sz w:val="20"/>
                <w:szCs w:val="20"/>
              </w:rPr>
            </w:pPr>
          </w:p>
        </w:tc>
        <w:tc>
          <w:tcPr>
            <w:tcW w:w="8055" w:type="dxa"/>
          </w:tcPr>
          <w:p w:rsidR="008A4F25" w:rsidRPr="008A4F25" w:rsidRDefault="008A4F25" w:rsidP="008A4F25">
            <w:pPr>
              <w:pStyle w:val="ColorfulList-Accent11"/>
              <w:ind w:left="0"/>
              <w:rPr>
                <w:rFonts w:asciiTheme="minorHAnsi" w:hAnsiTheme="minorHAnsi"/>
                <w:sz w:val="20"/>
                <w:szCs w:val="20"/>
              </w:rPr>
            </w:pPr>
            <w:r w:rsidRPr="008A4F25">
              <w:rPr>
                <w:rFonts w:asciiTheme="minorHAnsi" w:hAnsiTheme="minorHAnsi"/>
                <w:sz w:val="20"/>
                <w:szCs w:val="20"/>
              </w:rPr>
              <w:t>...but for private persons must not identify...</w:t>
            </w:r>
          </w:p>
          <w:p w:rsidR="00411FB7" w:rsidRDefault="00411FB7" w:rsidP="005417AB">
            <w:pPr>
              <w:pStyle w:val="ColorfulList-Accent11"/>
              <w:ind w:left="0"/>
              <w:rPr>
                <w:rFonts w:asciiTheme="minorHAnsi" w:hAnsiTheme="minorHAnsi"/>
                <w:sz w:val="20"/>
                <w:szCs w:val="20"/>
              </w:rPr>
            </w:pPr>
          </w:p>
          <w:p w:rsidR="008A4F25" w:rsidRPr="002860E2" w:rsidRDefault="008A4F25" w:rsidP="005417AB">
            <w:pPr>
              <w:pStyle w:val="ColorfulList-Accent11"/>
              <w:ind w:left="0"/>
              <w:rPr>
                <w:rFonts w:asciiTheme="minorHAnsi" w:hAnsiTheme="minorHAnsi"/>
                <w:sz w:val="20"/>
                <w:szCs w:val="20"/>
              </w:rPr>
            </w:pPr>
            <w:r w:rsidRPr="008A4F25">
              <w:rPr>
                <w:rFonts w:asciiTheme="minorHAnsi" w:hAnsiTheme="minorHAnsi"/>
                <w:sz w:val="20"/>
                <w:szCs w:val="20"/>
              </w:rPr>
              <w:t>GDPR is for the protection of data privacy of individuals, not commercial operations. Where a domain is obviously being used for commercial purposes, there should be full transparency on contact email address. Key quantitative and qualitative indicators can be identified and agreed upon to establish baseline criteria for classification of commercial purpose.</w:t>
            </w:r>
          </w:p>
        </w:tc>
        <w:tc>
          <w:tcPr>
            <w:tcW w:w="2700" w:type="dxa"/>
          </w:tcPr>
          <w:p w:rsidR="00411FB7" w:rsidRPr="00411FB7" w:rsidRDefault="00411FB7" w:rsidP="005417AB">
            <w:pPr>
              <w:contextualSpacing/>
              <w:rPr>
                <w:rFonts w:asciiTheme="minorHAnsi" w:hAnsiTheme="minorHAnsi" w:cstheme="minorHAnsi"/>
                <w:sz w:val="20"/>
                <w:szCs w:val="20"/>
              </w:rPr>
            </w:pPr>
            <w:r w:rsidRPr="00411FB7">
              <w:rPr>
                <w:rFonts w:asciiTheme="minorHAnsi" w:hAnsiTheme="minorHAnsi" w:cstheme="minorHAnsi"/>
                <w:sz w:val="20"/>
                <w:szCs w:val="20"/>
              </w:rPr>
              <w:t xml:space="preserve">Monique A. </w:t>
            </w:r>
            <w:proofErr w:type="spellStart"/>
            <w:r w:rsidRPr="00411FB7">
              <w:rPr>
                <w:rFonts w:asciiTheme="minorHAnsi" w:hAnsiTheme="minorHAnsi" w:cstheme="minorHAnsi"/>
                <w:sz w:val="20"/>
                <w:szCs w:val="20"/>
              </w:rPr>
              <w:t>Goeschl</w:t>
            </w:r>
            <w:proofErr w:type="spellEnd"/>
            <w:r w:rsidRPr="00411FB7">
              <w:rPr>
                <w:rFonts w:asciiTheme="minorHAnsi" w:hAnsiTheme="minorHAnsi" w:cstheme="minorHAnsi"/>
                <w:sz w:val="20"/>
                <w:szCs w:val="20"/>
              </w:rPr>
              <w:t xml:space="preserve">; Verein </w:t>
            </w:r>
            <w:proofErr w:type="spellStart"/>
            <w:r w:rsidRPr="00411FB7">
              <w:rPr>
                <w:rFonts w:asciiTheme="minorHAnsi" w:hAnsiTheme="minorHAnsi" w:cstheme="minorHAnsi"/>
                <w:sz w:val="20"/>
                <w:szCs w:val="20"/>
              </w:rPr>
              <w:t>für</w:t>
            </w:r>
            <w:proofErr w:type="spellEnd"/>
            <w:r w:rsidRPr="00411FB7">
              <w:rPr>
                <w:rFonts w:asciiTheme="minorHAnsi" w:hAnsiTheme="minorHAnsi" w:cstheme="minorHAnsi"/>
                <w:sz w:val="20"/>
                <w:szCs w:val="20"/>
              </w:rPr>
              <w:t xml:space="preserve"> Anti-</w:t>
            </w:r>
            <w:proofErr w:type="spellStart"/>
            <w:r w:rsidRPr="00411FB7">
              <w:rPr>
                <w:rFonts w:asciiTheme="minorHAnsi" w:hAnsiTheme="minorHAnsi" w:cstheme="minorHAnsi"/>
                <w:sz w:val="20"/>
                <w:szCs w:val="20"/>
              </w:rPr>
              <w:t>Piraterie</w:t>
            </w:r>
            <w:proofErr w:type="spellEnd"/>
            <w:r w:rsidRPr="00411FB7">
              <w:rPr>
                <w:rFonts w:asciiTheme="minorHAnsi" w:hAnsiTheme="minorHAnsi" w:cstheme="minorHAnsi"/>
                <w:sz w:val="20"/>
                <w:szCs w:val="20"/>
              </w:rPr>
              <w:t xml:space="preserve"> der Film- und </w:t>
            </w:r>
            <w:proofErr w:type="spellStart"/>
            <w:r w:rsidRPr="00411FB7">
              <w:rPr>
                <w:rFonts w:asciiTheme="minorHAnsi" w:hAnsiTheme="minorHAnsi" w:cstheme="minorHAnsi"/>
                <w:sz w:val="20"/>
                <w:szCs w:val="20"/>
              </w:rPr>
              <w:t>Videobranche</w:t>
            </w:r>
            <w:proofErr w:type="spellEnd"/>
            <w:r w:rsidRPr="00411FB7">
              <w:rPr>
                <w:rFonts w:asciiTheme="minorHAnsi" w:hAnsiTheme="minorHAnsi" w:cstheme="minorHAnsi"/>
                <w:sz w:val="20"/>
                <w:szCs w:val="20"/>
              </w:rPr>
              <w:t xml:space="preserve"> (VAP)</w:t>
            </w:r>
          </w:p>
        </w:tc>
        <w:tc>
          <w:tcPr>
            <w:tcW w:w="3960" w:type="dxa"/>
          </w:tcPr>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A4F25" w:rsidRPr="002860E2"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A4F25" w:rsidRPr="002B3C04" w:rsidRDefault="008A4F25" w:rsidP="008A4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A4F25" w:rsidRPr="002860E2" w:rsidRDefault="008A4F25" w:rsidP="008A4F25">
            <w:pPr>
              <w:contextualSpacing/>
              <w:rPr>
                <w:rFonts w:asciiTheme="minorHAnsi" w:hAnsiTheme="minorHAnsi"/>
                <w:sz w:val="20"/>
                <w:szCs w:val="20"/>
              </w:rPr>
            </w:pPr>
          </w:p>
          <w:p w:rsidR="008A4F25" w:rsidRPr="002860E2" w:rsidRDefault="008A4F25" w:rsidP="008A4F2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411FB7" w:rsidRPr="002860E2" w:rsidRDefault="00411F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48392B">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48392B">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contact should be modified such that the registrar MAY provide an email address or web form to facilitate communication with the relevant contact but, if the Registrar provides such, it MUST NOT identify the contact email address or the contact itself without the data subject’s explicit prior consent to such publication.</w:t>
            </w:r>
          </w:p>
          <w:p w:rsidR="00072C03" w:rsidRPr="00EC45D4" w:rsidRDefault="00072C03" w:rsidP="005417AB">
            <w:pPr>
              <w:pStyle w:val="ColorfulList-Accent11"/>
              <w:ind w:left="0"/>
              <w:rPr>
                <w:rFonts w:asciiTheme="minorHAnsi" w:hAnsiTheme="minorHAnsi" w:cstheme="minorHAnsi"/>
                <w:sz w:val="20"/>
                <w:szCs w:val="20"/>
              </w:rPr>
            </w:pPr>
          </w:p>
          <w:p w:rsidR="00EC45D4" w:rsidRPr="00EC45D4" w:rsidRDefault="00EC45D4" w:rsidP="00EC45D4">
            <w:pPr>
              <w:rPr>
                <w:rFonts w:ascii="Arial" w:hAnsi="Arial" w:cs="Arial"/>
                <w:sz w:val="20"/>
                <w:szCs w:val="20"/>
              </w:rPr>
            </w:pPr>
            <w:r w:rsidRPr="00EC45D4">
              <w:rPr>
                <w:rFonts w:asciiTheme="minorHAnsi" w:hAnsiTheme="minorHAnsi" w:cstheme="minorHAnsi"/>
                <w:sz w:val="20"/>
                <w:szCs w:val="20"/>
              </w:rPr>
              <w:t>It exceeds ICANN’s purview to require that registrars operate an email service, be it forwarding or a web form that transmits to the RNH via email. The Security, Stability, and Resilience of the Domain Name System can be maintained without giving all Internet users the ability to contact all gTLD domain owners. This functionality should be optional for registrars to provide, if not entirely removed from ICANN’s contractual requirements.</w:t>
            </w:r>
          </w:p>
        </w:tc>
        <w:tc>
          <w:tcPr>
            <w:tcW w:w="2700" w:type="dxa"/>
          </w:tcPr>
          <w:p w:rsidR="00072C03" w:rsidRPr="00EC45D4" w:rsidRDefault="0057650B" w:rsidP="005417AB">
            <w:pPr>
              <w:contextualSpacing/>
              <w:rPr>
                <w:rFonts w:asciiTheme="minorHAnsi" w:hAnsiTheme="minorHAnsi" w:cstheme="minorHAnsi"/>
                <w:sz w:val="20"/>
                <w:szCs w:val="20"/>
              </w:rPr>
            </w:pPr>
            <w:proofErr w:type="spellStart"/>
            <w:r w:rsidRPr="00EC45D4">
              <w:rPr>
                <w:rFonts w:asciiTheme="minorHAnsi" w:hAnsiTheme="minorHAnsi" w:cstheme="minorHAnsi"/>
                <w:sz w:val="20"/>
                <w:szCs w:val="20"/>
              </w:rPr>
              <w:t>Tucows</w:t>
            </w:r>
            <w:proofErr w:type="spellEnd"/>
            <w:r w:rsidRPr="00EC45D4">
              <w:rPr>
                <w:rFonts w:asciiTheme="minorHAnsi" w:hAnsiTheme="minorHAnsi" w:cstheme="minorHAnsi"/>
                <w:sz w:val="20"/>
                <w:szCs w:val="20"/>
              </w:rPr>
              <w:t xml:space="preserve"> Domains Inc.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48392B">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No one knows if the messages are getting sent on to the registrants.  </w:t>
            </w:r>
            <w:proofErr w:type="gramStart"/>
            <w:r w:rsidRPr="00EC45D4">
              <w:rPr>
                <w:rFonts w:asciiTheme="minorHAnsi" w:hAnsiTheme="minorHAnsi" w:cstheme="minorHAnsi"/>
                <w:sz w:val="20"/>
                <w:szCs w:val="20"/>
              </w:rPr>
              <w:t>So</w:t>
            </w:r>
            <w:proofErr w:type="gramEnd"/>
            <w:r w:rsidRPr="00EC45D4">
              <w:rPr>
                <w:rFonts w:asciiTheme="minorHAnsi" w:hAnsiTheme="minorHAnsi" w:cstheme="minorHAnsi"/>
                <w:sz w:val="20"/>
                <w:szCs w:val="20"/>
              </w:rPr>
              <w:t xml:space="preserve"> while there's a requirements no one knows if its working or if its enforceable (or if compliance work is being executed).  As a </w:t>
            </w:r>
            <w:proofErr w:type="gramStart"/>
            <w:r w:rsidRPr="00EC45D4">
              <w:rPr>
                <w:rFonts w:asciiTheme="minorHAnsi" w:hAnsiTheme="minorHAnsi" w:cstheme="minorHAnsi"/>
                <w:sz w:val="20"/>
                <w:szCs w:val="20"/>
              </w:rPr>
              <w:t>result</w:t>
            </w:r>
            <w:proofErr w:type="gramEnd"/>
            <w:r w:rsidRPr="00EC45D4">
              <w:rPr>
                <w:rFonts w:asciiTheme="minorHAnsi" w:hAnsiTheme="minorHAnsi" w:cstheme="minorHAnsi"/>
                <w:sz w:val="20"/>
                <w:szCs w:val="20"/>
              </w:rPr>
              <w:t xml:space="preserve"> </w:t>
            </w:r>
            <w:proofErr w:type="spellStart"/>
            <w:r w:rsidRPr="00EC45D4">
              <w:rPr>
                <w:rFonts w:asciiTheme="minorHAnsi" w:hAnsiTheme="minorHAnsi" w:cstheme="minorHAnsi"/>
                <w:sz w:val="20"/>
                <w:szCs w:val="20"/>
              </w:rPr>
              <w:t>contactability</w:t>
            </w:r>
            <w:proofErr w:type="spellEnd"/>
            <w:r w:rsidRPr="00EC45D4">
              <w:rPr>
                <w:rFonts w:asciiTheme="minorHAnsi" w:hAnsiTheme="minorHAnsi" w:cstheme="minorHAnsi"/>
                <w:sz w:val="20"/>
                <w:szCs w:val="20"/>
              </w:rPr>
              <w:t xml:space="preserve"> (for UDRP, abuse, etc.) is possibly crippled.</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Greg Aaron; </w:t>
            </w:r>
            <w:proofErr w:type="spellStart"/>
            <w:r w:rsidRPr="00EC45D4">
              <w:rPr>
                <w:rFonts w:asciiTheme="minorHAnsi" w:hAnsiTheme="minorHAnsi" w:cstheme="minorHAnsi"/>
                <w:sz w:val="20"/>
                <w:szCs w:val="20"/>
              </w:rPr>
              <w:t>iThreat</w:t>
            </w:r>
            <w:proofErr w:type="spellEnd"/>
            <w:r w:rsidRPr="00EC45D4">
              <w:rPr>
                <w:rFonts w:asciiTheme="minorHAnsi" w:hAnsiTheme="minorHAnsi" w:cstheme="minorHAnsi"/>
                <w:sz w:val="20"/>
                <w:szCs w:val="20"/>
              </w:rPr>
              <w:t xml:space="preserve"> Cyber Group</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8392B">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The AG IS </w:t>
            </w:r>
            <w:proofErr w:type="gramStart"/>
            <w:r w:rsidRPr="00EC45D4">
              <w:rPr>
                <w:rFonts w:asciiTheme="minorHAnsi" w:hAnsiTheme="minorHAnsi" w:cstheme="minorHAnsi"/>
                <w:sz w:val="20"/>
                <w:szCs w:val="20"/>
              </w:rPr>
              <w:t>opposes</w:t>
            </w:r>
            <w:proofErr w:type="gramEnd"/>
            <w:r w:rsidRPr="00EC45D4">
              <w:rPr>
                <w:rFonts w:asciiTheme="minorHAnsi" w:hAnsiTheme="minorHAnsi" w:cstheme="minorHAnsi"/>
                <w:sz w:val="20"/>
                <w:szCs w:val="20"/>
              </w:rPr>
              <w:t xml:space="preserve"> redaction of the Email field without a suitable replacement. Some European ccTLDs publish entire Whois records, including a registrant’s email address and other personal data, consistent with GDPR. Nonetheless, if the community chooses to redact this field as a matter of policy then it is important to ensure that another universal, cross-TLD identifier, whether generated through anonymization or tokenization, exist in its place. An email form is not suitable for cybersecurity purposes.</w:t>
            </w: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Greg </w:t>
            </w:r>
            <w:proofErr w:type="spellStart"/>
            <w:r w:rsidRPr="00EC45D4">
              <w:rPr>
                <w:rFonts w:asciiTheme="minorHAnsi" w:hAnsiTheme="minorHAnsi" w:cstheme="minorHAnsi"/>
                <w:sz w:val="20"/>
                <w:szCs w:val="20"/>
              </w:rPr>
              <w:t>Mounier</w:t>
            </w:r>
            <w:proofErr w:type="spellEnd"/>
            <w:r w:rsidRPr="00EC45D4">
              <w:rPr>
                <w:rFonts w:asciiTheme="minorHAnsi" w:hAnsiTheme="minorHAnsi" w:cstheme="minorHAnsi"/>
                <w:sz w:val="20"/>
                <w:szCs w:val="20"/>
              </w:rPr>
              <w:t xml:space="preserve"> on behalf of Europol AGIS; Europol Advisory Group on Internet Security</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48392B">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Make this a "MUST" if and only if a registrant hasn't opted to display their own info in the WHOIS!</w:t>
            </w:r>
          </w:p>
          <w:p w:rsidR="008D7EE5" w:rsidRPr="00EC45D4" w:rsidRDefault="008D7EE5"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Registrants need to be able to opt-out of this, and be able to show their own identity and email address instead in the public WHOIS, unfiltered by a registrar. A registrar's systems may be less reliable than that of a registrant, and a registrant shouldn't be forced to have their inbound communications be intercepted by the registrar's systems.</w:t>
            </w:r>
          </w:p>
          <w:p w:rsidR="00EC45D4" w:rsidRPr="00EC45D4" w:rsidRDefault="00EC45D4" w:rsidP="00EC45D4">
            <w:pPr>
              <w:rPr>
                <w:rFonts w:asciiTheme="minorHAnsi" w:hAnsiTheme="minorHAnsi" w:cstheme="minorHAnsi"/>
                <w:sz w:val="20"/>
                <w:szCs w:val="20"/>
              </w:rPr>
            </w:pPr>
          </w:p>
          <w:p w:rsidR="008D7EE5"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See earlier comments opposing mandatory redaction.</w:t>
            </w: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George </w:t>
            </w:r>
            <w:proofErr w:type="spellStart"/>
            <w:r w:rsidRPr="00EC45D4">
              <w:rPr>
                <w:rFonts w:asciiTheme="minorHAnsi" w:hAnsiTheme="minorHAnsi" w:cstheme="minorHAnsi"/>
                <w:sz w:val="20"/>
                <w:szCs w:val="20"/>
              </w:rPr>
              <w:t>Kirikos</w:t>
            </w:r>
            <w:proofErr w:type="spellEnd"/>
            <w:r w:rsidRPr="00EC45D4">
              <w:rPr>
                <w:rFonts w:asciiTheme="minorHAnsi" w:hAnsiTheme="minorHAnsi" w:cstheme="minorHAnsi"/>
                <w:sz w:val="20"/>
                <w:szCs w:val="20"/>
              </w:rPr>
              <w:t>; Leap of Faith Financial Services Inc.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FF18C2">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The EPDP Team recommends that current requirements in the Temporary Specification that specify that a Registrar MUST provide an email address or a web form to facilitate email communication with the relevant contact and MUST provide the email address of registered name holders who are legal persons.</w:t>
            </w:r>
            <w:r w:rsidRPr="00EC45D4">
              <w:rPr>
                <w:rFonts w:asciiTheme="minorHAnsi" w:hAnsiTheme="minorHAnsi" w:cstheme="minorHAnsi"/>
                <w:sz w:val="20"/>
                <w:szCs w:val="20"/>
              </w:rPr>
              <w:br/>
              <w:t>The email address MUST be unique and uniform for each domain name registration attributed to a Registrant at a given Registrar.</w:t>
            </w:r>
            <w:r w:rsidRPr="00EC45D4">
              <w:rPr>
                <w:rFonts w:asciiTheme="minorHAnsi" w:hAnsiTheme="minorHAnsi" w:cstheme="minorHAnsi"/>
                <w:sz w:val="20"/>
                <w:szCs w:val="20"/>
              </w:rPr>
              <w:br/>
              <w:t>The email address MUST functionally forward communication received to the email address of the applicable contact and MUST describe the methods used to forward a communication and confirm its receipt.</w:t>
            </w:r>
            <w:r w:rsidRPr="00EC45D4">
              <w:rPr>
                <w:rFonts w:asciiTheme="minorHAnsi" w:hAnsiTheme="minorHAnsi" w:cstheme="minorHAnsi"/>
                <w:sz w:val="20"/>
                <w:szCs w:val="20"/>
              </w:rPr>
              <w:br/>
              <w:t>Registrar MAY implement commercially reasonable safeguards to prevent spam and other forms of abusive communications.</w:t>
            </w:r>
            <w:r w:rsidRPr="00EC45D4">
              <w:rPr>
                <w:rFonts w:asciiTheme="minorHAnsi" w:hAnsiTheme="minorHAnsi" w:cstheme="minorHAnsi"/>
                <w:sz w:val="20"/>
                <w:szCs w:val="20"/>
              </w:rPr>
              <w:br/>
              <w:t>It MUST NOT be feasible to extract or derive the email address of the contact from the email address provided to facilitate email communication with the relevant contact.</w:t>
            </w:r>
          </w:p>
          <w:p w:rsidR="008D7EE5" w:rsidRPr="00EC45D4" w:rsidRDefault="008D7EE5" w:rsidP="00EC45D4">
            <w:pPr>
              <w:rPr>
                <w:rFonts w:asciiTheme="minorHAnsi" w:hAnsiTheme="minorHAnsi" w:cstheme="minorHAnsi"/>
                <w:sz w:val="20"/>
                <w:szCs w:val="20"/>
              </w:rPr>
            </w:pPr>
          </w:p>
          <w:p w:rsidR="008D7EE5"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At minimum, the community must implement an effective and standardized method for replacing the email address with a pseudonymized email.  Such a pseudonymized email would redact personally identifiable information by providing a unique, registrant-specific replacement address.  This policy, in the context of the balancing exercise under 6(1)(f) GDPR, would grant reasonable latitude to legitimate third party interests and provide a reliable method of contact that would further allow for indexing such a contact to multiple domain names registered to the same person or entity.  (Please refer to Opinion 06/2014 regarding the notion of legitimate </w:t>
            </w:r>
            <w:r w:rsidRPr="00EC45D4">
              <w:rPr>
                <w:rFonts w:asciiTheme="minorHAnsi" w:hAnsiTheme="minorHAnsi" w:cstheme="minorHAnsi"/>
                <w:sz w:val="20"/>
                <w:szCs w:val="20"/>
              </w:rPr>
              <w:lastRenderedPageBreak/>
              <w:t>interests of the data controller under Article 7 of Directive 95/46/EC of the Article 29 Working Party (now the European Data Protection Board), pp. 42-43.)</w:t>
            </w:r>
          </w:p>
        </w:tc>
        <w:tc>
          <w:tcPr>
            <w:tcW w:w="2700" w:type="dxa"/>
          </w:tcPr>
          <w:p w:rsidR="008D7EE5" w:rsidRPr="00EC45D4" w:rsidRDefault="0057650B" w:rsidP="005417AB">
            <w:pPr>
              <w:contextualSpacing/>
              <w:rPr>
                <w:rFonts w:asciiTheme="minorHAnsi" w:hAnsiTheme="minorHAnsi" w:cstheme="minorHAnsi"/>
                <w:sz w:val="20"/>
                <w:szCs w:val="20"/>
              </w:rPr>
            </w:pPr>
            <w:r w:rsidRPr="00EC45D4">
              <w:rPr>
                <w:rFonts w:asciiTheme="minorHAnsi" w:hAnsiTheme="minorHAnsi" w:cstheme="minorHAnsi"/>
                <w:sz w:val="20"/>
                <w:szCs w:val="20"/>
              </w:rPr>
              <w:lastRenderedPageBreak/>
              <w:t>Steve DelBianco; BC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“In relation to facilitating email communication between third parties and the registrant, the EPDP Team recommends that current requirements in the Temporary Specification that specify when a registrant’s contact data must be redacted should be changed, to wit:</w:t>
            </w:r>
            <w:r w:rsidRPr="00EC45D4">
              <w:rPr>
                <w:rFonts w:asciiTheme="minorHAnsi" w:hAnsiTheme="minorHAnsi" w:cstheme="minorHAnsi"/>
                <w:sz w:val="20"/>
                <w:szCs w:val="20"/>
              </w:rPr>
              <w:br/>
              <w:t xml:space="preserve">• Registrar MUST provide an email address to facilitate email communication with the relevant contact; this MUST be the original email address of registrant if the registrant is a legal person.  </w:t>
            </w:r>
            <w:r w:rsidRPr="00EC45D4">
              <w:rPr>
                <w:rFonts w:asciiTheme="minorHAnsi" w:hAnsiTheme="minorHAnsi" w:cstheme="minorHAnsi"/>
                <w:sz w:val="20"/>
                <w:szCs w:val="20"/>
              </w:rPr>
              <w:br/>
              <w:t xml:space="preserve">• The email address SHOULD be unique and uniform across domain name registrations at a given Registrar.   </w:t>
            </w:r>
            <w:r w:rsidRPr="00EC45D4">
              <w:rPr>
                <w:rFonts w:asciiTheme="minorHAnsi" w:hAnsiTheme="minorHAnsi" w:cstheme="minorHAnsi"/>
                <w:sz w:val="20"/>
                <w:szCs w:val="20"/>
              </w:rPr>
              <w:br/>
              <w:t xml:space="preserve">• If the communication mechanism is provided by the registrar (web form or hosted email service) it MUST provide functionality to forward communications received to the email address of the applicable contact and MUST describe the methods used to forward communications and confirm receipt.  </w:t>
            </w:r>
            <w:r w:rsidRPr="00EC45D4">
              <w:rPr>
                <w:rFonts w:asciiTheme="minorHAnsi" w:hAnsiTheme="minorHAnsi" w:cstheme="minorHAnsi"/>
                <w:sz w:val="20"/>
                <w:szCs w:val="20"/>
              </w:rPr>
              <w:br/>
              <w:t xml:space="preserve">• If a web form is provided, it MUST also provide functionality to forward communications received to the email address of the applicable contact and MUST describe the methods used to forward communications and confirm receipt.  </w:t>
            </w:r>
            <w:r w:rsidRPr="00EC45D4">
              <w:rPr>
                <w:rFonts w:asciiTheme="minorHAnsi" w:hAnsiTheme="minorHAnsi" w:cstheme="minorHAnsi"/>
                <w:sz w:val="20"/>
                <w:szCs w:val="20"/>
              </w:rPr>
              <w:br/>
              <w:t>• Registrar MAY implement commercially reasonable safeguards to filter out spam and other form of abusive communications.”</w:t>
            </w:r>
          </w:p>
          <w:p w:rsidR="00EC45D4" w:rsidRPr="00EC45D4" w:rsidRDefault="00EC45D4" w:rsidP="005417AB">
            <w:pPr>
              <w:pStyle w:val="ColorfulList-Accent11"/>
              <w:ind w:left="0"/>
              <w:rPr>
                <w:rFonts w:asciiTheme="minorHAnsi" w:hAnsiTheme="minorHAnsi" w:cstheme="minorHAnsi"/>
                <w:sz w:val="20"/>
                <w:szCs w:val="20"/>
              </w:rPr>
            </w:pPr>
          </w:p>
          <w:p w:rsidR="00EC45D4" w:rsidRPr="00EC45D4" w:rsidRDefault="00EC45D4" w:rsidP="00EC45D4">
            <w:pPr>
              <w:rPr>
                <w:rFonts w:ascii="Arial" w:hAnsi="Arial" w:cs="Arial"/>
                <w:sz w:val="20"/>
                <w:szCs w:val="20"/>
              </w:rPr>
            </w:pPr>
            <w:r w:rsidRPr="00EC45D4">
              <w:rPr>
                <w:rFonts w:asciiTheme="minorHAnsi" w:hAnsiTheme="minorHAnsi" w:cstheme="minorHAnsi"/>
                <w:sz w:val="20"/>
                <w:szCs w:val="20"/>
              </w:rPr>
              <w:t xml:space="preserve">As </w:t>
            </w:r>
            <w:proofErr w:type="spellStart"/>
            <w:r w:rsidRPr="00EC45D4">
              <w:rPr>
                <w:rFonts w:asciiTheme="minorHAnsi" w:hAnsiTheme="minorHAnsi" w:cstheme="minorHAnsi"/>
                <w:sz w:val="20"/>
                <w:szCs w:val="20"/>
              </w:rPr>
              <w:t>MarkMonitor</w:t>
            </w:r>
            <w:proofErr w:type="spellEnd"/>
            <w:r w:rsidRPr="00EC45D4">
              <w:rPr>
                <w:rFonts w:asciiTheme="minorHAnsi" w:hAnsiTheme="minorHAnsi" w:cstheme="minorHAnsi"/>
                <w:sz w:val="20"/>
                <w:szCs w:val="20"/>
              </w:rPr>
              <w:t xml:space="preserve"> has noted elsewhere, “the number of domains listed per UDRP filing is down over 10% since May 25, 2018, evidencing increased difficulty in connecting infringing domain names in UDRP filings.” We note that creating an anonymized DNS-wide identifier (as mentioned in 68, above) has not yet been reduced to practice, and may not be available in the desired timeframe.   As a result, the original email addresses remain the best mechanism for contacting and identifying bad actors who operate across several registrars. Web forms do not function as a unique identifier as an email address does, and do not provide the same delivery notices or read notices.  </w:t>
            </w:r>
            <w:r w:rsidRPr="00EC45D4">
              <w:rPr>
                <w:rFonts w:asciiTheme="minorHAnsi" w:hAnsiTheme="minorHAnsi" w:cstheme="minorHAnsi"/>
                <w:sz w:val="20"/>
                <w:szCs w:val="20"/>
              </w:rPr>
              <w:br/>
              <w:t>When web forms are offered, they must not impose unreasonable and unrealistic character limits.</w:t>
            </w:r>
          </w:p>
        </w:tc>
        <w:tc>
          <w:tcPr>
            <w:tcW w:w="2700" w:type="dxa"/>
          </w:tcPr>
          <w:p w:rsidR="00EC45D4" w:rsidRPr="00EC45D4" w:rsidRDefault="00EC45D4"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Jeremy </w:t>
            </w:r>
            <w:proofErr w:type="spellStart"/>
            <w:r w:rsidRPr="00EC45D4">
              <w:rPr>
                <w:rFonts w:asciiTheme="minorHAnsi" w:hAnsiTheme="minorHAnsi" w:cstheme="minorHAnsi"/>
                <w:sz w:val="20"/>
                <w:szCs w:val="20"/>
              </w:rPr>
              <w:t>Dallman</w:t>
            </w:r>
            <w:proofErr w:type="spellEnd"/>
            <w:r w:rsidRPr="00EC45D4">
              <w:rPr>
                <w:rFonts w:asciiTheme="minorHAnsi" w:hAnsiTheme="minorHAnsi" w:cstheme="minorHAnsi"/>
                <w:sz w:val="20"/>
                <w:szCs w:val="20"/>
              </w:rPr>
              <w:t xml:space="preserve">, David Ladd – Microsoft Threat Intelligence Center; Amy Hogan-Burney, Richard Boscovich – Digital Crimes Unit; </w:t>
            </w:r>
            <w:proofErr w:type="spellStart"/>
            <w:r w:rsidRPr="00EC45D4">
              <w:rPr>
                <w:rFonts w:asciiTheme="minorHAnsi" w:hAnsiTheme="minorHAnsi" w:cstheme="minorHAnsi"/>
                <w:sz w:val="20"/>
                <w:szCs w:val="20"/>
              </w:rPr>
              <w:t>Makalika</w:t>
            </w:r>
            <w:proofErr w:type="spellEnd"/>
            <w:r w:rsidRPr="00EC45D4">
              <w:rPr>
                <w:rFonts w:asciiTheme="minorHAnsi" w:hAnsiTheme="minorHAnsi" w:cstheme="minorHAnsi"/>
                <w:sz w:val="20"/>
                <w:szCs w:val="20"/>
              </w:rPr>
              <w:t xml:space="preserve"> </w:t>
            </w:r>
            <w:proofErr w:type="spellStart"/>
            <w:r w:rsidRPr="00EC45D4">
              <w:rPr>
                <w:rFonts w:asciiTheme="minorHAnsi" w:hAnsiTheme="minorHAnsi" w:cstheme="minorHAnsi"/>
                <w:sz w:val="20"/>
                <w:szCs w:val="20"/>
              </w:rPr>
              <w:t>Naholowaa</w:t>
            </w:r>
            <w:proofErr w:type="spellEnd"/>
            <w:r w:rsidRPr="00EC45D4">
              <w:rPr>
                <w:rFonts w:asciiTheme="minorHAnsi" w:hAnsiTheme="minorHAnsi" w:cstheme="minorHAnsi"/>
                <w:sz w:val="20"/>
                <w:szCs w:val="20"/>
              </w:rPr>
              <w:t xml:space="preserve">, Teresa </w:t>
            </w:r>
            <w:proofErr w:type="spellStart"/>
            <w:r w:rsidRPr="00EC45D4">
              <w:rPr>
                <w:rFonts w:asciiTheme="minorHAnsi" w:hAnsiTheme="minorHAnsi" w:cstheme="minorHAnsi"/>
                <w:sz w:val="20"/>
                <w:szCs w:val="20"/>
              </w:rPr>
              <w:t>Rodewald</w:t>
            </w:r>
            <w:proofErr w:type="spellEnd"/>
            <w:r w:rsidRPr="00EC45D4">
              <w:rPr>
                <w:rFonts w:asciiTheme="minorHAnsi" w:hAnsiTheme="minorHAnsi" w:cstheme="minorHAnsi"/>
                <w:sz w:val="20"/>
                <w:szCs w:val="20"/>
              </w:rPr>
              <w:t xml:space="preserve">, Cam </w:t>
            </w:r>
            <w:proofErr w:type="spellStart"/>
            <w:r w:rsidRPr="00EC45D4">
              <w:rPr>
                <w:rFonts w:asciiTheme="minorHAnsi" w:hAnsiTheme="minorHAnsi" w:cstheme="minorHAnsi"/>
                <w:sz w:val="20"/>
                <w:szCs w:val="20"/>
              </w:rPr>
              <w:t>Gatta</w:t>
            </w:r>
            <w:proofErr w:type="spellEnd"/>
            <w:r w:rsidRPr="00EC45D4">
              <w:rPr>
                <w:rFonts w:asciiTheme="minorHAnsi" w:hAnsiTheme="minorHAnsi" w:cs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…the EPDP Team recommends that current requirements in the Temporary Specification that specify that a Registrar MUST provide an email address or a web form to facilitate email communication with the relevant contact remain in place, and that the requirement that Registrar  MUST NOT identify the contact email address or the contact itself be subject to the registrant being given an option to consent to the allow the information to be publicly published/displayed.</w:t>
            </w:r>
          </w:p>
          <w:p w:rsidR="00EC45D4" w:rsidRDefault="00EC45D4"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A registrant that wishes to display their contact information should be allowed to do so.</w:t>
            </w:r>
          </w:p>
        </w:tc>
        <w:tc>
          <w:tcPr>
            <w:tcW w:w="2700" w:type="dxa"/>
          </w:tcPr>
          <w:p w:rsidR="00EC45D4" w:rsidRPr="00EC45D4" w:rsidRDefault="00EC45D4" w:rsidP="005417AB">
            <w:pPr>
              <w:contextualSpacing/>
              <w:rPr>
                <w:rFonts w:asciiTheme="minorHAnsi" w:hAnsiTheme="minorHAnsi" w:cstheme="minorHAnsi"/>
                <w:sz w:val="20"/>
                <w:szCs w:val="20"/>
              </w:rPr>
            </w:pPr>
            <w:proofErr w:type="spellStart"/>
            <w:r w:rsidRPr="00EC45D4">
              <w:rPr>
                <w:rFonts w:asciiTheme="minorHAnsi" w:hAnsiTheme="minorHAnsi" w:cstheme="minorHAnsi"/>
                <w:sz w:val="20"/>
                <w:szCs w:val="20"/>
              </w:rPr>
              <w:t>Evin</w:t>
            </w:r>
            <w:proofErr w:type="spellEnd"/>
            <w:r w:rsidRPr="00EC45D4">
              <w:rPr>
                <w:rFonts w:asciiTheme="minorHAnsi" w:hAnsiTheme="minorHAnsi" w:cstheme="minorHAnsi"/>
                <w:sz w:val="20"/>
                <w:szCs w:val="20"/>
              </w:rPr>
              <w:t xml:space="preserve"> </w:t>
            </w:r>
            <w:proofErr w:type="spellStart"/>
            <w:r w:rsidRPr="00EC45D4">
              <w:rPr>
                <w:rFonts w:asciiTheme="minorHAnsi" w:hAnsiTheme="minorHAnsi" w:cstheme="minorHAnsi"/>
                <w:sz w:val="20"/>
                <w:szCs w:val="20"/>
              </w:rPr>
              <w:t>Erdoğdu</w:t>
            </w:r>
            <w:proofErr w:type="spellEnd"/>
            <w:r w:rsidRPr="00EC45D4">
              <w:rPr>
                <w:rFonts w:asciiTheme="minorHAnsi" w:hAnsiTheme="minorHAnsi" w:cstheme="minorHAnsi"/>
                <w:sz w:val="20"/>
                <w:szCs w:val="20"/>
              </w:rPr>
              <w:t>; ALAC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Registrar MUST provide an email address or a web form to facilitate email communication with the relevant contact, but MUST NOT identify the contact email address or the contact itself. </w:t>
            </w:r>
            <w:r w:rsidRPr="00EC45D4">
              <w:rPr>
                <w:rFonts w:asciiTheme="minorHAnsi" w:hAnsiTheme="minorHAnsi" w:cstheme="minorHAnsi"/>
                <w:sz w:val="20"/>
                <w:szCs w:val="20"/>
              </w:rPr>
              <w:br/>
              <w:t>2.5.1.1. The email address MUST be unique and uniform across domain name registrations of the registrant at a given Registrar.</w:t>
            </w:r>
            <w:r w:rsidRPr="00EC45D4">
              <w:rPr>
                <w:rFonts w:asciiTheme="minorHAnsi" w:hAnsiTheme="minorHAnsi" w:cstheme="minorHAnsi"/>
                <w:sz w:val="20"/>
                <w:szCs w:val="20"/>
              </w:rPr>
              <w:br/>
              <w:t xml:space="preserve">2.5.1.2. The email address and the URL to the web form MUST provide functionality to forward communications received to the email address of the applicable contact and MUST describe the methods used to forward communications and confirm their receipt. </w:t>
            </w:r>
            <w:r w:rsidRPr="00EC45D4">
              <w:rPr>
                <w:rFonts w:asciiTheme="minorHAnsi" w:hAnsiTheme="minorHAnsi" w:cstheme="minorHAnsi"/>
                <w:sz w:val="20"/>
                <w:szCs w:val="20"/>
              </w:rPr>
              <w:br/>
              <w:t xml:space="preserve">2.5.1.3. Registrar MAY implement commercially reasonable safeguards to filter out spam and other form of abusive communications. </w:t>
            </w:r>
            <w:r w:rsidRPr="00EC45D4">
              <w:rPr>
                <w:rFonts w:asciiTheme="minorHAnsi" w:hAnsiTheme="minorHAnsi" w:cstheme="minorHAnsi"/>
                <w:sz w:val="20"/>
                <w:szCs w:val="20"/>
              </w:rPr>
              <w:br/>
              <w:t>2.5.1.4. It MUST NOT be feasible to extract or derive the email address of the contact from the email address and the URL to the web form provided to facilitate email communication with the relevant contact.</w:t>
            </w:r>
          </w:p>
          <w:p w:rsidR="00EC45D4" w:rsidRDefault="00EC45D4"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At least an effective and </w:t>
            </w:r>
            <w:proofErr w:type="spellStart"/>
            <w:r w:rsidRPr="00EC45D4">
              <w:rPr>
                <w:rFonts w:asciiTheme="minorHAnsi" w:hAnsiTheme="minorHAnsi" w:cstheme="minorHAnsi"/>
                <w:sz w:val="20"/>
                <w:szCs w:val="20"/>
              </w:rPr>
              <w:t>standardised</w:t>
            </w:r>
            <w:proofErr w:type="spellEnd"/>
            <w:r w:rsidRPr="00EC45D4">
              <w:rPr>
                <w:rFonts w:asciiTheme="minorHAnsi" w:hAnsiTheme="minorHAnsi" w:cstheme="minorHAnsi"/>
                <w:sz w:val="20"/>
                <w:szCs w:val="20"/>
              </w:rPr>
              <w:t xml:space="preserve"> policy for replacing the email address with a </w:t>
            </w:r>
            <w:proofErr w:type="spellStart"/>
            <w:r w:rsidRPr="00EC45D4">
              <w:rPr>
                <w:rFonts w:asciiTheme="minorHAnsi" w:hAnsiTheme="minorHAnsi" w:cstheme="minorHAnsi"/>
                <w:sz w:val="20"/>
                <w:szCs w:val="20"/>
              </w:rPr>
              <w:t>pseudonymised</w:t>
            </w:r>
            <w:proofErr w:type="spellEnd"/>
            <w:r w:rsidRPr="00EC45D4">
              <w:rPr>
                <w:rFonts w:asciiTheme="minorHAnsi" w:hAnsiTheme="minorHAnsi" w:cstheme="minorHAnsi"/>
                <w:sz w:val="20"/>
                <w:szCs w:val="20"/>
              </w:rPr>
              <w:t xml:space="preserve"> email must be implemented. A </w:t>
            </w:r>
            <w:proofErr w:type="spellStart"/>
            <w:r w:rsidRPr="00EC45D4">
              <w:rPr>
                <w:rFonts w:asciiTheme="minorHAnsi" w:hAnsiTheme="minorHAnsi" w:cstheme="minorHAnsi"/>
                <w:sz w:val="20"/>
                <w:szCs w:val="20"/>
              </w:rPr>
              <w:t>pseudonymised</w:t>
            </w:r>
            <w:proofErr w:type="spellEnd"/>
            <w:r w:rsidRPr="00EC45D4">
              <w:rPr>
                <w:rFonts w:asciiTheme="minorHAnsi" w:hAnsiTheme="minorHAnsi" w:cstheme="minorHAnsi"/>
                <w:sz w:val="20"/>
                <w:szCs w:val="20"/>
              </w:rPr>
              <w:t xml:space="preserve"> email address would redact any information potentially identifying the registrant by </w:t>
            </w:r>
            <w:proofErr w:type="gramStart"/>
            <w:r w:rsidRPr="00EC45D4">
              <w:rPr>
                <w:rFonts w:asciiTheme="minorHAnsi" w:hAnsiTheme="minorHAnsi" w:cstheme="minorHAnsi"/>
                <w:sz w:val="20"/>
                <w:szCs w:val="20"/>
              </w:rPr>
              <w:t>providing  a</w:t>
            </w:r>
            <w:proofErr w:type="gramEnd"/>
            <w:r w:rsidRPr="00EC45D4">
              <w:rPr>
                <w:rFonts w:asciiTheme="minorHAnsi" w:hAnsiTheme="minorHAnsi" w:cstheme="minorHAnsi"/>
                <w:sz w:val="20"/>
                <w:szCs w:val="20"/>
              </w:rPr>
              <w:t xml:space="preserve"> unique registrant-specific replacement email address which is non-identifiable. Taking into account the balancing exercise of article 6.1 (f) GDPR, such </w:t>
            </w:r>
            <w:proofErr w:type="spellStart"/>
            <w:r w:rsidRPr="00EC45D4">
              <w:rPr>
                <w:rFonts w:asciiTheme="minorHAnsi" w:hAnsiTheme="minorHAnsi" w:cstheme="minorHAnsi"/>
                <w:sz w:val="20"/>
                <w:szCs w:val="20"/>
              </w:rPr>
              <w:t>pseudonymisation</w:t>
            </w:r>
            <w:proofErr w:type="spellEnd"/>
            <w:r w:rsidRPr="00EC45D4">
              <w:rPr>
                <w:rFonts w:asciiTheme="minorHAnsi" w:hAnsiTheme="minorHAnsi" w:cstheme="minorHAnsi"/>
                <w:sz w:val="20"/>
                <w:szCs w:val="20"/>
              </w:rPr>
              <w:t xml:space="preserve">, together with the limited impact on the data subject, would tilt the balance sufficiently in </w:t>
            </w:r>
            <w:proofErr w:type="spellStart"/>
            <w:r w:rsidRPr="00EC45D4">
              <w:rPr>
                <w:rFonts w:asciiTheme="minorHAnsi" w:hAnsiTheme="minorHAnsi" w:cstheme="minorHAnsi"/>
                <w:sz w:val="20"/>
                <w:szCs w:val="20"/>
              </w:rPr>
              <w:t>favour</w:t>
            </w:r>
            <w:proofErr w:type="spellEnd"/>
            <w:r w:rsidRPr="00EC45D4">
              <w:rPr>
                <w:rFonts w:asciiTheme="minorHAnsi" w:hAnsiTheme="minorHAnsi" w:cstheme="minorHAnsi"/>
                <w:sz w:val="20"/>
                <w:szCs w:val="20"/>
              </w:rPr>
              <w:t xml:space="preserve"> of the legitimate </w:t>
            </w:r>
            <w:proofErr w:type="gramStart"/>
            <w:r w:rsidRPr="00EC45D4">
              <w:rPr>
                <w:rFonts w:asciiTheme="minorHAnsi" w:hAnsiTheme="minorHAnsi" w:cstheme="minorHAnsi"/>
                <w:sz w:val="20"/>
                <w:szCs w:val="20"/>
              </w:rPr>
              <w:t>third party</w:t>
            </w:r>
            <w:proofErr w:type="gramEnd"/>
            <w:r w:rsidRPr="00EC45D4">
              <w:rPr>
                <w:rFonts w:asciiTheme="minorHAnsi" w:hAnsiTheme="minorHAnsi" w:cstheme="minorHAnsi"/>
                <w:sz w:val="20"/>
                <w:szCs w:val="20"/>
              </w:rPr>
              <w:t xml:space="preserve"> interests for having a reliable measure of contact which can be associated to multiple domain names belonging to the same owner.  [Please refer to Opinion 06/2014 on the notion of legitimate interests of the data controller under Article 7 of Directive 95/46/EC of the Article 29 Working Party (currently the European Data Protection Board), p. 42-43.’</w:t>
            </w:r>
          </w:p>
        </w:tc>
        <w:tc>
          <w:tcPr>
            <w:tcW w:w="2700" w:type="dxa"/>
          </w:tcPr>
          <w:p w:rsidR="00EC45D4" w:rsidRPr="00EC45D4" w:rsidRDefault="00EC45D4" w:rsidP="005417AB">
            <w:pPr>
              <w:contextualSpacing/>
              <w:rPr>
                <w:rFonts w:asciiTheme="minorHAnsi" w:hAnsiTheme="minorHAnsi" w:cstheme="minorHAnsi"/>
                <w:sz w:val="20"/>
                <w:szCs w:val="20"/>
              </w:rPr>
            </w:pPr>
            <w:r w:rsidRPr="00EC45D4">
              <w:rPr>
                <w:rFonts w:asciiTheme="minorHAnsi" w:hAnsiTheme="minorHAnsi" w:cstheme="minorHAnsi"/>
                <w:sz w:val="20"/>
                <w:szCs w:val="20"/>
              </w:rPr>
              <w:t>Brian King; IPC</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C45D4" w:rsidRPr="002860E2" w:rsidTr="0048392B">
        <w:trPr>
          <w:cantSplit/>
        </w:trPr>
        <w:tc>
          <w:tcPr>
            <w:tcW w:w="675" w:type="dxa"/>
          </w:tcPr>
          <w:p w:rsidR="00EC45D4" w:rsidRPr="002860E2" w:rsidRDefault="00EC45D4" w:rsidP="00AC3871">
            <w:pPr>
              <w:numPr>
                <w:ilvl w:val="0"/>
                <w:numId w:val="23"/>
              </w:numPr>
              <w:contextualSpacing/>
              <w:rPr>
                <w:rFonts w:asciiTheme="minorHAnsi" w:hAnsiTheme="minorHAnsi"/>
                <w:b/>
                <w:sz w:val="20"/>
                <w:szCs w:val="20"/>
              </w:rPr>
            </w:pPr>
          </w:p>
        </w:tc>
        <w:tc>
          <w:tcPr>
            <w:tcW w:w="8055" w:type="dxa"/>
          </w:tcPr>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contact, but MUST NOT identify the contact email address or the contact itself, remain in place.</w:t>
            </w:r>
          </w:p>
          <w:p w:rsidR="00EC45D4" w:rsidRPr="00EC45D4" w:rsidRDefault="00EC45D4" w:rsidP="00EC45D4">
            <w:pPr>
              <w:rPr>
                <w:rFonts w:asciiTheme="minorHAnsi" w:hAnsiTheme="minorHAnsi" w:cstheme="minorHAnsi"/>
                <w:sz w:val="20"/>
                <w:szCs w:val="20"/>
              </w:rPr>
            </w:pPr>
          </w:p>
          <w:p w:rsidR="00EC45D4" w:rsidRPr="00EC45D4" w:rsidRDefault="00EC45D4" w:rsidP="00EC45D4">
            <w:pPr>
              <w:rPr>
                <w:rFonts w:asciiTheme="minorHAnsi" w:hAnsiTheme="minorHAnsi" w:cstheme="minorHAnsi"/>
                <w:sz w:val="20"/>
                <w:szCs w:val="20"/>
              </w:rPr>
            </w:pPr>
            <w:r w:rsidRPr="00EC45D4">
              <w:rPr>
                <w:rFonts w:asciiTheme="minorHAnsi" w:hAnsiTheme="minorHAnsi" w:cstheme="minorHAnsi"/>
                <w:sz w:val="20"/>
                <w:szCs w:val="20"/>
              </w:rPr>
              <w:t xml:space="preserve">The number of domains listed per UDRP filing is down over 10% since May 25, 2018, evidencing increased difficulty in connecting infringing domain names in UDRP filings. </w:t>
            </w:r>
            <w:proofErr w:type="spellStart"/>
            <w:r w:rsidRPr="00EC45D4">
              <w:rPr>
                <w:rFonts w:asciiTheme="minorHAnsi" w:hAnsiTheme="minorHAnsi" w:cstheme="minorHAnsi"/>
                <w:sz w:val="20"/>
                <w:szCs w:val="20"/>
              </w:rPr>
              <w:t>Pseudonymising</w:t>
            </w:r>
            <w:proofErr w:type="spellEnd"/>
            <w:r w:rsidRPr="00EC45D4">
              <w:rPr>
                <w:rFonts w:asciiTheme="minorHAnsi" w:hAnsiTheme="minorHAnsi" w:cstheme="minorHAnsi"/>
                <w:sz w:val="20"/>
                <w:szCs w:val="20"/>
              </w:rPr>
              <w:t xml:space="preserve"> consistently across registrars in such a way that enables connecting registrants for research and dispute resolution expediency would prove prohibitively difficult, so the email address must be identified in its true form.</w:t>
            </w:r>
            <w:r w:rsidRPr="00EC45D4">
              <w:rPr>
                <w:rFonts w:asciiTheme="minorHAnsi" w:hAnsiTheme="minorHAnsi" w:cstheme="minorHAnsi"/>
                <w:sz w:val="20"/>
                <w:szCs w:val="20"/>
              </w:rPr>
              <w:br/>
              <w:t>Web forms do not function as a unique identifier as an email address does, and do not provide the same evidence of delivery as can be established by sending an email in the absence of subsequently receiving a “</w:t>
            </w:r>
            <w:proofErr w:type="spellStart"/>
            <w:r w:rsidRPr="00EC45D4">
              <w:rPr>
                <w:rFonts w:asciiTheme="minorHAnsi" w:hAnsiTheme="minorHAnsi" w:cstheme="minorHAnsi"/>
                <w:sz w:val="20"/>
                <w:szCs w:val="20"/>
              </w:rPr>
              <w:t>bounceback</w:t>
            </w:r>
            <w:proofErr w:type="spellEnd"/>
            <w:r w:rsidRPr="00EC45D4">
              <w:rPr>
                <w:rFonts w:asciiTheme="minorHAnsi" w:hAnsiTheme="minorHAnsi" w:cstheme="minorHAnsi"/>
                <w:sz w:val="20"/>
                <w:szCs w:val="20"/>
              </w:rPr>
              <w:t>,” and web forms can impose unreasonable and unrealistic character limits.</w:t>
            </w:r>
          </w:p>
        </w:tc>
        <w:tc>
          <w:tcPr>
            <w:tcW w:w="2700" w:type="dxa"/>
          </w:tcPr>
          <w:p w:rsidR="00EC45D4" w:rsidRPr="00EC45D4" w:rsidRDefault="00EC45D4" w:rsidP="005417AB">
            <w:pPr>
              <w:contextualSpacing/>
              <w:rPr>
                <w:rFonts w:asciiTheme="minorHAnsi" w:hAnsiTheme="minorHAnsi" w:cstheme="minorHAnsi"/>
                <w:sz w:val="20"/>
                <w:szCs w:val="20"/>
              </w:rPr>
            </w:pPr>
            <w:r w:rsidRPr="00EC45D4">
              <w:rPr>
                <w:rFonts w:asciiTheme="minorHAnsi" w:hAnsiTheme="minorHAnsi" w:cstheme="minorHAnsi"/>
                <w:sz w:val="20"/>
                <w:szCs w:val="20"/>
              </w:rPr>
              <w:t xml:space="preserve">Brian King; </w:t>
            </w:r>
            <w:proofErr w:type="spellStart"/>
            <w:r w:rsidRPr="00EC45D4">
              <w:rPr>
                <w:rFonts w:asciiTheme="minorHAnsi" w:hAnsiTheme="minorHAnsi" w:cstheme="minorHAnsi"/>
                <w:sz w:val="20"/>
                <w:szCs w:val="20"/>
              </w:rPr>
              <w:t>MarkMonitor</w:t>
            </w:r>
            <w:proofErr w:type="spellEnd"/>
            <w:r w:rsidRPr="00EC45D4">
              <w:rPr>
                <w:rFonts w:asciiTheme="minorHAnsi" w:hAnsiTheme="minorHAnsi" w:cstheme="minorHAnsi"/>
                <w:sz w:val="20"/>
                <w:szCs w:val="20"/>
              </w:rPr>
              <w:t>, Inc., a Clarivate Analytics company</w:t>
            </w:r>
          </w:p>
        </w:tc>
        <w:tc>
          <w:tcPr>
            <w:tcW w:w="3960" w:type="dxa"/>
          </w:tcPr>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503D3" w:rsidRPr="002860E2"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503D3" w:rsidRPr="002B3C04" w:rsidRDefault="00D503D3" w:rsidP="00D5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503D3" w:rsidRPr="002860E2" w:rsidRDefault="00D503D3" w:rsidP="00D503D3">
            <w:pPr>
              <w:contextualSpacing/>
              <w:rPr>
                <w:rFonts w:asciiTheme="minorHAnsi" w:hAnsiTheme="minorHAnsi"/>
                <w:sz w:val="20"/>
                <w:szCs w:val="20"/>
              </w:rPr>
            </w:pPr>
          </w:p>
          <w:p w:rsidR="00D503D3" w:rsidRPr="002860E2" w:rsidRDefault="00D503D3" w:rsidP="00D503D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5D4" w:rsidRPr="002860E2" w:rsidRDefault="00EC45D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48392B">
        <w:trPr>
          <w:cantSplit/>
        </w:trPr>
        <w:tc>
          <w:tcPr>
            <w:tcW w:w="15390" w:type="dxa"/>
            <w:gridSpan w:val="4"/>
            <w:shd w:val="clear" w:color="auto" w:fill="FF0000"/>
          </w:tcPr>
          <w:p w:rsidR="008D7EE5" w:rsidRPr="008D7EE5" w:rsidRDefault="002B3C04" w:rsidP="00FF18C2">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48392B">
        <w:trPr>
          <w:cantSplit/>
        </w:trPr>
        <w:tc>
          <w:tcPr>
            <w:tcW w:w="675" w:type="dxa"/>
          </w:tcPr>
          <w:p w:rsidR="008D7EE5" w:rsidRPr="002860E2" w:rsidRDefault="008D7EE5" w:rsidP="00FF18C2">
            <w:pPr>
              <w:keepNext/>
              <w:numPr>
                <w:ilvl w:val="0"/>
                <w:numId w:val="23"/>
              </w:numPr>
              <w:contextualSpacing/>
              <w:rPr>
                <w:rFonts w:asciiTheme="minorHAnsi" w:hAnsiTheme="minorHAnsi"/>
                <w:b/>
                <w:sz w:val="20"/>
                <w:szCs w:val="20"/>
              </w:rPr>
            </w:pPr>
          </w:p>
        </w:tc>
        <w:tc>
          <w:tcPr>
            <w:tcW w:w="8055" w:type="dxa"/>
          </w:tcPr>
          <w:p w:rsidR="0048392B" w:rsidRPr="0048392B" w:rsidRDefault="0048392B" w:rsidP="00FF18C2">
            <w:pPr>
              <w:keepNext/>
              <w:rPr>
                <w:rFonts w:asciiTheme="minorHAnsi" w:hAnsiTheme="minorHAnsi" w:cstheme="minorHAnsi"/>
                <w:sz w:val="20"/>
                <w:szCs w:val="20"/>
              </w:rPr>
            </w:pPr>
            <w:r w:rsidRPr="0048392B">
              <w:rPr>
                <w:rFonts w:asciiTheme="minorHAnsi" w:hAnsiTheme="minorHAnsi" w:cstheme="minorHAnsi"/>
                <w:sz w:val="20"/>
                <w:szCs w:val="20"/>
              </w:rPr>
              <w:t>COA strongly believes that the Registrant's e-mail address should not be redacted and that it be validated by the registrar and made publicly available.  Earlier in this document a rationale was supplied as to why keeping the registrant’s e-mail address publicly available is consistent with the GDPR.</w:t>
            </w:r>
          </w:p>
          <w:p w:rsidR="008D7EE5" w:rsidRPr="002860E2" w:rsidRDefault="008D7EE5" w:rsidP="00FF18C2">
            <w:pPr>
              <w:pStyle w:val="ColorfulList-Accent11"/>
              <w:keepNext/>
              <w:ind w:left="0"/>
              <w:rPr>
                <w:rFonts w:asciiTheme="minorHAnsi" w:hAnsiTheme="minorHAnsi"/>
                <w:sz w:val="20"/>
                <w:szCs w:val="20"/>
              </w:rPr>
            </w:pPr>
          </w:p>
          <w:p w:rsidR="008D7EE5" w:rsidRPr="002860E2" w:rsidRDefault="008D7EE5" w:rsidP="00FF18C2">
            <w:pPr>
              <w:pStyle w:val="ColorfulList-Accent11"/>
              <w:keepNext/>
              <w:ind w:left="0"/>
              <w:rPr>
                <w:rFonts w:asciiTheme="minorHAnsi" w:hAnsiTheme="minorHAnsi"/>
                <w:sz w:val="20"/>
                <w:szCs w:val="20"/>
              </w:rPr>
            </w:pPr>
          </w:p>
        </w:tc>
        <w:tc>
          <w:tcPr>
            <w:tcW w:w="2700" w:type="dxa"/>
          </w:tcPr>
          <w:p w:rsidR="008D7EE5" w:rsidRPr="0048392B" w:rsidRDefault="0048392B" w:rsidP="00FF18C2">
            <w:pPr>
              <w:keepNext/>
              <w:contextualSpacing/>
              <w:rPr>
                <w:rFonts w:asciiTheme="minorHAnsi" w:hAnsiTheme="minorHAnsi" w:cstheme="minorHAnsi"/>
                <w:sz w:val="20"/>
                <w:szCs w:val="20"/>
              </w:rPr>
            </w:pPr>
            <w:r w:rsidRPr="0048392B">
              <w:rPr>
                <w:rFonts w:asciiTheme="minorHAnsi" w:hAnsiTheme="minorHAnsi" w:cstheme="minorHAnsi"/>
                <w:sz w:val="20"/>
                <w:szCs w:val="20"/>
              </w:rPr>
              <w:t>Dean S. Marks; Coalition for Online Accountability</w:t>
            </w:r>
          </w:p>
        </w:tc>
        <w:tc>
          <w:tcPr>
            <w:tcW w:w="3960" w:type="dxa"/>
          </w:tcPr>
          <w:p w:rsidR="002B3C04" w:rsidRPr="002860E2" w:rsidRDefault="0048392B"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48392B">
              <w:rPr>
                <w:rFonts w:asciiTheme="minorHAnsi" w:hAnsiTheme="minorHAnsi"/>
                <w:color w:val="000000"/>
                <w:sz w:val="20"/>
                <w:szCs w:val="20"/>
                <w:shd w:val="clear" w:color="auto" w:fill="FF0000"/>
              </w:rPr>
              <w:t>D</w:t>
            </w:r>
            <w:r w:rsidR="002B3C04" w:rsidRPr="002860E2">
              <w:rPr>
                <w:rFonts w:asciiTheme="minorHAnsi" w:hAnsiTheme="minorHAnsi"/>
                <w:color w:val="000000"/>
                <w:sz w:val="20"/>
                <w:szCs w:val="20"/>
                <w:shd w:val="clear" w:color="auto" w:fill="FF0000"/>
              </w:rPr>
              <w:t>ivergence</w:t>
            </w: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FF18C2">
            <w:pPr>
              <w:keepNext/>
              <w:contextualSpacing/>
              <w:rPr>
                <w:rFonts w:asciiTheme="minorHAnsi" w:hAnsiTheme="minorHAnsi"/>
                <w:sz w:val="20"/>
                <w:szCs w:val="20"/>
              </w:rPr>
            </w:pPr>
          </w:p>
          <w:p w:rsidR="002B3C04" w:rsidRPr="002860E2" w:rsidRDefault="002B3C04" w:rsidP="00FF18C2">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FF18C2">
            <w:pPr>
              <w:keepNext/>
              <w:contextualSpacing/>
              <w:rPr>
                <w:rFonts w:asciiTheme="minorHAnsi" w:hAnsiTheme="minorHAnsi"/>
                <w:sz w:val="20"/>
                <w:szCs w:val="20"/>
              </w:rPr>
            </w:pPr>
          </w:p>
        </w:tc>
      </w:tr>
      <w:tr w:rsidR="006605C9" w:rsidRPr="002860E2" w:rsidTr="0048392B">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48392B" w:rsidRDefault="0048392B" w:rsidP="0048392B">
            <w:pPr>
              <w:rPr>
                <w:rFonts w:asciiTheme="minorHAnsi" w:hAnsiTheme="minorHAnsi" w:cstheme="minorHAnsi"/>
                <w:sz w:val="20"/>
                <w:szCs w:val="20"/>
              </w:rPr>
            </w:pPr>
            <w:r w:rsidRPr="0048392B">
              <w:rPr>
                <w:rFonts w:asciiTheme="minorHAnsi" w:hAnsiTheme="minorHAnsi" w:cstheme="minorHAnsi"/>
                <w:sz w:val="20"/>
                <w:szCs w:val="20"/>
              </w:rPr>
              <w:t>Domain registrants deserve a way to be affirmatively contacted, and parties with a legitimate interest need a way to do the same.  Any solution that uses the Registrar as a proxy is by definition not good enough.</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48392B" w:rsidRDefault="0048392B" w:rsidP="005417AB">
            <w:pPr>
              <w:contextualSpacing/>
              <w:rPr>
                <w:rFonts w:asciiTheme="minorHAnsi" w:hAnsiTheme="minorHAnsi" w:cstheme="minorHAnsi"/>
                <w:sz w:val="20"/>
                <w:szCs w:val="20"/>
              </w:rPr>
            </w:pPr>
            <w:r w:rsidRPr="0048392B">
              <w:rPr>
                <w:rFonts w:asciiTheme="minorHAnsi" w:hAnsiTheme="minorHAnsi" w:cstheme="minorHAnsi"/>
                <w:sz w:val="20"/>
                <w:szCs w:val="20"/>
              </w:rPr>
              <w:t xml:space="preserve">Tim Chen; </w:t>
            </w:r>
            <w:proofErr w:type="spellStart"/>
            <w:r w:rsidRPr="0048392B">
              <w:rPr>
                <w:rFonts w:asciiTheme="minorHAnsi" w:hAnsiTheme="minorHAnsi" w:cstheme="minorHAnsi"/>
                <w:sz w:val="20"/>
                <w:szCs w:val="20"/>
              </w:rPr>
              <w:t>DomainTools</w:t>
            </w:r>
            <w:proofErr w:type="spellEnd"/>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57650B">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48392B" w:rsidRPr="0048392B" w:rsidRDefault="0048392B" w:rsidP="0048392B">
            <w:pPr>
              <w:rPr>
                <w:rFonts w:asciiTheme="minorHAnsi" w:hAnsiTheme="minorHAnsi" w:cstheme="minorHAnsi"/>
                <w:sz w:val="20"/>
                <w:szCs w:val="20"/>
              </w:rPr>
            </w:pPr>
            <w:r w:rsidRPr="0048392B">
              <w:rPr>
                <w:rFonts w:asciiTheme="minorHAnsi" w:hAnsiTheme="minorHAnsi" w:cstheme="minorHAnsi"/>
                <w:sz w:val="20"/>
                <w:szCs w:val="20"/>
              </w:rPr>
              <w:t>INTA supports deleting this recommendation, as explained further below.  In the alternative, INTA supports amending the recommendation to read: “In relation to facilitating email communication between third parties and the registrant, the EPDP Team recommends that current requirements in the Temporary Specification that specify that a Registrar MUST provide an email address or a web form to facilitate email communication with the relevant contact, but MUST NOT identify the contact email address or the contact itself, remain in place.  HOWEVER, a Registrar MUST ensure that the email or web form is delivered to the registrant, and if it is not must inform the party seeking contact that the communication cannot be delivered to the registrant as the registrant has provided inaccurate contact information.  A Registrar MUST then promptly take steps to secure accurate contact information.”</w:t>
            </w:r>
          </w:p>
          <w:p w:rsidR="006605C9" w:rsidRPr="0048392B" w:rsidRDefault="006605C9" w:rsidP="005417AB">
            <w:pPr>
              <w:pStyle w:val="ColorfulList-Accent11"/>
              <w:ind w:left="0"/>
              <w:rPr>
                <w:rFonts w:asciiTheme="minorHAnsi" w:hAnsiTheme="minorHAnsi" w:cstheme="minorHAnsi"/>
                <w:sz w:val="20"/>
                <w:szCs w:val="20"/>
              </w:rPr>
            </w:pPr>
          </w:p>
          <w:p w:rsidR="006605C9" w:rsidRPr="0048392B" w:rsidRDefault="0048392B" w:rsidP="0048392B">
            <w:pPr>
              <w:rPr>
                <w:rFonts w:ascii="Arial" w:hAnsi="Arial" w:cs="Arial"/>
                <w:sz w:val="20"/>
                <w:szCs w:val="20"/>
              </w:rPr>
            </w:pPr>
            <w:r w:rsidRPr="0048392B">
              <w:rPr>
                <w:rFonts w:asciiTheme="minorHAnsi" w:hAnsiTheme="minorHAnsi" w:cstheme="minorHAnsi"/>
                <w:sz w:val="20"/>
                <w:szCs w:val="20"/>
              </w:rPr>
              <w:t>As explained more thoroughly in the response to Recommendation 8, INTA supports publication of the Registrant’s email address so that third parties may more easily identify and contact the Registrant directly.  However, if the consensus of the EPDP working group is that such information should remain redacted, INTA requests that Registrars be required to ensure that the anonymized email address or web form contact, in fact, reaches the Registrant.  Third parties looking to reach a Registrant often do not know if an anonymized email or web form reached the Registrant, or if the Registrant is simply ignoring the communication.  If Registrars were required to not only ensure the accuracy of registrant contact information, but also notify a party seeking contact that the information did not reach its destination, then it may be possible to rely on anonymized email or web form only.</w:t>
            </w:r>
          </w:p>
        </w:tc>
        <w:tc>
          <w:tcPr>
            <w:tcW w:w="2700" w:type="dxa"/>
          </w:tcPr>
          <w:p w:rsidR="006605C9" w:rsidRPr="0048392B" w:rsidRDefault="0048392B" w:rsidP="005417AB">
            <w:pPr>
              <w:contextualSpacing/>
              <w:rPr>
                <w:rFonts w:asciiTheme="minorHAnsi" w:hAnsiTheme="minorHAnsi" w:cstheme="minorHAnsi"/>
                <w:sz w:val="20"/>
                <w:szCs w:val="20"/>
              </w:rPr>
            </w:pPr>
            <w:r w:rsidRPr="0048392B">
              <w:rPr>
                <w:rFonts w:asciiTheme="minorHAnsi" w:hAnsiTheme="minorHAnsi" w:cstheme="minorHAnsi"/>
                <w:sz w:val="20"/>
                <w:szCs w:val="20"/>
              </w:rPr>
              <w:t>Lori Schulman Senior Director, Internet Policy; International Trademark Association (INTA)</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48392B">
        <w:trPr>
          <w:cantSplit/>
        </w:trPr>
        <w:tc>
          <w:tcPr>
            <w:tcW w:w="15390" w:type="dxa"/>
            <w:gridSpan w:val="4"/>
            <w:shd w:val="clear" w:color="auto" w:fill="DAEEF3" w:themeFill="accent5" w:themeFillTint="33"/>
          </w:tcPr>
          <w:p w:rsidR="000B5015" w:rsidRPr="002860E2" w:rsidRDefault="000B5015"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lastRenderedPageBreak/>
              <w:t>Not designated</w:t>
            </w:r>
          </w:p>
        </w:tc>
      </w:tr>
      <w:tr w:rsidR="006605C9" w:rsidRPr="002860E2" w:rsidTr="0048392B">
        <w:tc>
          <w:tcPr>
            <w:tcW w:w="675" w:type="dxa"/>
          </w:tcPr>
          <w:p w:rsidR="006605C9" w:rsidRPr="002860E2" w:rsidRDefault="006605C9" w:rsidP="00FF18C2">
            <w:pPr>
              <w:keepNext/>
              <w:numPr>
                <w:ilvl w:val="0"/>
                <w:numId w:val="23"/>
              </w:numPr>
              <w:contextualSpacing/>
              <w:rPr>
                <w:rFonts w:asciiTheme="minorHAnsi" w:hAnsiTheme="minorHAnsi"/>
                <w:b/>
                <w:sz w:val="20"/>
                <w:szCs w:val="20"/>
              </w:rPr>
            </w:pPr>
          </w:p>
        </w:tc>
        <w:tc>
          <w:tcPr>
            <w:tcW w:w="8055" w:type="dxa"/>
          </w:tcPr>
          <w:p w:rsidR="008B3D88" w:rsidRPr="002860E2" w:rsidRDefault="008B3D88" w:rsidP="00FF18C2">
            <w:pPr>
              <w:pStyle w:val="ColorfulList-Accent11"/>
              <w:keepNext/>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FF18C2">
            <w:pPr>
              <w:pStyle w:val="ColorfulList-Accent11"/>
              <w:keepNext/>
              <w:ind w:left="0"/>
              <w:rPr>
                <w:rFonts w:asciiTheme="minorHAnsi" w:hAnsiTheme="minorHAnsi"/>
                <w:sz w:val="20"/>
                <w:szCs w:val="20"/>
              </w:rPr>
            </w:pPr>
          </w:p>
          <w:p w:rsidR="006605C9" w:rsidRPr="002860E2" w:rsidRDefault="006605C9" w:rsidP="00FF18C2">
            <w:pPr>
              <w:pStyle w:val="ColorfulList-Accent11"/>
              <w:keepNext/>
              <w:ind w:left="0"/>
              <w:rPr>
                <w:rFonts w:asciiTheme="minorHAnsi" w:hAnsiTheme="minorHAnsi"/>
                <w:sz w:val="20"/>
                <w:szCs w:val="20"/>
              </w:rPr>
            </w:pPr>
          </w:p>
          <w:p w:rsidR="006605C9" w:rsidRPr="002860E2" w:rsidRDefault="006605C9" w:rsidP="00FF18C2">
            <w:pPr>
              <w:pStyle w:val="ColorfulList-Accent11"/>
              <w:keepNext/>
              <w:ind w:left="0"/>
              <w:rPr>
                <w:rFonts w:asciiTheme="minorHAnsi" w:hAnsiTheme="minorHAnsi"/>
                <w:sz w:val="20"/>
                <w:szCs w:val="20"/>
              </w:rPr>
            </w:pPr>
          </w:p>
        </w:tc>
        <w:tc>
          <w:tcPr>
            <w:tcW w:w="2700" w:type="dxa"/>
          </w:tcPr>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Ashley Heineman; NTIA</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Neil Fried; The Motion Picture Association of America</w:t>
            </w:r>
          </w:p>
          <w:p w:rsidR="0048392B" w:rsidRPr="0048392B" w:rsidRDefault="0048392B" w:rsidP="00FF18C2">
            <w:pPr>
              <w:pStyle w:val="ListParagraph"/>
              <w:keepNext/>
              <w:numPr>
                <w:ilvl w:val="0"/>
                <w:numId w:val="40"/>
              </w:numPr>
              <w:rPr>
                <w:rFonts w:asciiTheme="minorHAnsi" w:hAnsiTheme="minorHAnsi" w:cstheme="minorHAnsi"/>
                <w:sz w:val="20"/>
                <w:szCs w:val="20"/>
              </w:rPr>
            </w:pPr>
            <w:proofErr w:type="spellStart"/>
            <w:r w:rsidRPr="0048392B">
              <w:rPr>
                <w:rFonts w:asciiTheme="minorHAnsi" w:hAnsiTheme="minorHAnsi" w:cstheme="minorHAnsi"/>
                <w:sz w:val="20"/>
                <w:szCs w:val="20"/>
              </w:rPr>
              <w:t>Sajda</w:t>
            </w:r>
            <w:proofErr w:type="spellEnd"/>
            <w:r w:rsidRPr="0048392B">
              <w:rPr>
                <w:rFonts w:asciiTheme="minorHAnsi" w:hAnsiTheme="minorHAnsi" w:cstheme="minorHAnsi"/>
                <w:sz w:val="20"/>
                <w:szCs w:val="20"/>
              </w:rPr>
              <w:t xml:space="preserve"> </w:t>
            </w:r>
            <w:proofErr w:type="spellStart"/>
            <w:r w:rsidRPr="0048392B">
              <w:rPr>
                <w:rFonts w:asciiTheme="minorHAnsi" w:hAnsiTheme="minorHAnsi" w:cstheme="minorHAnsi"/>
                <w:sz w:val="20"/>
                <w:szCs w:val="20"/>
              </w:rPr>
              <w:t>Ouachtouki</w:t>
            </w:r>
            <w:proofErr w:type="spellEnd"/>
            <w:r w:rsidRPr="0048392B">
              <w:rPr>
                <w:rFonts w:asciiTheme="minorHAnsi" w:hAnsiTheme="minorHAnsi" w:cstheme="minorHAnsi"/>
                <w:sz w:val="20"/>
                <w:szCs w:val="20"/>
              </w:rPr>
              <w:t>; The Walt Disney Company</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Brian Beckham; Head, Internet Dispute Resolution Section</w:t>
            </w:r>
            <w:r w:rsidR="00FF18C2">
              <w:rPr>
                <w:rFonts w:asciiTheme="minorHAnsi" w:hAnsiTheme="minorHAnsi" w:cstheme="minorHAnsi"/>
                <w:sz w:val="20"/>
                <w:szCs w:val="20"/>
              </w:rPr>
              <w:t>, WIPO</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 xml:space="preserve">Steve </w:t>
            </w:r>
            <w:proofErr w:type="spellStart"/>
            <w:r w:rsidRPr="0048392B">
              <w:rPr>
                <w:rFonts w:asciiTheme="minorHAnsi" w:hAnsiTheme="minorHAnsi" w:cstheme="minorHAnsi"/>
                <w:sz w:val="20"/>
                <w:szCs w:val="20"/>
              </w:rPr>
              <w:t>Gobin</w:t>
            </w:r>
            <w:proofErr w:type="spellEnd"/>
            <w:r w:rsidRPr="0048392B">
              <w:rPr>
                <w:rFonts w:asciiTheme="minorHAnsi" w:hAnsiTheme="minorHAnsi" w:cstheme="minorHAnsi"/>
                <w:sz w:val="20"/>
                <w:szCs w:val="20"/>
              </w:rPr>
              <w:t>; Corporate domain name management</w:t>
            </w:r>
          </w:p>
          <w:p w:rsidR="0048392B" w:rsidRPr="00856F92" w:rsidRDefault="0048392B" w:rsidP="00856F9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Theo Geurts</w:t>
            </w:r>
          </w:p>
          <w:p w:rsidR="0048392B" w:rsidRPr="0048392B" w:rsidRDefault="0048392B" w:rsidP="00FF18C2">
            <w:pPr>
              <w:pStyle w:val="ListParagraph"/>
              <w:keepNext/>
              <w:numPr>
                <w:ilvl w:val="0"/>
                <w:numId w:val="40"/>
              </w:numPr>
              <w:rPr>
                <w:rFonts w:asciiTheme="minorHAnsi" w:hAnsiTheme="minorHAnsi" w:cstheme="minorHAnsi"/>
                <w:sz w:val="20"/>
                <w:szCs w:val="20"/>
              </w:rPr>
            </w:pPr>
            <w:proofErr w:type="spellStart"/>
            <w:r w:rsidRPr="0048392B">
              <w:rPr>
                <w:rFonts w:asciiTheme="minorHAnsi" w:hAnsiTheme="minorHAnsi" w:cstheme="minorHAnsi"/>
                <w:sz w:val="20"/>
                <w:szCs w:val="20"/>
              </w:rPr>
              <w:t>Ivett</w:t>
            </w:r>
            <w:proofErr w:type="spellEnd"/>
            <w:r w:rsidRPr="0048392B">
              <w:rPr>
                <w:rFonts w:asciiTheme="minorHAnsi" w:hAnsiTheme="minorHAnsi" w:cstheme="minorHAnsi"/>
                <w:sz w:val="20"/>
                <w:szCs w:val="20"/>
              </w:rPr>
              <w:t xml:space="preserve"> </w:t>
            </w:r>
            <w:proofErr w:type="spellStart"/>
            <w:r w:rsidRPr="0048392B">
              <w:rPr>
                <w:rFonts w:asciiTheme="minorHAnsi" w:hAnsiTheme="minorHAnsi" w:cstheme="minorHAnsi"/>
                <w:sz w:val="20"/>
                <w:szCs w:val="20"/>
              </w:rPr>
              <w:t>Paulovics</w:t>
            </w:r>
            <w:proofErr w:type="spellEnd"/>
            <w:r w:rsidRPr="0048392B">
              <w:rPr>
                <w:rFonts w:asciiTheme="minorHAnsi" w:hAnsiTheme="minorHAnsi" w:cstheme="minorHAnsi"/>
                <w:sz w:val="20"/>
                <w:szCs w:val="20"/>
              </w:rPr>
              <w:t xml:space="preserve">; MFSD </w:t>
            </w:r>
            <w:proofErr w:type="spellStart"/>
            <w:r w:rsidRPr="0048392B">
              <w:rPr>
                <w:rFonts w:asciiTheme="minorHAnsi" w:hAnsiTheme="minorHAnsi" w:cstheme="minorHAnsi"/>
                <w:sz w:val="20"/>
                <w:szCs w:val="20"/>
              </w:rPr>
              <w:t>Srl</w:t>
            </w:r>
            <w:proofErr w:type="spellEnd"/>
            <w:r w:rsidRPr="0048392B">
              <w:rPr>
                <w:rFonts w:asciiTheme="minorHAnsi" w:hAnsiTheme="minorHAnsi" w:cstheme="minorHAnsi"/>
                <w:sz w:val="20"/>
                <w:szCs w:val="20"/>
              </w:rPr>
              <w:t xml:space="preserve"> URS Provider</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 xml:space="preserve">Ashley Roberts; </w:t>
            </w:r>
            <w:proofErr w:type="spellStart"/>
            <w:r w:rsidRPr="0048392B">
              <w:rPr>
                <w:rFonts w:asciiTheme="minorHAnsi" w:hAnsiTheme="minorHAnsi" w:cstheme="minorHAnsi"/>
                <w:sz w:val="20"/>
                <w:szCs w:val="20"/>
              </w:rPr>
              <w:t>Valideus</w:t>
            </w:r>
            <w:proofErr w:type="spellEnd"/>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Renee Fossen; Forum - URS and UDRP Provider</w:t>
            </w:r>
          </w:p>
          <w:p w:rsidR="0048392B" w:rsidRPr="0048392B" w:rsidRDefault="0048392B" w:rsidP="00FF18C2">
            <w:pPr>
              <w:pStyle w:val="ListParagraph"/>
              <w:keepNext/>
              <w:numPr>
                <w:ilvl w:val="0"/>
                <w:numId w:val="40"/>
              </w:numPr>
              <w:rPr>
                <w:rFonts w:asciiTheme="minorHAnsi" w:hAnsiTheme="minorHAnsi" w:cstheme="minorHAnsi"/>
                <w:sz w:val="20"/>
                <w:szCs w:val="20"/>
              </w:rPr>
            </w:pPr>
            <w:r w:rsidRPr="0048392B">
              <w:rPr>
                <w:rFonts w:asciiTheme="minorHAnsi" w:hAnsiTheme="minorHAnsi" w:cstheme="minorHAnsi"/>
                <w:sz w:val="20"/>
                <w:szCs w:val="20"/>
              </w:rPr>
              <w:t>Stephanie Perrin</w:t>
            </w:r>
          </w:p>
          <w:p w:rsidR="006605C9" w:rsidRPr="0048392B" w:rsidRDefault="0048392B" w:rsidP="00FF18C2">
            <w:pPr>
              <w:pStyle w:val="ListParagraph"/>
              <w:keepNext/>
              <w:numPr>
                <w:ilvl w:val="0"/>
                <w:numId w:val="40"/>
              </w:numPr>
              <w:contextualSpacing/>
              <w:rPr>
                <w:rFonts w:asciiTheme="minorHAnsi" w:hAnsiTheme="minorHAnsi"/>
                <w:sz w:val="20"/>
                <w:szCs w:val="20"/>
              </w:rPr>
            </w:pPr>
            <w:r w:rsidRPr="0048392B">
              <w:rPr>
                <w:rFonts w:asciiTheme="minorHAnsi" w:hAnsiTheme="minorHAnsi" w:cstheme="minorHAnsi"/>
                <w:sz w:val="20"/>
                <w:szCs w:val="20"/>
              </w:rPr>
              <w:t xml:space="preserve">Fabien </w:t>
            </w:r>
            <w:proofErr w:type="spellStart"/>
            <w:r w:rsidRPr="0048392B">
              <w:rPr>
                <w:rFonts w:asciiTheme="minorHAnsi" w:hAnsiTheme="minorHAnsi" w:cstheme="minorHAnsi"/>
                <w:sz w:val="20"/>
                <w:szCs w:val="20"/>
              </w:rPr>
              <w:t>Betremieux</w:t>
            </w:r>
            <w:proofErr w:type="spellEnd"/>
            <w:r w:rsidRPr="0048392B">
              <w:rPr>
                <w:rFonts w:asciiTheme="minorHAnsi" w:hAnsiTheme="minorHAnsi" w:cstheme="minorHAnsi"/>
                <w:sz w:val="20"/>
                <w:szCs w:val="20"/>
              </w:rPr>
              <w:t>; GAC</w:t>
            </w:r>
          </w:p>
        </w:tc>
        <w:tc>
          <w:tcPr>
            <w:tcW w:w="3960" w:type="dxa"/>
          </w:tcPr>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FF18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FF18C2">
            <w:pPr>
              <w:keepNext/>
              <w:contextualSpacing/>
              <w:rPr>
                <w:rFonts w:asciiTheme="minorHAnsi" w:hAnsiTheme="minorHAnsi"/>
                <w:sz w:val="20"/>
                <w:szCs w:val="20"/>
              </w:rPr>
            </w:pPr>
          </w:p>
          <w:p w:rsidR="002B3C04" w:rsidRPr="002860E2" w:rsidRDefault="002B3C04" w:rsidP="00FF18C2">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FF18C2">
            <w:pPr>
              <w:keepNext/>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1025" w:rsidRDefault="00391025" w:rsidP="00E3563F">
      <w:r>
        <w:separator/>
      </w:r>
    </w:p>
  </w:endnote>
  <w:endnote w:type="continuationSeparator" w:id="0">
    <w:p w:rsidR="00391025" w:rsidRDefault="00391025"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1025" w:rsidRDefault="00391025" w:rsidP="00E3563F">
      <w:r>
        <w:separator/>
      </w:r>
    </w:p>
  </w:footnote>
  <w:footnote w:type="continuationSeparator" w:id="0">
    <w:p w:rsidR="00391025" w:rsidRDefault="00391025"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64B84"/>
    <w:multiLevelType w:val="hybridMultilevel"/>
    <w:tmpl w:val="72024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615A3E"/>
    <w:multiLevelType w:val="hybridMultilevel"/>
    <w:tmpl w:val="ABAEC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026F0"/>
    <w:multiLevelType w:val="hybridMultilevel"/>
    <w:tmpl w:val="FDAAE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FB608F"/>
    <w:multiLevelType w:val="hybridMultilevel"/>
    <w:tmpl w:val="19B23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C632D"/>
    <w:multiLevelType w:val="hybridMultilevel"/>
    <w:tmpl w:val="0D2A5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8"/>
  </w:num>
  <w:num w:numId="4">
    <w:abstractNumId w:val="31"/>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32"/>
  </w:num>
  <w:num w:numId="10">
    <w:abstractNumId w:val="9"/>
  </w:num>
  <w:num w:numId="11">
    <w:abstractNumId w:val="35"/>
  </w:num>
  <w:num w:numId="12">
    <w:abstractNumId w:val="27"/>
  </w:num>
  <w:num w:numId="13">
    <w:abstractNumId w:val="5"/>
  </w:num>
  <w:num w:numId="14">
    <w:abstractNumId w:val="17"/>
  </w:num>
  <w:num w:numId="15">
    <w:abstractNumId w:val="42"/>
  </w:num>
  <w:num w:numId="16">
    <w:abstractNumId w:val="36"/>
  </w:num>
  <w:num w:numId="17">
    <w:abstractNumId w:val="7"/>
  </w:num>
  <w:num w:numId="18">
    <w:abstractNumId w:val="21"/>
  </w:num>
  <w:num w:numId="19">
    <w:abstractNumId w:val="38"/>
  </w:num>
  <w:num w:numId="20">
    <w:abstractNumId w:val="2"/>
  </w:num>
  <w:num w:numId="21">
    <w:abstractNumId w:val="41"/>
  </w:num>
  <w:num w:numId="22">
    <w:abstractNumId w:val="3"/>
  </w:num>
  <w:num w:numId="23">
    <w:abstractNumId w:val="37"/>
  </w:num>
  <w:num w:numId="24">
    <w:abstractNumId w:val="19"/>
  </w:num>
  <w:num w:numId="25">
    <w:abstractNumId w:val="23"/>
  </w:num>
  <w:num w:numId="26">
    <w:abstractNumId w:val="12"/>
  </w:num>
  <w:num w:numId="27">
    <w:abstractNumId w:val="33"/>
  </w:num>
  <w:num w:numId="28">
    <w:abstractNumId w:val="30"/>
  </w:num>
  <w:num w:numId="29">
    <w:abstractNumId w:val="11"/>
  </w:num>
  <w:num w:numId="30">
    <w:abstractNumId w:val="16"/>
  </w:num>
  <w:num w:numId="31">
    <w:abstractNumId w:val="34"/>
  </w:num>
  <w:num w:numId="32">
    <w:abstractNumId w:val="18"/>
  </w:num>
  <w:num w:numId="33">
    <w:abstractNumId w:val="26"/>
  </w:num>
  <w:num w:numId="34">
    <w:abstractNumId w:val="14"/>
  </w:num>
  <w:num w:numId="35">
    <w:abstractNumId w:val="40"/>
  </w:num>
  <w:num w:numId="36">
    <w:abstractNumId w:val="8"/>
  </w:num>
  <w:num w:numId="37">
    <w:abstractNumId w:val="20"/>
  </w:num>
  <w:num w:numId="38">
    <w:abstractNumId w:val="29"/>
  </w:num>
  <w:num w:numId="39">
    <w:abstractNumId w:val="1"/>
  </w:num>
  <w:num w:numId="40">
    <w:abstractNumId w:val="15"/>
  </w:num>
  <w:num w:numId="41">
    <w:abstractNumId w:val="39"/>
  </w:num>
  <w:num w:numId="42">
    <w:abstractNumId w:val="13"/>
  </w:num>
  <w:num w:numId="43">
    <w:abstractNumId w:val="2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1025"/>
    <w:rsid w:val="00397CCB"/>
    <w:rsid w:val="003A6E63"/>
    <w:rsid w:val="003C3C9E"/>
    <w:rsid w:val="003D238F"/>
    <w:rsid w:val="003E2C65"/>
    <w:rsid w:val="003E4DF0"/>
    <w:rsid w:val="003F100A"/>
    <w:rsid w:val="003F2820"/>
    <w:rsid w:val="003F6488"/>
    <w:rsid w:val="004009D1"/>
    <w:rsid w:val="00405492"/>
    <w:rsid w:val="00407272"/>
    <w:rsid w:val="00411FB7"/>
    <w:rsid w:val="0043262C"/>
    <w:rsid w:val="00433739"/>
    <w:rsid w:val="00436B8F"/>
    <w:rsid w:val="00437AF3"/>
    <w:rsid w:val="00443E13"/>
    <w:rsid w:val="00444068"/>
    <w:rsid w:val="0045126E"/>
    <w:rsid w:val="00464EA2"/>
    <w:rsid w:val="00476390"/>
    <w:rsid w:val="0048392B"/>
    <w:rsid w:val="00487888"/>
    <w:rsid w:val="00492A85"/>
    <w:rsid w:val="004A37C0"/>
    <w:rsid w:val="004B4C8A"/>
    <w:rsid w:val="004D0107"/>
    <w:rsid w:val="004D1348"/>
    <w:rsid w:val="004D549B"/>
    <w:rsid w:val="004E16F7"/>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7650B"/>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41B55"/>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56F92"/>
    <w:rsid w:val="008622EB"/>
    <w:rsid w:val="00864622"/>
    <w:rsid w:val="00871292"/>
    <w:rsid w:val="008A039F"/>
    <w:rsid w:val="008A4F25"/>
    <w:rsid w:val="008B3D88"/>
    <w:rsid w:val="008B4C96"/>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189"/>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03D3"/>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C45D4"/>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E5149"/>
    <w:rsid w:val="00FF18C2"/>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A8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4F25"/>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eastAsia="MS Mincho"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26676">
      <w:bodyDiv w:val="1"/>
      <w:marLeft w:val="0"/>
      <w:marRight w:val="0"/>
      <w:marTop w:val="0"/>
      <w:marBottom w:val="0"/>
      <w:divBdr>
        <w:top w:val="none" w:sz="0" w:space="0" w:color="auto"/>
        <w:left w:val="none" w:sz="0" w:space="0" w:color="auto"/>
        <w:bottom w:val="none" w:sz="0" w:space="0" w:color="auto"/>
        <w:right w:val="none" w:sz="0" w:space="0" w:color="auto"/>
      </w:divBdr>
    </w:div>
    <w:div w:id="136999702">
      <w:bodyDiv w:val="1"/>
      <w:marLeft w:val="0"/>
      <w:marRight w:val="0"/>
      <w:marTop w:val="0"/>
      <w:marBottom w:val="0"/>
      <w:divBdr>
        <w:top w:val="none" w:sz="0" w:space="0" w:color="auto"/>
        <w:left w:val="none" w:sz="0" w:space="0" w:color="auto"/>
        <w:bottom w:val="none" w:sz="0" w:space="0" w:color="auto"/>
        <w:right w:val="none" w:sz="0" w:space="0" w:color="auto"/>
      </w:divBdr>
    </w:div>
    <w:div w:id="163865455">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86678584">
      <w:bodyDiv w:val="1"/>
      <w:marLeft w:val="0"/>
      <w:marRight w:val="0"/>
      <w:marTop w:val="0"/>
      <w:marBottom w:val="0"/>
      <w:divBdr>
        <w:top w:val="none" w:sz="0" w:space="0" w:color="auto"/>
        <w:left w:val="none" w:sz="0" w:space="0" w:color="auto"/>
        <w:bottom w:val="none" w:sz="0" w:space="0" w:color="auto"/>
        <w:right w:val="none" w:sz="0" w:space="0" w:color="auto"/>
      </w:divBdr>
    </w:div>
    <w:div w:id="192306102">
      <w:bodyDiv w:val="1"/>
      <w:marLeft w:val="0"/>
      <w:marRight w:val="0"/>
      <w:marTop w:val="0"/>
      <w:marBottom w:val="0"/>
      <w:divBdr>
        <w:top w:val="none" w:sz="0" w:space="0" w:color="auto"/>
        <w:left w:val="none" w:sz="0" w:space="0" w:color="auto"/>
        <w:bottom w:val="none" w:sz="0" w:space="0" w:color="auto"/>
        <w:right w:val="none" w:sz="0" w:space="0" w:color="auto"/>
      </w:divBdr>
    </w:div>
    <w:div w:id="266743645">
      <w:bodyDiv w:val="1"/>
      <w:marLeft w:val="0"/>
      <w:marRight w:val="0"/>
      <w:marTop w:val="0"/>
      <w:marBottom w:val="0"/>
      <w:divBdr>
        <w:top w:val="none" w:sz="0" w:space="0" w:color="auto"/>
        <w:left w:val="none" w:sz="0" w:space="0" w:color="auto"/>
        <w:bottom w:val="none" w:sz="0" w:space="0" w:color="auto"/>
        <w:right w:val="none" w:sz="0" w:space="0" w:color="auto"/>
      </w:divBdr>
    </w:div>
    <w:div w:id="271516868">
      <w:bodyDiv w:val="1"/>
      <w:marLeft w:val="0"/>
      <w:marRight w:val="0"/>
      <w:marTop w:val="0"/>
      <w:marBottom w:val="0"/>
      <w:divBdr>
        <w:top w:val="none" w:sz="0" w:space="0" w:color="auto"/>
        <w:left w:val="none" w:sz="0" w:space="0" w:color="auto"/>
        <w:bottom w:val="none" w:sz="0" w:space="0" w:color="auto"/>
        <w:right w:val="none" w:sz="0" w:space="0" w:color="auto"/>
      </w:divBdr>
    </w:div>
    <w:div w:id="281348545">
      <w:bodyDiv w:val="1"/>
      <w:marLeft w:val="0"/>
      <w:marRight w:val="0"/>
      <w:marTop w:val="0"/>
      <w:marBottom w:val="0"/>
      <w:divBdr>
        <w:top w:val="none" w:sz="0" w:space="0" w:color="auto"/>
        <w:left w:val="none" w:sz="0" w:space="0" w:color="auto"/>
        <w:bottom w:val="none" w:sz="0" w:space="0" w:color="auto"/>
        <w:right w:val="none" w:sz="0" w:space="0" w:color="auto"/>
      </w:divBdr>
    </w:div>
    <w:div w:id="290329670">
      <w:bodyDiv w:val="1"/>
      <w:marLeft w:val="0"/>
      <w:marRight w:val="0"/>
      <w:marTop w:val="0"/>
      <w:marBottom w:val="0"/>
      <w:divBdr>
        <w:top w:val="none" w:sz="0" w:space="0" w:color="auto"/>
        <w:left w:val="none" w:sz="0" w:space="0" w:color="auto"/>
        <w:bottom w:val="none" w:sz="0" w:space="0" w:color="auto"/>
        <w:right w:val="none" w:sz="0" w:space="0" w:color="auto"/>
      </w:divBdr>
    </w:div>
    <w:div w:id="338047769">
      <w:bodyDiv w:val="1"/>
      <w:marLeft w:val="0"/>
      <w:marRight w:val="0"/>
      <w:marTop w:val="0"/>
      <w:marBottom w:val="0"/>
      <w:divBdr>
        <w:top w:val="none" w:sz="0" w:space="0" w:color="auto"/>
        <w:left w:val="none" w:sz="0" w:space="0" w:color="auto"/>
        <w:bottom w:val="none" w:sz="0" w:space="0" w:color="auto"/>
        <w:right w:val="none" w:sz="0" w:space="0" w:color="auto"/>
      </w:divBdr>
    </w:div>
    <w:div w:id="349450130">
      <w:bodyDiv w:val="1"/>
      <w:marLeft w:val="0"/>
      <w:marRight w:val="0"/>
      <w:marTop w:val="0"/>
      <w:marBottom w:val="0"/>
      <w:divBdr>
        <w:top w:val="none" w:sz="0" w:space="0" w:color="auto"/>
        <w:left w:val="none" w:sz="0" w:space="0" w:color="auto"/>
        <w:bottom w:val="none" w:sz="0" w:space="0" w:color="auto"/>
        <w:right w:val="none" w:sz="0" w:space="0" w:color="auto"/>
      </w:divBdr>
    </w:div>
    <w:div w:id="351807107">
      <w:bodyDiv w:val="1"/>
      <w:marLeft w:val="0"/>
      <w:marRight w:val="0"/>
      <w:marTop w:val="0"/>
      <w:marBottom w:val="0"/>
      <w:divBdr>
        <w:top w:val="none" w:sz="0" w:space="0" w:color="auto"/>
        <w:left w:val="none" w:sz="0" w:space="0" w:color="auto"/>
        <w:bottom w:val="none" w:sz="0" w:space="0" w:color="auto"/>
        <w:right w:val="none" w:sz="0" w:space="0" w:color="auto"/>
      </w:divBdr>
    </w:div>
    <w:div w:id="401755964">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593127242">
      <w:bodyDiv w:val="1"/>
      <w:marLeft w:val="0"/>
      <w:marRight w:val="0"/>
      <w:marTop w:val="0"/>
      <w:marBottom w:val="0"/>
      <w:divBdr>
        <w:top w:val="none" w:sz="0" w:space="0" w:color="auto"/>
        <w:left w:val="none" w:sz="0" w:space="0" w:color="auto"/>
        <w:bottom w:val="none" w:sz="0" w:space="0" w:color="auto"/>
        <w:right w:val="none" w:sz="0" w:space="0" w:color="auto"/>
      </w:divBdr>
    </w:div>
    <w:div w:id="593435092">
      <w:bodyDiv w:val="1"/>
      <w:marLeft w:val="0"/>
      <w:marRight w:val="0"/>
      <w:marTop w:val="0"/>
      <w:marBottom w:val="0"/>
      <w:divBdr>
        <w:top w:val="none" w:sz="0" w:space="0" w:color="auto"/>
        <w:left w:val="none" w:sz="0" w:space="0" w:color="auto"/>
        <w:bottom w:val="none" w:sz="0" w:space="0" w:color="auto"/>
        <w:right w:val="none" w:sz="0" w:space="0" w:color="auto"/>
      </w:divBdr>
    </w:div>
    <w:div w:id="626813455">
      <w:bodyDiv w:val="1"/>
      <w:marLeft w:val="0"/>
      <w:marRight w:val="0"/>
      <w:marTop w:val="0"/>
      <w:marBottom w:val="0"/>
      <w:divBdr>
        <w:top w:val="none" w:sz="0" w:space="0" w:color="auto"/>
        <w:left w:val="none" w:sz="0" w:space="0" w:color="auto"/>
        <w:bottom w:val="none" w:sz="0" w:space="0" w:color="auto"/>
        <w:right w:val="none" w:sz="0" w:space="0" w:color="auto"/>
      </w:divBdr>
    </w:div>
    <w:div w:id="654799357">
      <w:bodyDiv w:val="1"/>
      <w:marLeft w:val="0"/>
      <w:marRight w:val="0"/>
      <w:marTop w:val="0"/>
      <w:marBottom w:val="0"/>
      <w:divBdr>
        <w:top w:val="none" w:sz="0" w:space="0" w:color="auto"/>
        <w:left w:val="none" w:sz="0" w:space="0" w:color="auto"/>
        <w:bottom w:val="none" w:sz="0" w:space="0" w:color="auto"/>
        <w:right w:val="none" w:sz="0" w:space="0" w:color="auto"/>
      </w:divBdr>
    </w:div>
    <w:div w:id="712191520">
      <w:bodyDiv w:val="1"/>
      <w:marLeft w:val="0"/>
      <w:marRight w:val="0"/>
      <w:marTop w:val="0"/>
      <w:marBottom w:val="0"/>
      <w:divBdr>
        <w:top w:val="none" w:sz="0" w:space="0" w:color="auto"/>
        <w:left w:val="none" w:sz="0" w:space="0" w:color="auto"/>
        <w:bottom w:val="none" w:sz="0" w:space="0" w:color="auto"/>
        <w:right w:val="none" w:sz="0" w:space="0" w:color="auto"/>
      </w:divBdr>
    </w:div>
    <w:div w:id="731544203">
      <w:bodyDiv w:val="1"/>
      <w:marLeft w:val="0"/>
      <w:marRight w:val="0"/>
      <w:marTop w:val="0"/>
      <w:marBottom w:val="0"/>
      <w:divBdr>
        <w:top w:val="none" w:sz="0" w:space="0" w:color="auto"/>
        <w:left w:val="none" w:sz="0" w:space="0" w:color="auto"/>
        <w:bottom w:val="none" w:sz="0" w:space="0" w:color="auto"/>
        <w:right w:val="none" w:sz="0" w:space="0" w:color="auto"/>
      </w:divBdr>
    </w:div>
    <w:div w:id="745147293">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796266447">
      <w:bodyDiv w:val="1"/>
      <w:marLeft w:val="0"/>
      <w:marRight w:val="0"/>
      <w:marTop w:val="0"/>
      <w:marBottom w:val="0"/>
      <w:divBdr>
        <w:top w:val="none" w:sz="0" w:space="0" w:color="auto"/>
        <w:left w:val="none" w:sz="0" w:space="0" w:color="auto"/>
        <w:bottom w:val="none" w:sz="0" w:space="0" w:color="auto"/>
        <w:right w:val="none" w:sz="0" w:space="0" w:color="auto"/>
      </w:divBdr>
    </w:div>
    <w:div w:id="838542842">
      <w:bodyDiv w:val="1"/>
      <w:marLeft w:val="0"/>
      <w:marRight w:val="0"/>
      <w:marTop w:val="0"/>
      <w:marBottom w:val="0"/>
      <w:divBdr>
        <w:top w:val="none" w:sz="0" w:space="0" w:color="auto"/>
        <w:left w:val="none" w:sz="0" w:space="0" w:color="auto"/>
        <w:bottom w:val="none" w:sz="0" w:space="0" w:color="auto"/>
        <w:right w:val="none" w:sz="0" w:space="0" w:color="auto"/>
      </w:divBdr>
    </w:div>
    <w:div w:id="868492664">
      <w:bodyDiv w:val="1"/>
      <w:marLeft w:val="0"/>
      <w:marRight w:val="0"/>
      <w:marTop w:val="0"/>
      <w:marBottom w:val="0"/>
      <w:divBdr>
        <w:top w:val="none" w:sz="0" w:space="0" w:color="auto"/>
        <w:left w:val="none" w:sz="0" w:space="0" w:color="auto"/>
        <w:bottom w:val="none" w:sz="0" w:space="0" w:color="auto"/>
        <w:right w:val="none" w:sz="0" w:space="0" w:color="auto"/>
      </w:divBdr>
    </w:div>
    <w:div w:id="873083035">
      <w:bodyDiv w:val="1"/>
      <w:marLeft w:val="0"/>
      <w:marRight w:val="0"/>
      <w:marTop w:val="0"/>
      <w:marBottom w:val="0"/>
      <w:divBdr>
        <w:top w:val="none" w:sz="0" w:space="0" w:color="auto"/>
        <w:left w:val="none" w:sz="0" w:space="0" w:color="auto"/>
        <w:bottom w:val="none" w:sz="0" w:space="0" w:color="auto"/>
        <w:right w:val="none" w:sz="0" w:space="0" w:color="auto"/>
      </w:divBdr>
    </w:div>
    <w:div w:id="944656049">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07176126">
      <w:bodyDiv w:val="1"/>
      <w:marLeft w:val="0"/>
      <w:marRight w:val="0"/>
      <w:marTop w:val="0"/>
      <w:marBottom w:val="0"/>
      <w:divBdr>
        <w:top w:val="none" w:sz="0" w:space="0" w:color="auto"/>
        <w:left w:val="none" w:sz="0" w:space="0" w:color="auto"/>
        <w:bottom w:val="none" w:sz="0" w:space="0" w:color="auto"/>
        <w:right w:val="none" w:sz="0" w:space="0" w:color="auto"/>
      </w:divBdr>
    </w:div>
    <w:div w:id="1059012017">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83835117">
      <w:bodyDiv w:val="1"/>
      <w:marLeft w:val="0"/>
      <w:marRight w:val="0"/>
      <w:marTop w:val="0"/>
      <w:marBottom w:val="0"/>
      <w:divBdr>
        <w:top w:val="none" w:sz="0" w:space="0" w:color="auto"/>
        <w:left w:val="none" w:sz="0" w:space="0" w:color="auto"/>
        <w:bottom w:val="none" w:sz="0" w:space="0" w:color="auto"/>
        <w:right w:val="none" w:sz="0" w:space="0" w:color="auto"/>
      </w:divBdr>
    </w:div>
    <w:div w:id="1088888562">
      <w:bodyDiv w:val="1"/>
      <w:marLeft w:val="0"/>
      <w:marRight w:val="0"/>
      <w:marTop w:val="0"/>
      <w:marBottom w:val="0"/>
      <w:divBdr>
        <w:top w:val="none" w:sz="0" w:space="0" w:color="auto"/>
        <w:left w:val="none" w:sz="0" w:space="0" w:color="auto"/>
        <w:bottom w:val="none" w:sz="0" w:space="0" w:color="auto"/>
        <w:right w:val="none" w:sz="0" w:space="0" w:color="auto"/>
      </w:divBdr>
    </w:div>
    <w:div w:id="1118990949">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55015785">
      <w:bodyDiv w:val="1"/>
      <w:marLeft w:val="0"/>
      <w:marRight w:val="0"/>
      <w:marTop w:val="0"/>
      <w:marBottom w:val="0"/>
      <w:divBdr>
        <w:top w:val="none" w:sz="0" w:space="0" w:color="auto"/>
        <w:left w:val="none" w:sz="0" w:space="0" w:color="auto"/>
        <w:bottom w:val="none" w:sz="0" w:space="0" w:color="auto"/>
        <w:right w:val="none" w:sz="0" w:space="0" w:color="auto"/>
      </w:divBdr>
    </w:div>
    <w:div w:id="1279070881">
      <w:bodyDiv w:val="1"/>
      <w:marLeft w:val="0"/>
      <w:marRight w:val="0"/>
      <w:marTop w:val="0"/>
      <w:marBottom w:val="0"/>
      <w:divBdr>
        <w:top w:val="none" w:sz="0" w:space="0" w:color="auto"/>
        <w:left w:val="none" w:sz="0" w:space="0" w:color="auto"/>
        <w:bottom w:val="none" w:sz="0" w:space="0" w:color="auto"/>
        <w:right w:val="none" w:sz="0" w:space="0" w:color="auto"/>
      </w:divBdr>
    </w:div>
    <w:div w:id="1298141548">
      <w:bodyDiv w:val="1"/>
      <w:marLeft w:val="0"/>
      <w:marRight w:val="0"/>
      <w:marTop w:val="0"/>
      <w:marBottom w:val="0"/>
      <w:divBdr>
        <w:top w:val="none" w:sz="0" w:space="0" w:color="auto"/>
        <w:left w:val="none" w:sz="0" w:space="0" w:color="auto"/>
        <w:bottom w:val="none" w:sz="0" w:space="0" w:color="auto"/>
        <w:right w:val="none" w:sz="0" w:space="0" w:color="auto"/>
      </w:divBdr>
    </w:div>
    <w:div w:id="1301764166">
      <w:bodyDiv w:val="1"/>
      <w:marLeft w:val="0"/>
      <w:marRight w:val="0"/>
      <w:marTop w:val="0"/>
      <w:marBottom w:val="0"/>
      <w:divBdr>
        <w:top w:val="none" w:sz="0" w:space="0" w:color="auto"/>
        <w:left w:val="none" w:sz="0" w:space="0" w:color="auto"/>
        <w:bottom w:val="none" w:sz="0" w:space="0" w:color="auto"/>
        <w:right w:val="none" w:sz="0" w:space="0" w:color="auto"/>
      </w:divBdr>
    </w:div>
    <w:div w:id="1327855389">
      <w:bodyDiv w:val="1"/>
      <w:marLeft w:val="0"/>
      <w:marRight w:val="0"/>
      <w:marTop w:val="0"/>
      <w:marBottom w:val="0"/>
      <w:divBdr>
        <w:top w:val="none" w:sz="0" w:space="0" w:color="auto"/>
        <w:left w:val="none" w:sz="0" w:space="0" w:color="auto"/>
        <w:bottom w:val="none" w:sz="0" w:space="0" w:color="auto"/>
        <w:right w:val="none" w:sz="0" w:space="0" w:color="auto"/>
      </w:divBdr>
    </w:div>
    <w:div w:id="1415784253">
      <w:bodyDiv w:val="1"/>
      <w:marLeft w:val="0"/>
      <w:marRight w:val="0"/>
      <w:marTop w:val="0"/>
      <w:marBottom w:val="0"/>
      <w:divBdr>
        <w:top w:val="none" w:sz="0" w:space="0" w:color="auto"/>
        <w:left w:val="none" w:sz="0" w:space="0" w:color="auto"/>
        <w:bottom w:val="none" w:sz="0" w:space="0" w:color="auto"/>
        <w:right w:val="none" w:sz="0" w:space="0" w:color="auto"/>
      </w:divBdr>
    </w:div>
    <w:div w:id="1418943468">
      <w:bodyDiv w:val="1"/>
      <w:marLeft w:val="0"/>
      <w:marRight w:val="0"/>
      <w:marTop w:val="0"/>
      <w:marBottom w:val="0"/>
      <w:divBdr>
        <w:top w:val="none" w:sz="0" w:space="0" w:color="auto"/>
        <w:left w:val="none" w:sz="0" w:space="0" w:color="auto"/>
        <w:bottom w:val="none" w:sz="0" w:space="0" w:color="auto"/>
        <w:right w:val="none" w:sz="0" w:space="0" w:color="auto"/>
      </w:divBdr>
    </w:div>
    <w:div w:id="1437865046">
      <w:bodyDiv w:val="1"/>
      <w:marLeft w:val="0"/>
      <w:marRight w:val="0"/>
      <w:marTop w:val="0"/>
      <w:marBottom w:val="0"/>
      <w:divBdr>
        <w:top w:val="none" w:sz="0" w:space="0" w:color="auto"/>
        <w:left w:val="none" w:sz="0" w:space="0" w:color="auto"/>
        <w:bottom w:val="none" w:sz="0" w:space="0" w:color="auto"/>
        <w:right w:val="none" w:sz="0" w:space="0" w:color="auto"/>
      </w:divBdr>
    </w:div>
    <w:div w:id="1535384848">
      <w:bodyDiv w:val="1"/>
      <w:marLeft w:val="0"/>
      <w:marRight w:val="0"/>
      <w:marTop w:val="0"/>
      <w:marBottom w:val="0"/>
      <w:divBdr>
        <w:top w:val="none" w:sz="0" w:space="0" w:color="auto"/>
        <w:left w:val="none" w:sz="0" w:space="0" w:color="auto"/>
        <w:bottom w:val="none" w:sz="0" w:space="0" w:color="auto"/>
        <w:right w:val="none" w:sz="0" w:space="0" w:color="auto"/>
      </w:divBdr>
    </w:div>
    <w:div w:id="1571110335">
      <w:bodyDiv w:val="1"/>
      <w:marLeft w:val="0"/>
      <w:marRight w:val="0"/>
      <w:marTop w:val="0"/>
      <w:marBottom w:val="0"/>
      <w:divBdr>
        <w:top w:val="none" w:sz="0" w:space="0" w:color="auto"/>
        <w:left w:val="none" w:sz="0" w:space="0" w:color="auto"/>
        <w:bottom w:val="none" w:sz="0" w:space="0" w:color="auto"/>
        <w:right w:val="none" w:sz="0" w:space="0" w:color="auto"/>
      </w:divBdr>
    </w:div>
    <w:div w:id="1616212489">
      <w:bodyDiv w:val="1"/>
      <w:marLeft w:val="0"/>
      <w:marRight w:val="0"/>
      <w:marTop w:val="0"/>
      <w:marBottom w:val="0"/>
      <w:divBdr>
        <w:top w:val="none" w:sz="0" w:space="0" w:color="auto"/>
        <w:left w:val="none" w:sz="0" w:space="0" w:color="auto"/>
        <w:bottom w:val="none" w:sz="0" w:space="0" w:color="auto"/>
        <w:right w:val="none" w:sz="0" w:space="0" w:color="auto"/>
      </w:divBdr>
    </w:div>
    <w:div w:id="1617827207">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241686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96928648">
      <w:bodyDiv w:val="1"/>
      <w:marLeft w:val="0"/>
      <w:marRight w:val="0"/>
      <w:marTop w:val="0"/>
      <w:marBottom w:val="0"/>
      <w:divBdr>
        <w:top w:val="none" w:sz="0" w:space="0" w:color="auto"/>
        <w:left w:val="none" w:sz="0" w:space="0" w:color="auto"/>
        <w:bottom w:val="none" w:sz="0" w:space="0" w:color="auto"/>
        <w:right w:val="none" w:sz="0" w:space="0" w:color="auto"/>
      </w:divBdr>
    </w:div>
    <w:div w:id="1810784556">
      <w:bodyDiv w:val="1"/>
      <w:marLeft w:val="0"/>
      <w:marRight w:val="0"/>
      <w:marTop w:val="0"/>
      <w:marBottom w:val="0"/>
      <w:divBdr>
        <w:top w:val="none" w:sz="0" w:space="0" w:color="auto"/>
        <w:left w:val="none" w:sz="0" w:space="0" w:color="auto"/>
        <w:bottom w:val="none" w:sz="0" w:space="0" w:color="auto"/>
        <w:right w:val="none" w:sz="0" w:space="0" w:color="auto"/>
      </w:divBdr>
    </w:div>
    <w:div w:id="1844853222">
      <w:bodyDiv w:val="1"/>
      <w:marLeft w:val="0"/>
      <w:marRight w:val="0"/>
      <w:marTop w:val="0"/>
      <w:marBottom w:val="0"/>
      <w:divBdr>
        <w:top w:val="none" w:sz="0" w:space="0" w:color="auto"/>
        <w:left w:val="none" w:sz="0" w:space="0" w:color="auto"/>
        <w:bottom w:val="none" w:sz="0" w:space="0" w:color="auto"/>
        <w:right w:val="none" w:sz="0" w:space="0" w:color="auto"/>
      </w:divBdr>
    </w:div>
    <w:div w:id="1873881656">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96952060">
      <w:bodyDiv w:val="1"/>
      <w:marLeft w:val="0"/>
      <w:marRight w:val="0"/>
      <w:marTop w:val="0"/>
      <w:marBottom w:val="0"/>
      <w:divBdr>
        <w:top w:val="none" w:sz="0" w:space="0" w:color="auto"/>
        <w:left w:val="none" w:sz="0" w:space="0" w:color="auto"/>
        <w:bottom w:val="none" w:sz="0" w:space="0" w:color="auto"/>
        <w:right w:val="none" w:sz="0" w:space="0" w:color="auto"/>
      </w:divBdr>
    </w:div>
    <w:div w:id="2024359128">
      <w:bodyDiv w:val="1"/>
      <w:marLeft w:val="0"/>
      <w:marRight w:val="0"/>
      <w:marTop w:val="0"/>
      <w:marBottom w:val="0"/>
      <w:divBdr>
        <w:top w:val="none" w:sz="0" w:space="0" w:color="auto"/>
        <w:left w:val="none" w:sz="0" w:space="0" w:color="auto"/>
        <w:bottom w:val="none" w:sz="0" w:space="0" w:color="auto"/>
        <w:right w:val="none" w:sz="0" w:space="0" w:color="auto"/>
      </w:divBdr>
    </w:div>
    <w:div w:id="2045518683">
      <w:bodyDiv w:val="1"/>
      <w:marLeft w:val="0"/>
      <w:marRight w:val="0"/>
      <w:marTop w:val="0"/>
      <w:marBottom w:val="0"/>
      <w:divBdr>
        <w:top w:val="none" w:sz="0" w:space="0" w:color="auto"/>
        <w:left w:val="none" w:sz="0" w:space="0" w:color="auto"/>
        <w:bottom w:val="none" w:sz="0" w:space="0" w:color="auto"/>
        <w:right w:val="none" w:sz="0" w:space="0" w:color="auto"/>
      </w:divBdr>
    </w:div>
    <w:div w:id="2105834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274-4FF8-9B24-8B69D93136FB}"/>
              </c:ext>
            </c:extLst>
          </c:dPt>
          <c:dPt>
            <c:idx val="1"/>
            <c:bubble3D val="0"/>
            <c:spPr>
              <a:solidFill>
                <a:srgbClr val="92D050"/>
              </a:solidFill>
            </c:spPr>
            <c:extLst>
              <c:ext xmlns:c16="http://schemas.microsoft.com/office/drawing/2014/chart" uri="{C3380CC4-5D6E-409C-BE32-E72D297353CC}">
                <c16:uniqueId val="{00000003-0274-4FF8-9B24-8B69D93136FB}"/>
              </c:ext>
            </c:extLst>
          </c:dPt>
          <c:dPt>
            <c:idx val="2"/>
            <c:bubble3D val="0"/>
            <c:spPr>
              <a:solidFill>
                <a:srgbClr val="FFFF00"/>
              </a:solidFill>
            </c:spPr>
            <c:extLst>
              <c:ext xmlns:c16="http://schemas.microsoft.com/office/drawing/2014/chart" uri="{C3380CC4-5D6E-409C-BE32-E72D297353CC}">
                <c16:uniqueId val="{00000005-0274-4FF8-9B24-8B69D93136FB}"/>
              </c:ext>
            </c:extLst>
          </c:dPt>
          <c:dPt>
            <c:idx val="3"/>
            <c:bubble3D val="0"/>
            <c:spPr>
              <a:solidFill>
                <a:srgbClr val="FF0000"/>
              </a:solidFill>
            </c:spPr>
            <c:extLst>
              <c:ext xmlns:c16="http://schemas.microsoft.com/office/drawing/2014/chart" uri="{C3380CC4-5D6E-409C-BE32-E72D297353CC}">
                <c16:uniqueId val="{00000007-0274-4FF8-9B24-8B69D93136FB}"/>
              </c:ext>
            </c:extLst>
          </c:dPt>
          <c:dPt>
            <c:idx val="4"/>
            <c:bubble3D val="0"/>
            <c:spPr>
              <a:solidFill>
                <a:schemeClr val="accent5">
                  <a:lumMod val="20000"/>
                  <a:lumOff val="80000"/>
                </a:schemeClr>
              </a:solidFill>
            </c:spPr>
            <c:extLst>
              <c:ext xmlns:c16="http://schemas.microsoft.com/office/drawing/2014/chart" uri="{C3380CC4-5D6E-409C-BE32-E72D297353CC}">
                <c16:uniqueId val="{00000009-0274-4FF8-9B24-8B69D93136FB}"/>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Responses'!$BQ$47:$BQ$51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Responses'!$BR$47:$BR$51</c:f>
              <c:numCache>
                <c:formatCode>General</c:formatCode>
                <c:ptCount val="5"/>
                <c:pt idx="0">
                  <c:v>9</c:v>
                </c:pt>
                <c:pt idx="1">
                  <c:v>10</c:v>
                </c:pt>
                <c:pt idx="2">
                  <c:v>9</c:v>
                </c:pt>
                <c:pt idx="3">
                  <c:v>3</c:v>
                </c:pt>
                <c:pt idx="4">
                  <c:v>11</c:v>
                </c:pt>
              </c:numCache>
            </c:numRef>
          </c:val>
          <c:extLst>
            <c:ext xmlns:c16="http://schemas.microsoft.com/office/drawing/2014/chart" uri="{C3380CC4-5D6E-409C-BE32-E72D297353CC}">
              <c16:uniqueId val="{0000000A-0274-4FF8-9B24-8B69D93136FB}"/>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B6045-BE26-49CC-B130-3C246386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10</Pages>
  <Words>3420</Words>
  <Characters>19498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2018-12-31T18:51:00Z</dcterms:created>
  <dcterms:modified xsi:type="dcterms:W3CDTF">2018-12-31T18:51:00Z</dcterms:modified>
</cp:coreProperties>
</file>