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B9324" w14:textId="575F8BF4" w:rsidR="00495C31" w:rsidRDefault="00495C31" w:rsidP="00495C31">
      <w:pPr>
        <w:rPr>
          <w:b/>
          <w:sz w:val="32"/>
          <w:szCs w:val="32"/>
        </w:rPr>
      </w:pPr>
      <w:r>
        <w:rPr>
          <w:b/>
          <w:sz w:val="32"/>
          <w:szCs w:val="32"/>
        </w:rPr>
        <w:t xml:space="preserve">RECOMMENDATION </w:t>
      </w:r>
      <w:r>
        <w:rPr>
          <w:b/>
          <w:sz w:val="32"/>
          <w:szCs w:val="32"/>
        </w:rPr>
        <w:t>7</w:t>
      </w:r>
    </w:p>
    <w:p w14:paraId="4EF885EC" w14:textId="77777777" w:rsidR="00495C31" w:rsidRDefault="00495C31" w:rsidP="00495C31">
      <w:pPr>
        <w:rPr>
          <w:b/>
          <w:sz w:val="32"/>
          <w:szCs w:val="32"/>
        </w:rPr>
      </w:pPr>
    </w:p>
    <w:p w14:paraId="4825849F" w14:textId="06832AA4" w:rsidR="00495C31" w:rsidRDefault="00495C31" w:rsidP="00495C31">
      <w:pPr>
        <w:pStyle w:val="ListParagraph"/>
        <w:numPr>
          <w:ilvl w:val="0"/>
          <w:numId w:val="1"/>
        </w:numPr>
        <w:pBdr>
          <w:top w:val="single" w:sz="4" w:space="1" w:color="auto"/>
          <w:left w:val="single" w:sz="4" w:space="4" w:color="auto"/>
          <w:bottom w:val="single" w:sz="4" w:space="1" w:color="auto"/>
          <w:right w:val="single" w:sz="4" w:space="4" w:color="auto"/>
        </w:pBdr>
        <w:rPr>
          <w:sz w:val="28"/>
          <w:szCs w:val="28"/>
        </w:rPr>
      </w:pPr>
      <w:r w:rsidRPr="00495C31">
        <w:rPr>
          <w:sz w:val="28"/>
          <w:szCs w:val="28"/>
        </w:rPr>
        <w:t>The EPDP Team recommends that updates are made to the contractual</w:t>
      </w:r>
      <w:r>
        <w:rPr>
          <w:sz w:val="28"/>
          <w:szCs w:val="28"/>
        </w:rPr>
        <w:t xml:space="preserve"> </w:t>
      </w:r>
      <w:r w:rsidRPr="00495C31">
        <w:rPr>
          <w:sz w:val="28"/>
          <w:szCs w:val="28"/>
        </w:rPr>
        <w:t>requirements for registries and registrars to transfer to ICANN Compliance the</w:t>
      </w:r>
      <w:r>
        <w:rPr>
          <w:sz w:val="28"/>
          <w:szCs w:val="28"/>
        </w:rPr>
        <w:t xml:space="preserve"> </w:t>
      </w:r>
      <w:r w:rsidRPr="00495C31">
        <w:rPr>
          <w:sz w:val="28"/>
          <w:szCs w:val="28"/>
        </w:rPr>
        <w:t>domain name registration data that they process when required/requested,</w:t>
      </w:r>
      <w:r>
        <w:rPr>
          <w:sz w:val="28"/>
          <w:szCs w:val="28"/>
        </w:rPr>
        <w:t xml:space="preserve"> </w:t>
      </w:r>
      <w:r w:rsidRPr="00495C31">
        <w:rPr>
          <w:sz w:val="28"/>
          <w:szCs w:val="28"/>
        </w:rPr>
        <w:t>consistent with the data elements workbook that analyzes the purpose to handle</w:t>
      </w:r>
      <w:r>
        <w:rPr>
          <w:sz w:val="28"/>
          <w:szCs w:val="28"/>
        </w:rPr>
        <w:t xml:space="preserve"> </w:t>
      </w:r>
      <w:r w:rsidRPr="00495C31">
        <w:rPr>
          <w:sz w:val="28"/>
          <w:szCs w:val="28"/>
        </w:rPr>
        <w:t>contractual compliance monitoring requests, audits, and complaints submitted</w:t>
      </w:r>
      <w:r>
        <w:rPr>
          <w:sz w:val="28"/>
          <w:szCs w:val="28"/>
        </w:rPr>
        <w:t xml:space="preserve"> </w:t>
      </w:r>
      <w:r w:rsidRPr="00495C31">
        <w:rPr>
          <w:sz w:val="28"/>
          <w:szCs w:val="28"/>
        </w:rPr>
        <w:t>by Registry Operators, Registrars, Registered Name Holders, and other Internet</w:t>
      </w:r>
      <w:r>
        <w:rPr>
          <w:sz w:val="28"/>
          <w:szCs w:val="28"/>
        </w:rPr>
        <w:t xml:space="preserve"> </w:t>
      </w:r>
      <w:r w:rsidRPr="00495C31">
        <w:rPr>
          <w:sz w:val="28"/>
          <w:szCs w:val="28"/>
        </w:rPr>
        <w:t>users (see Annex D).</w:t>
      </w:r>
    </w:p>
    <w:p w14:paraId="5B6FB212" w14:textId="41AABE4B" w:rsidR="00495C31" w:rsidRDefault="00495C31" w:rsidP="00495C31">
      <w:pPr>
        <w:pStyle w:val="ListParagraph"/>
        <w:numPr>
          <w:ilvl w:val="0"/>
          <w:numId w:val="1"/>
        </w:numPr>
        <w:pBdr>
          <w:top w:val="single" w:sz="4" w:space="1" w:color="auto"/>
          <w:left w:val="single" w:sz="4" w:space="4" w:color="auto"/>
          <w:bottom w:val="single" w:sz="4" w:space="1" w:color="auto"/>
          <w:right w:val="single" w:sz="4" w:space="4" w:color="auto"/>
        </w:pBdr>
        <w:rPr>
          <w:sz w:val="28"/>
          <w:szCs w:val="28"/>
        </w:rPr>
      </w:pPr>
      <w:r w:rsidRPr="00495C31">
        <w:rPr>
          <w:sz w:val="28"/>
          <w:szCs w:val="28"/>
        </w:rPr>
        <w:t>The data elements workbook that analyzes the purpose to handle contractual</w:t>
      </w:r>
      <w:r>
        <w:rPr>
          <w:sz w:val="28"/>
          <w:szCs w:val="28"/>
        </w:rPr>
        <w:t xml:space="preserve"> </w:t>
      </w:r>
      <w:r w:rsidRPr="00495C31">
        <w:rPr>
          <w:sz w:val="28"/>
          <w:szCs w:val="28"/>
        </w:rPr>
        <w:t>compliance monitoring requests, audits, and complaints submitted by Registry</w:t>
      </w:r>
      <w:r>
        <w:rPr>
          <w:sz w:val="28"/>
          <w:szCs w:val="28"/>
        </w:rPr>
        <w:t xml:space="preserve"> </w:t>
      </w:r>
      <w:r w:rsidRPr="00495C31">
        <w:rPr>
          <w:sz w:val="28"/>
          <w:szCs w:val="28"/>
        </w:rPr>
        <w:t>Operators, Registrars, Registered Name Holders, and other Internet users</w:t>
      </w:r>
      <w:r>
        <w:rPr>
          <w:sz w:val="28"/>
          <w:szCs w:val="28"/>
        </w:rPr>
        <w:t xml:space="preserve"> </w:t>
      </w:r>
      <w:r w:rsidRPr="00495C31">
        <w:rPr>
          <w:sz w:val="28"/>
          <w:szCs w:val="28"/>
        </w:rPr>
        <w:t>contains the specifically-identified data elements the EPDP Team recommends</w:t>
      </w:r>
      <w:r>
        <w:rPr>
          <w:sz w:val="28"/>
          <w:szCs w:val="28"/>
        </w:rPr>
        <w:t xml:space="preserve"> </w:t>
      </w:r>
      <w:r w:rsidRPr="00495C31">
        <w:rPr>
          <w:sz w:val="28"/>
          <w:szCs w:val="28"/>
        </w:rPr>
        <w:t>be transferred from registries and registrars to ICANN Compliance (see Annex D).</w:t>
      </w:r>
      <w:r>
        <w:rPr>
          <w:sz w:val="28"/>
          <w:szCs w:val="28"/>
        </w:rPr>
        <w:t xml:space="preserve"> </w:t>
      </w:r>
      <w:r w:rsidRPr="00495C31">
        <w:rPr>
          <w:sz w:val="28"/>
          <w:szCs w:val="28"/>
        </w:rPr>
        <w:t>These data elements are:</w:t>
      </w:r>
      <w:r>
        <w:rPr>
          <w:sz w:val="28"/>
          <w:szCs w:val="28"/>
        </w:rPr>
        <w:t xml:space="preserve"> &lt;see Initial Report&gt;.</w:t>
      </w:r>
    </w:p>
    <w:p w14:paraId="4E530CAD" w14:textId="77777777" w:rsidR="00495C31" w:rsidRPr="00495C31" w:rsidRDefault="00495C31" w:rsidP="00495C31">
      <w:pPr>
        <w:ind w:left="360"/>
        <w:rPr>
          <w:sz w:val="28"/>
          <w:szCs w:val="28"/>
        </w:rPr>
      </w:pPr>
    </w:p>
    <w:p w14:paraId="670F4A9B" w14:textId="77777777" w:rsidR="00495C31" w:rsidRPr="00667710" w:rsidRDefault="00495C31" w:rsidP="00495C31">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50AE15FE" w14:textId="77777777" w:rsidR="00495C31" w:rsidRDefault="00495C31" w:rsidP="00495C31">
      <w:pPr>
        <w:rPr>
          <w:b/>
          <w:sz w:val="28"/>
          <w:szCs w:val="28"/>
        </w:rPr>
      </w:pPr>
    </w:p>
    <w:p w14:paraId="418E8A83" w14:textId="77777777" w:rsidR="00495C31" w:rsidRDefault="00495C31" w:rsidP="00495C31">
      <w:pPr>
        <w:rPr>
          <w:b/>
          <w:sz w:val="28"/>
          <w:szCs w:val="28"/>
        </w:rPr>
      </w:pPr>
      <w:r>
        <w:rPr>
          <w:b/>
          <w:sz w:val="28"/>
          <w:szCs w:val="28"/>
        </w:rPr>
        <w:t>Noted Concerns</w:t>
      </w:r>
    </w:p>
    <w:p w14:paraId="1464AA3F" w14:textId="77777777" w:rsidR="00495C31" w:rsidRDefault="00495C31" w:rsidP="00495C31">
      <w:pPr>
        <w:rPr>
          <w:b/>
          <w:sz w:val="28"/>
          <w:szCs w:val="28"/>
        </w:rPr>
      </w:pPr>
    </w:p>
    <w:tbl>
      <w:tblPr>
        <w:tblStyle w:val="TableGrid"/>
        <w:tblW w:w="0" w:type="auto"/>
        <w:tblLook w:val="04A0" w:firstRow="1" w:lastRow="0" w:firstColumn="1" w:lastColumn="0" w:noHBand="0" w:noVBand="1"/>
      </w:tblPr>
      <w:tblGrid>
        <w:gridCol w:w="8635"/>
        <w:gridCol w:w="2970"/>
        <w:gridCol w:w="2785"/>
      </w:tblGrid>
      <w:tr w:rsidR="00495C31" w14:paraId="63FFF399" w14:textId="77777777" w:rsidTr="005439F2">
        <w:tc>
          <w:tcPr>
            <w:tcW w:w="8635" w:type="dxa"/>
            <w:shd w:val="clear" w:color="auto" w:fill="F7CAAC" w:themeFill="accent2" w:themeFillTint="66"/>
          </w:tcPr>
          <w:p w14:paraId="74E3E084" w14:textId="77777777" w:rsidR="00495C31" w:rsidRDefault="00495C31" w:rsidP="005439F2">
            <w:pPr>
              <w:rPr>
                <w:b/>
                <w:sz w:val="28"/>
                <w:szCs w:val="28"/>
              </w:rPr>
            </w:pPr>
            <w:r>
              <w:rPr>
                <w:b/>
                <w:sz w:val="28"/>
                <w:szCs w:val="28"/>
              </w:rPr>
              <w:t>Concern</w:t>
            </w:r>
          </w:p>
        </w:tc>
        <w:tc>
          <w:tcPr>
            <w:tcW w:w="2970" w:type="dxa"/>
            <w:shd w:val="clear" w:color="auto" w:fill="F7CAAC" w:themeFill="accent2" w:themeFillTint="66"/>
          </w:tcPr>
          <w:p w14:paraId="6529198B" w14:textId="77777777" w:rsidR="00495C31" w:rsidRDefault="00495C31" w:rsidP="005439F2">
            <w:pPr>
              <w:rPr>
                <w:b/>
                <w:sz w:val="28"/>
                <w:szCs w:val="28"/>
              </w:rPr>
            </w:pPr>
            <w:r>
              <w:rPr>
                <w:b/>
                <w:sz w:val="28"/>
                <w:szCs w:val="28"/>
              </w:rPr>
              <w:t>Corresponding PCRT Comment #</w:t>
            </w:r>
          </w:p>
        </w:tc>
        <w:tc>
          <w:tcPr>
            <w:tcW w:w="2785" w:type="dxa"/>
            <w:shd w:val="clear" w:color="auto" w:fill="F7CAAC" w:themeFill="accent2" w:themeFillTint="66"/>
          </w:tcPr>
          <w:p w14:paraId="74C5D16B" w14:textId="77777777" w:rsidR="00495C31" w:rsidRDefault="00495C31" w:rsidP="005439F2">
            <w:pPr>
              <w:rPr>
                <w:b/>
                <w:sz w:val="28"/>
                <w:szCs w:val="28"/>
              </w:rPr>
            </w:pPr>
            <w:r>
              <w:rPr>
                <w:b/>
                <w:sz w:val="28"/>
                <w:szCs w:val="28"/>
              </w:rPr>
              <w:t>Further Discussion Required?</w:t>
            </w:r>
          </w:p>
        </w:tc>
      </w:tr>
      <w:tr w:rsidR="00495C31" w14:paraId="75C52C34" w14:textId="77777777" w:rsidTr="005439F2">
        <w:tc>
          <w:tcPr>
            <w:tcW w:w="8635" w:type="dxa"/>
          </w:tcPr>
          <w:p w14:paraId="67CB5F36" w14:textId="32E4ABB4" w:rsidR="00495C31" w:rsidRDefault="00495C31" w:rsidP="005439F2">
            <w:pPr>
              <w:rPr>
                <w:sz w:val="28"/>
                <w:szCs w:val="28"/>
              </w:rPr>
            </w:pPr>
            <w:r w:rsidRPr="00495C31">
              <w:rPr>
                <w:sz w:val="28"/>
                <w:szCs w:val="28"/>
              </w:rPr>
              <w:t>The support is conditional to a record of processing activities that shall be provided by ICANN org and be exhaustive</w:t>
            </w:r>
          </w:p>
        </w:tc>
        <w:tc>
          <w:tcPr>
            <w:tcW w:w="2970" w:type="dxa"/>
          </w:tcPr>
          <w:p w14:paraId="12929B34" w14:textId="5FB792DD" w:rsidR="00495C31" w:rsidRDefault="00495C31" w:rsidP="005439F2">
            <w:pPr>
              <w:rPr>
                <w:sz w:val="28"/>
                <w:szCs w:val="28"/>
              </w:rPr>
            </w:pPr>
            <w:r>
              <w:rPr>
                <w:sz w:val="28"/>
                <w:szCs w:val="28"/>
              </w:rPr>
              <w:t>2 (</w:t>
            </w:r>
            <w:r w:rsidRPr="00495C31">
              <w:rPr>
                <w:sz w:val="28"/>
                <w:szCs w:val="28"/>
              </w:rPr>
              <w:t>Association of the Internet Industry</w:t>
            </w:r>
            <w:r>
              <w:rPr>
                <w:sz w:val="28"/>
                <w:szCs w:val="28"/>
              </w:rPr>
              <w:t>, ISPCP)</w:t>
            </w:r>
          </w:p>
        </w:tc>
        <w:tc>
          <w:tcPr>
            <w:tcW w:w="2785" w:type="dxa"/>
          </w:tcPr>
          <w:p w14:paraId="1D58E13A" w14:textId="77777777" w:rsidR="00495C31" w:rsidRPr="00362929" w:rsidRDefault="00495C31" w:rsidP="005439F2">
            <w:pPr>
              <w:rPr>
                <w:sz w:val="28"/>
                <w:szCs w:val="28"/>
              </w:rPr>
            </w:pPr>
            <w:r>
              <w:rPr>
                <w:sz w:val="28"/>
                <w:szCs w:val="28"/>
              </w:rPr>
              <w:t>Yes/No</w:t>
            </w:r>
          </w:p>
        </w:tc>
      </w:tr>
      <w:tr w:rsidR="00495C31" w14:paraId="73AC4E54" w14:textId="77777777" w:rsidTr="005439F2">
        <w:tc>
          <w:tcPr>
            <w:tcW w:w="8635" w:type="dxa"/>
          </w:tcPr>
          <w:p w14:paraId="78FF0CBB" w14:textId="6FAC7B77" w:rsidR="00495C31" w:rsidRPr="00495C31" w:rsidRDefault="00495C31" w:rsidP="005439F2">
            <w:pPr>
              <w:rPr>
                <w:sz w:val="28"/>
                <w:szCs w:val="28"/>
              </w:rPr>
            </w:pPr>
            <w:r>
              <w:rPr>
                <w:sz w:val="28"/>
                <w:szCs w:val="28"/>
              </w:rPr>
              <w:t>Su</w:t>
            </w:r>
            <w:r w:rsidRPr="00495C31">
              <w:rPr>
                <w:sz w:val="28"/>
                <w:szCs w:val="28"/>
              </w:rPr>
              <w:t>pports compliance having all the data it needs to efficiently carry out its vital function to ensure that contractual obligations are being met, and issues are resolved as quickly as possible.  This is particularly vital in the context of ICANN Compliance activities to support the combat of DNS abuse.</w:t>
            </w:r>
          </w:p>
        </w:tc>
        <w:tc>
          <w:tcPr>
            <w:tcW w:w="2970" w:type="dxa"/>
          </w:tcPr>
          <w:p w14:paraId="6B984CC7" w14:textId="1CF9C2CA" w:rsidR="00495C31" w:rsidRDefault="00495C31" w:rsidP="005439F2">
            <w:pPr>
              <w:rPr>
                <w:sz w:val="28"/>
                <w:szCs w:val="28"/>
              </w:rPr>
            </w:pPr>
            <w:r>
              <w:rPr>
                <w:sz w:val="28"/>
                <w:szCs w:val="28"/>
              </w:rPr>
              <w:t>3, INTA</w:t>
            </w:r>
          </w:p>
        </w:tc>
        <w:tc>
          <w:tcPr>
            <w:tcW w:w="2785" w:type="dxa"/>
          </w:tcPr>
          <w:p w14:paraId="4CC66F65" w14:textId="443E8E0F" w:rsidR="00495C31" w:rsidRDefault="00495C31" w:rsidP="005439F2">
            <w:pPr>
              <w:rPr>
                <w:sz w:val="28"/>
                <w:szCs w:val="28"/>
              </w:rPr>
            </w:pPr>
            <w:r>
              <w:rPr>
                <w:sz w:val="28"/>
                <w:szCs w:val="28"/>
              </w:rPr>
              <w:t>Yes/No</w:t>
            </w:r>
          </w:p>
        </w:tc>
      </w:tr>
      <w:tr w:rsidR="00495C31" w14:paraId="644E6CE6" w14:textId="77777777" w:rsidTr="005439F2">
        <w:tc>
          <w:tcPr>
            <w:tcW w:w="8635" w:type="dxa"/>
          </w:tcPr>
          <w:p w14:paraId="4B8052C2" w14:textId="4FD522C3" w:rsidR="00495C31" w:rsidRPr="00495C31" w:rsidRDefault="00495C31" w:rsidP="005439F2">
            <w:pPr>
              <w:rPr>
                <w:sz w:val="28"/>
                <w:szCs w:val="28"/>
              </w:rPr>
            </w:pPr>
            <w:r w:rsidRPr="00495C31">
              <w:rPr>
                <w:sz w:val="28"/>
                <w:szCs w:val="28"/>
              </w:rPr>
              <w:t xml:space="preserve">‘No’ only because the NCSG believes that requests by ICANN Compliance should be limited to those elements required to accommodate issues </w:t>
            </w:r>
            <w:r w:rsidRPr="00495C31">
              <w:rPr>
                <w:sz w:val="28"/>
                <w:szCs w:val="28"/>
              </w:rPr>
              <w:lastRenderedPageBreak/>
              <w:t>they will deal with at that time. In principle, this could mean that all data elements are required, but not all elements will be needed for other purposes. We wish to underline the principle that compliance requests should not be open-ended fishing expeditions.</w:t>
            </w:r>
            <w:r>
              <w:rPr>
                <w:sz w:val="28"/>
                <w:szCs w:val="28"/>
              </w:rPr>
              <w:t xml:space="preserve"> </w:t>
            </w:r>
            <w:proofErr w:type="gramStart"/>
            <w:r w:rsidRPr="00495C31">
              <w:rPr>
                <w:sz w:val="28"/>
                <w:szCs w:val="28"/>
              </w:rPr>
              <w:t>We</w:t>
            </w:r>
            <w:proofErr w:type="gramEnd"/>
            <w:r w:rsidRPr="00495C31">
              <w:rPr>
                <w:sz w:val="28"/>
                <w:szCs w:val="28"/>
              </w:rPr>
              <w:t xml:space="preserve"> note that ICANN Compliance rules should be more subject to review and understanding by the community, and that there are concerns (and reports) that complaints are being used, in part, as harassment and fishing expeditions against registrants. Accordingly, transfer of data elements even to</w:t>
            </w:r>
            <w:r>
              <w:rPr>
                <w:sz w:val="28"/>
                <w:szCs w:val="28"/>
              </w:rPr>
              <w:t xml:space="preserve"> </w:t>
            </w:r>
            <w:r w:rsidRPr="00495C31">
              <w:rPr>
                <w:sz w:val="28"/>
                <w:szCs w:val="28"/>
              </w:rPr>
              <w:t>ICANN Compliance should be subject to special evaluation and review -- not automatically done regardless of purposes, scope and scale.</w:t>
            </w:r>
          </w:p>
        </w:tc>
        <w:tc>
          <w:tcPr>
            <w:tcW w:w="2970" w:type="dxa"/>
          </w:tcPr>
          <w:p w14:paraId="3C686E92" w14:textId="77777777" w:rsidR="00495C31" w:rsidRDefault="00495C31" w:rsidP="005439F2">
            <w:pPr>
              <w:rPr>
                <w:sz w:val="28"/>
                <w:szCs w:val="28"/>
              </w:rPr>
            </w:pPr>
            <w:r>
              <w:rPr>
                <w:sz w:val="28"/>
                <w:szCs w:val="28"/>
              </w:rPr>
              <w:lastRenderedPageBreak/>
              <w:t xml:space="preserve">4, 5 </w:t>
            </w:r>
          </w:p>
          <w:p w14:paraId="14F3A7A2" w14:textId="005FA7B3" w:rsidR="00495C31" w:rsidRDefault="00495C31" w:rsidP="005439F2">
            <w:pPr>
              <w:rPr>
                <w:sz w:val="28"/>
                <w:szCs w:val="28"/>
              </w:rPr>
            </w:pPr>
            <w:r>
              <w:rPr>
                <w:sz w:val="28"/>
                <w:szCs w:val="28"/>
              </w:rPr>
              <w:lastRenderedPageBreak/>
              <w:t>NCSG, Internet Governance Project</w:t>
            </w:r>
          </w:p>
        </w:tc>
        <w:tc>
          <w:tcPr>
            <w:tcW w:w="2785" w:type="dxa"/>
          </w:tcPr>
          <w:p w14:paraId="6272AC72" w14:textId="44C848C6" w:rsidR="00495C31" w:rsidRDefault="00495C31" w:rsidP="005439F2">
            <w:pPr>
              <w:rPr>
                <w:sz w:val="28"/>
                <w:szCs w:val="28"/>
              </w:rPr>
            </w:pPr>
            <w:r>
              <w:rPr>
                <w:sz w:val="28"/>
                <w:szCs w:val="28"/>
              </w:rPr>
              <w:lastRenderedPageBreak/>
              <w:t>Yes/No</w:t>
            </w:r>
          </w:p>
        </w:tc>
      </w:tr>
      <w:tr w:rsidR="00495C31" w14:paraId="4450E51F" w14:textId="77777777" w:rsidTr="005439F2">
        <w:tc>
          <w:tcPr>
            <w:tcW w:w="8635" w:type="dxa"/>
          </w:tcPr>
          <w:p w14:paraId="43F387E2" w14:textId="0A8C7BE6" w:rsidR="00495C31" w:rsidRPr="00495C31" w:rsidRDefault="00495C31" w:rsidP="005439F2">
            <w:pPr>
              <w:rPr>
                <w:sz w:val="28"/>
                <w:szCs w:val="28"/>
              </w:rPr>
            </w:pPr>
            <w:r w:rsidRPr="00495C31">
              <w:rPr>
                <w:sz w:val="28"/>
                <w:szCs w:val="28"/>
              </w:rPr>
              <w:t xml:space="preserve">Personal contact details should not be passed to </w:t>
            </w:r>
            <w:r>
              <w:rPr>
                <w:sz w:val="28"/>
                <w:szCs w:val="28"/>
              </w:rPr>
              <w:t>ICANN</w:t>
            </w:r>
          </w:p>
        </w:tc>
        <w:tc>
          <w:tcPr>
            <w:tcW w:w="2970" w:type="dxa"/>
          </w:tcPr>
          <w:p w14:paraId="70B0BC1F" w14:textId="092881D9" w:rsidR="00495C31" w:rsidRDefault="00495C31" w:rsidP="005439F2">
            <w:pPr>
              <w:rPr>
                <w:sz w:val="28"/>
                <w:szCs w:val="28"/>
              </w:rPr>
            </w:pPr>
            <w:r>
              <w:rPr>
                <w:sz w:val="28"/>
                <w:szCs w:val="28"/>
              </w:rPr>
              <w:t>6, David Martel</w:t>
            </w:r>
          </w:p>
        </w:tc>
        <w:tc>
          <w:tcPr>
            <w:tcW w:w="2785" w:type="dxa"/>
          </w:tcPr>
          <w:p w14:paraId="472DD4FE" w14:textId="37F8A4B2" w:rsidR="00495C31" w:rsidRDefault="00495C31" w:rsidP="005439F2">
            <w:pPr>
              <w:rPr>
                <w:sz w:val="28"/>
                <w:szCs w:val="28"/>
              </w:rPr>
            </w:pPr>
            <w:r>
              <w:rPr>
                <w:sz w:val="28"/>
                <w:szCs w:val="28"/>
              </w:rPr>
              <w:t>Yes/No</w:t>
            </w:r>
          </w:p>
        </w:tc>
      </w:tr>
      <w:tr w:rsidR="00495C31" w14:paraId="78D67161" w14:textId="77777777" w:rsidTr="005439F2">
        <w:tc>
          <w:tcPr>
            <w:tcW w:w="8635" w:type="dxa"/>
          </w:tcPr>
          <w:p w14:paraId="64F24AF6" w14:textId="568C6A90" w:rsidR="00495C31" w:rsidRPr="00495C31" w:rsidRDefault="00495C31" w:rsidP="005439F2">
            <w:pPr>
              <w:rPr>
                <w:sz w:val="28"/>
                <w:szCs w:val="28"/>
              </w:rPr>
            </w:pPr>
            <w:r>
              <w:rPr>
                <w:sz w:val="28"/>
                <w:szCs w:val="28"/>
              </w:rPr>
              <w:t>Suggested wording modification for clarity</w:t>
            </w:r>
          </w:p>
        </w:tc>
        <w:tc>
          <w:tcPr>
            <w:tcW w:w="2970" w:type="dxa"/>
          </w:tcPr>
          <w:p w14:paraId="3E32BEF8" w14:textId="12507210" w:rsidR="00495C31" w:rsidRDefault="00495C31" w:rsidP="005439F2">
            <w:pPr>
              <w:rPr>
                <w:sz w:val="28"/>
                <w:szCs w:val="28"/>
              </w:rPr>
            </w:pPr>
            <w:r>
              <w:rPr>
                <w:sz w:val="28"/>
                <w:szCs w:val="28"/>
              </w:rPr>
              <w:t xml:space="preserve">8, </w:t>
            </w:r>
            <w:r w:rsidRPr="00495C31">
              <w:rPr>
                <w:sz w:val="28"/>
                <w:szCs w:val="28"/>
              </w:rPr>
              <w:t>Internet Society India Chenna</w:t>
            </w:r>
            <w:r>
              <w:rPr>
                <w:sz w:val="28"/>
                <w:szCs w:val="28"/>
              </w:rPr>
              <w:t>i</w:t>
            </w:r>
          </w:p>
        </w:tc>
        <w:tc>
          <w:tcPr>
            <w:tcW w:w="2785" w:type="dxa"/>
          </w:tcPr>
          <w:p w14:paraId="3BD516BF" w14:textId="39B5E64A" w:rsidR="00495C31" w:rsidRDefault="00495C31" w:rsidP="005439F2">
            <w:pPr>
              <w:rPr>
                <w:sz w:val="28"/>
                <w:szCs w:val="28"/>
              </w:rPr>
            </w:pPr>
            <w:r>
              <w:rPr>
                <w:sz w:val="28"/>
                <w:szCs w:val="28"/>
              </w:rPr>
              <w:t>Yes/No</w:t>
            </w:r>
          </w:p>
        </w:tc>
      </w:tr>
      <w:tr w:rsidR="00495C31" w14:paraId="7A8C36C6" w14:textId="77777777" w:rsidTr="005439F2">
        <w:tc>
          <w:tcPr>
            <w:tcW w:w="8635" w:type="dxa"/>
          </w:tcPr>
          <w:p w14:paraId="00A25C46" w14:textId="7A14C7F8" w:rsidR="00495C31" w:rsidRPr="00495C31" w:rsidRDefault="00495C31" w:rsidP="005439F2">
            <w:pPr>
              <w:rPr>
                <w:sz w:val="28"/>
                <w:szCs w:val="28"/>
              </w:rPr>
            </w:pPr>
            <w:r w:rsidRPr="00495C31">
              <w:rPr>
                <w:sz w:val="28"/>
                <w:szCs w:val="28"/>
              </w:rPr>
              <w:t>Ensure that as new fields are added (as Rec #4 fields are changed, due to public input), that these</w:t>
            </w:r>
            <w:r>
              <w:rPr>
                <w:sz w:val="28"/>
                <w:szCs w:val="28"/>
              </w:rPr>
              <w:t xml:space="preserve"> </w:t>
            </w:r>
            <w:r w:rsidRPr="00495C31">
              <w:rPr>
                <w:sz w:val="28"/>
                <w:szCs w:val="28"/>
              </w:rPr>
              <w:t>additional (sometimes option) fields are added into Rec #7.</w:t>
            </w:r>
          </w:p>
        </w:tc>
        <w:tc>
          <w:tcPr>
            <w:tcW w:w="2970" w:type="dxa"/>
          </w:tcPr>
          <w:p w14:paraId="6FBA8AFF" w14:textId="11EE3285" w:rsidR="00495C31" w:rsidRDefault="00495C31" w:rsidP="005439F2">
            <w:pPr>
              <w:rPr>
                <w:sz w:val="28"/>
                <w:szCs w:val="28"/>
              </w:rPr>
            </w:pPr>
            <w:r>
              <w:rPr>
                <w:sz w:val="28"/>
                <w:szCs w:val="28"/>
              </w:rPr>
              <w:t>9, George Kirikos</w:t>
            </w:r>
          </w:p>
        </w:tc>
        <w:tc>
          <w:tcPr>
            <w:tcW w:w="2785" w:type="dxa"/>
          </w:tcPr>
          <w:p w14:paraId="627340DD" w14:textId="529A4C78" w:rsidR="00495C31" w:rsidRDefault="00EB2C68" w:rsidP="005439F2">
            <w:pPr>
              <w:rPr>
                <w:sz w:val="28"/>
                <w:szCs w:val="28"/>
              </w:rPr>
            </w:pPr>
            <w:r>
              <w:rPr>
                <w:sz w:val="28"/>
                <w:szCs w:val="28"/>
              </w:rPr>
              <w:t>Yes/No</w:t>
            </w:r>
          </w:p>
        </w:tc>
      </w:tr>
      <w:tr w:rsidR="00EB2C68" w14:paraId="1BBD81FD" w14:textId="77777777" w:rsidTr="005439F2">
        <w:tc>
          <w:tcPr>
            <w:tcW w:w="8635" w:type="dxa"/>
          </w:tcPr>
          <w:p w14:paraId="59D5D8BB" w14:textId="77777777" w:rsidR="00EB2C68" w:rsidRDefault="00EB2C68" w:rsidP="005439F2">
            <w:pPr>
              <w:rPr>
                <w:sz w:val="28"/>
                <w:szCs w:val="28"/>
              </w:rPr>
            </w:pPr>
            <w:r w:rsidRPr="00EB2C68">
              <w:rPr>
                <w:sz w:val="28"/>
                <w:szCs w:val="28"/>
              </w:rPr>
              <w:t xml:space="preserve">Not all purposes proposed in Annex </w:t>
            </w:r>
            <w:proofErr w:type="spellStart"/>
            <w:r w:rsidRPr="00EB2C68">
              <w:rPr>
                <w:sz w:val="28"/>
                <w:szCs w:val="28"/>
              </w:rPr>
              <w:t>D are</w:t>
            </w:r>
            <w:proofErr w:type="spellEnd"/>
            <w:r w:rsidRPr="00EB2C68">
              <w:rPr>
                <w:sz w:val="28"/>
                <w:szCs w:val="28"/>
              </w:rPr>
              <w:t xml:space="preserve"> purposes for processing data and request for disclosure should be specific and proportionate to the issue being addressed.</w:t>
            </w:r>
          </w:p>
          <w:p w14:paraId="1B007E2A" w14:textId="77777777" w:rsidR="00EB2C68" w:rsidRDefault="00EB2C68" w:rsidP="005439F2">
            <w:pPr>
              <w:rPr>
                <w:sz w:val="28"/>
                <w:szCs w:val="28"/>
              </w:rPr>
            </w:pPr>
          </w:p>
          <w:p w14:paraId="50382F8F" w14:textId="6D43B7B3" w:rsidR="00EB2C68" w:rsidRPr="00495C31" w:rsidRDefault="00EB2C68" w:rsidP="005439F2">
            <w:pPr>
              <w:rPr>
                <w:sz w:val="28"/>
                <w:szCs w:val="28"/>
              </w:rPr>
            </w:pPr>
            <w:r>
              <w:rPr>
                <w:sz w:val="28"/>
                <w:szCs w:val="28"/>
              </w:rPr>
              <w:t>S</w:t>
            </w:r>
            <w:r w:rsidRPr="00EB2C68">
              <w:rPr>
                <w:sz w:val="28"/>
                <w:szCs w:val="28"/>
              </w:rPr>
              <w:t>upport the purpose, namely the ability of ICANN to enforce compliance of its agreements (RAA, RA) with Contracted Parties, where applicable.  However, this purpose is contingent on the resolution of ICANN’s status as a data controller or joint controller. Programs that monitor or audit registration data must also be clearly defined before they can be included as a component of this</w:t>
            </w:r>
            <w:r>
              <w:rPr>
                <w:sz w:val="28"/>
                <w:szCs w:val="28"/>
              </w:rPr>
              <w:t xml:space="preserve"> </w:t>
            </w:r>
            <w:r w:rsidRPr="00EB2C68">
              <w:rPr>
                <w:sz w:val="28"/>
                <w:szCs w:val="28"/>
              </w:rPr>
              <w:t>purpose</w:t>
            </w:r>
            <w:r>
              <w:rPr>
                <w:sz w:val="28"/>
                <w:szCs w:val="28"/>
              </w:rPr>
              <w:t>.</w:t>
            </w:r>
          </w:p>
        </w:tc>
        <w:tc>
          <w:tcPr>
            <w:tcW w:w="2970" w:type="dxa"/>
          </w:tcPr>
          <w:p w14:paraId="16854F7A" w14:textId="674B1F0A" w:rsidR="00EB2C68" w:rsidRDefault="00EB2C68" w:rsidP="005439F2">
            <w:pPr>
              <w:rPr>
                <w:sz w:val="28"/>
                <w:szCs w:val="28"/>
              </w:rPr>
            </w:pPr>
            <w:r>
              <w:rPr>
                <w:sz w:val="28"/>
                <w:szCs w:val="28"/>
              </w:rPr>
              <w:t>10, GoDaddy</w:t>
            </w:r>
          </w:p>
        </w:tc>
        <w:tc>
          <w:tcPr>
            <w:tcW w:w="2785" w:type="dxa"/>
          </w:tcPr>
          <w:p w14:paraId="1346BC96" w14:textId="65E17EE3" w:rsidR="00EB2C68" w:rsidRDefault="00EB2C68" w:rsidP="005439F2">
            <w:pPr>
              <w:rPr>
                <w:sz w:val="28"/>
                <w:szCs w:val="28"/>
              </w:rPr>
            </w:pPr>
            <w:r>
              <w:rPr>
                <w:sz w:val="28"/>
                <w:szCs w:val="28"/>
              </w:rPr>
              <w:t>Yes/No</w:t>
            </w:r>
          </w:p>
        </w:tc>
      </w:tr>
      <w:tr w:rsidR="00EB2C68" w14:paraId="1E3EB79E" w14:textId="77777777" w:rsidTr="005439F2">
        <w:tc>
          <w:tcPr>
            <w:tcW w:w="8635" w:type="dxa"/>
          </w:tcPr>
          <w:p w14:paraId="1B2C66B8" w14:textId="3FA2E521" w:rsidR="00EB2C68" w:rsidRDefault="00EB2C68" w:rsidP="005439F2">
            <w:pPr>
              <w:rPr>
                <w:sz w:val="28"/>
                <w:szCs w:val="28"/>
              </w:rPr>
            </w:pPr>
            <w:r w:rsidRPr="00EB2C68">
              <w:rPr>
                <w:sz w:val="28"/>
                <w:szCs w:val="28"/>
              </w:rPr>
              <w:t>Transfer of the following data elements is not necessary to achieve the Purposes identified above</w:t>
            </w:r>
            <w:r>
              <w:rPr>
                <w:sz w:val="28"/>
                <w:szCs w:val="28"/>
              </w:rPr>
              <w:t xml:space="preserve">: </w:t>
            </w:r>
            <w:r w:rsidRPr="00EB2C68">
              <w:rPr>
                <w:sz w:val="28"/>
                <w:szCs w:val="28"/>
              </w:rPr>
              <w:t>Registrant Street</w:t>
            </w:r>
            <w:r>
              <w:rPr>
                <w:sz w:val="28"/>
                <w:szCs w:val="28"/>
              </w:rPr>
              <w:t xml:space="preserve">, </w:t>
            </w:r>
            <w:r w:rsidRPr="00EB2C68">
              <w:rPr>
                <w:sz w:val="28"/>
                <w:szCs w:val="28"/>
              </w:rPr>
              <w:t>Registrant City</w:t>
            </w:r>
            <w:r>
              <w:rPr>
                <w:sz w:val="28"/>
                <w:szCs w:val="28"/>
              </w:rPr>
              <w:t xml:space="preserve">, </w:t>
            </w:r>
            <w:r w:rsidRPr="00EB2C68">
              <w:rPr>
                <w:sz w:val="28"/>
                <w:szCs w:val="28"/>
              </w:rPr>
              <w:t>Registrant State/Province</w:t>
            </w:r>
            <w:r>
              <w:rPr>
                <w:sz w:val="28"/>
                <w:szCs w:val="28"/>
              </w:rPr>
              <w:t xml:space="preserve">, </w:t>
            </w:r>
            <w:r w:rsidRPr="00EB2C68">
              <w:rPr>
                <w:sz w:val="28"/>
                <w:szCs w:val="28"/>
              </w:rPr>
              <w:t>Registrant Postal Code</w:t>
            </w:r>
            <w:r>
              <w:rPr>
                <w:sz w:val="28"/>
                <w:szCs w:val="28"/>
              </w:rPr>
              <w:t>,</w:t>
            </w:r>
            <w:r w:rsidRPr="00EB2C68">
              <w:rPr>
                <w:sz w:val="28"/>
                <w:szCs w:val="28"/>
              </w:rPr>
              <w:t xml:space="preserve"> Registrant phone / phone ext</w:t>
            </w:r>
            <w:r>
              <w:rPr>
                <w:sz w:val="28"/>
                <w:szCs w:val="28"/>
              </w:rPr>
              <w:t xml:space="preserve">, </w:t>
            </w:r>
            <w:r w:rsidRPr="00EB2C68">
              <w:rPr>
                <w:sz w:val="28"/>
                <w:szCs w:val="28"/>
              </w:rPr>
              <w:t>Registrant fax / fax ext</w:t>
            </w:r>
            <w:r>
              <w:rPr>
                <w:sz w:val="28"/>
                <w:szCs w:val="28"/>
              </w:rPr>
              <w:t xml:space="preserve">, </w:t>
            </w:r>
            <w:r w:rsidRPr="00EB2C68">
              <w:rPr>
                <w:sz w:val="28"/>
                <w:szCs w:val="28"/>
              </w:rPr>
              <w:t>Tech Name</w:t>
            </w:r>
            <w:r>
              <w:rPr>
                <w:sz w:val="28"/>
                <w:szCs w:val="28"/>
              </w:rPr>
              <w:t xml:space="preserve">, </w:t>
            </w:r>
            <w:r w:rsidRPr="00EB2C68">
              <w:rPr>
                <w:sz w:val="28"/>
                <w:szCs w:val="28"/>
              </w:rPr>
              <w:t>Tech Phone</w:t>
            </w:r>
            <w:r>
              <w:rPr>
                <w:sz w:val="28"/>
                <w:szCs w:val="28"/>
              </w:rPr>
              <w:t xml:space="preserve">, </w:t>
            </w:r>
            <w:r w:rsidRPr="00EB2C68">
              <w:rPr>
                <w:sz w:val="28"/>
                <w:szCs w:val="28"/>
              </w:rPr>
              <w:t>Tech Email</w:t>
            </w:r>
          </w:p>
          <w:p w14:paraId="747DC200" w14:textId="77777777" w:rsidR="00EB2C68" w:rsidRDefault="00EB2C68" w:rsidP="005439F2">
            <w:pPr>
              <w:rPr>
                <w:sz w:val="28"/>
                <w:szCs w:val="28"/>
              </w:rPr>
            </w:pPr>
            <w:r w:rsidRPr="00EB2C68">
              <w:rPr>
                <w:sz w:val="28"/>
                <w:szCs w:val="28"/>
              </w:rPr>
              <w:lastRenderedPageBreak/>
              <w:t>In addition, the remaining data elements (Registrant Name, Registrant Organization, Registrant Email, Registrant Country) should only be transferred to ICANN after ICANN has demonstrated a specific legitimate purpose to access those particular data elements.</w:t>
            </w:r>
          </w:p>
          <w:p w14:paraId="65F0BACF" w14:textId="77777777" w:rsidR="004C3372" w:rsidRDefault="004C3372" w:rsidP="005439F2">
            <w:pPr>
              <w:rPr>
                <w:sz w:val="28"/>
                <w:szCs w:val="28"/>
              </w:rPr>
            </w:pPr>
          </w:p>
          <w:p w14:paraId="4251AEB9" w14:textId="0929056B" w:rsidR="004C3372" w:rsidRPr="00495C31" w:rsidRDefault="004C3372" w:rsidP="005439F2">
            <w:pPr>
              <w:rPr>
                <w:sz w:val="28"/>
                <w:szCs w:val="28"/>
              </w:rPr>
            </w:pPr>
            <w:r w:rsidRPr="004C3372">
              <w:rPr>
                <w:sz w:val="28"/>
                <w:szCs w:val="28"/>
              </w:rPr>
              <w:t xml:space="preserve">If ICANN provides a Data Processing Agreement or some appropriate assurances re how they handle, store, process, and delete data, and the data are truly a minimal set, ICANN might be able to request certain minimal data elements which are needed for the purposes listed (see </w:t>
            </w:r>
            <w:proofErr w:type="spellStart"/>
            <w:r w:rsidRPr="004C3372">
              <w:rPr>
                <w:sz w:val="28"/>
                <w:szCs w:val="28"/>
              </w:rPr>
              <w:t>pg</w:t>
            </w:r>
            <w:proofErr w:type="spellEnd"/>
            <w:r w:rsidRPr="004C3372">
              <w:rPr>
                <w:sz w:val="28"/>
                <w:szCs w:val="28"/>
              </w:rPr>
              <w:t xml:space="preserve"> 115 of current clean copy). At this time, however we have no assurance that ICANN will require a truly minimal set; hopefully this will be determined within the UAM work</w:t>
            </w:r>
          </w:p>
        </w:tc>
        <w:tc>
          <w:tcPr>
            <w:tcW w:w="2970" w:type="dxa"/>
          </w:tcPr>
          <w:p w14:paraId="52A8D688" w14:textId="398FBCE4" w:rsidR="00EB2C68" w:rsidRDefault="00EB2C68" w:rsidP="005439F2">
            <w:pPr>
              <w:rPr>
                <w:sz w:val="28"/>
                <w:szCs w:val="28"/>
              </w:rPr>
            </w:pPr>
            <w:r>
              <w:rPr>
                <w:sz w:val="28"/>
                <w:szCs w:val="28"/>
              </w:rPr>
              <w:lastRenderedPageBreak/>
              <w:t xml:space="preserve">11, </w:t>
            </w:r>
            <w:r w:rsidR="004C3372">
              <w:rPr>
                <w:sz w:val="28"/>
                <w:szCs w:val="28"/>
              </w:rPr>
              <w:t xml:space="preserve">27 </w:t>
            </w:r>
            <w:r>
              <w:rPr>
                <w:sz w:val="28"/>
                <w:szCs w:val="28"/>
              </w:rPr>
              <w:t>Tucows</w:t>
            </w:r>
          </w:p>
        </w:tc>
        <w:tc>
          <w:tcPr>
            <w:tcW w:w="2785" w:type="dxa"/>
          </w:tcPr>
          <w:p w14:paraId="323B0BC1" w14:textId="150BDB14" w:rsidR="00EB2C68" w:rsidRDefault="00EB2C68" w:rsidP="005439F2">
            <w:pPr>
              <w:rPr>
                <w:sz w:val="28"/>
                <w:szCs w:val="28"/>
              </w:rPr>
            </w:pPr>
            <w:r>
              <w:rPr>
                <w:sz w:val="28"/>
                <w:szCs w:val="28"/>
              </w:rPr>
              <w:t>Yes/No</w:t>
            </w:r>
          </w:p>
        </w:tc>
      </w:tr>
      <w:tr w:rsidR="00EB2C68" w14:paraId="05D94F5B" w14:textId="77777777" w:rsidTr="005439F2">
        <w:tc>
          <w:tcPr>
            <w:tcW w:w="8635" w:type="dxa"/>
          </w:tcPr>
          <w:p w14:paraId="73DBEC3D" w14:textId="77777777" w:rsidR="00EB2C68" w:rsidRDefault="00EB2C68" w:rsidP="005439F2">
            <w:pPr>
              <w:rPr>
                <w:sz w:val="28"/>
                <w:szCs w:val="28"/>
              </w:rPr>
            </w:pPr>
            <w:r w:rsidRPr="00EB2C68">
              <w:rPr>
                <w:sz w:val="28"/>
                <w:szCs w:val="28"/>
              </w:rPr>
              <w:t xml:space="preserve">The EPDP Team did not specifically discuss and analyze each of the individual data elements identified in Preliminary Recommendation 7. It must do </w:t>
            </w:r>
            <w:r w:rsidRPr="00EB2C68">
              <w:rPr>
                <w:sz w:val="28"/>
                <w:szCs w:val="28"/>
              </w:rPr>
              <w:t>so and</w:t>
            </w:r>
            <w:r w:rsidRPr="00EB2C68">
              <w:rPr>
                <w:sz w:val="28"/>
                <w:szCs w:val="28"/>
              </w:rPr>
              <w:t xml:space="preserve"> revise the recommendation as appropriate. The RySG is willing and available to contribute to this analysis as the EPDP Team needs.</w:t>
            </w:r>
          </w:p>
          <w:p w14:paraId="0AA1EC1E" w14:textId="183AB275" w:rsidR="00EB2C68" w:rsidRDefault="00EB2C68" w:rsidP="005439F2">
            <w:pPr>
              <w:rPr>
                <w:sz w:val="28"/>
                <w:szCs w:val="28"/>
              </w:rPr>
            </w:pPr>
            <w:r w:rsidRPr="00EB2C68">
              <w:rPr>
                <w:sz w:val="28"/>
                <w:szCs w:val="28"/>
              </w:rPr>
              <w:t>In conducting this analysis, the EPDP Team should bear in mind that no additional data elements</w:t>
            </w:r>
            <w:r>
              <w:rPr>
                <w:sz w:val="28"/>
                <w:szCs w:val="28"/>
              </w:rPr>
              <w:t xml:space="preserve"> </w:t>
            </w:r>
            <w:r w:rsidRPr="00EB2C68">
              <w:rPr>
                <w:sz w:val="28"/>
                <w:szCs w:val="28"/>
              </w:rPr>
              <w:t>should be required to be collected by the registrar or transferred from the registrar to the registry solely</w:t>
            </w:r>
            <w:r>
              <w:rPr>
                <w:sz w:val="28"/>
                <w:szCs w:val="28"/>
              </w:rPr>
              <w:t xml:space="preserve"> </w:t>
            </w:r>
            <w:r w:rsidRPr="00EB2C68">
              <w:rPr>
                <w:sz w:val="28"/>
                <w:szCs w:val="28"/>
              </w:rPr>
              <w:t>to achieve this purpose. Rather, the data elements required to be transferred to the data escrow agents should be derived ONLY from the set of data elements required to be collected by the registrar and</w:t>
            </w:r>
            <w:r>
              <w:rPr>
                <w:sz w:val="28"/>
                <w:szCs w:val="28"/>
              </w:rPr>
              <w:t xml:space="preserve"> </w:t>
            </w:r>
            <w:r w:rsidRPr="00EB2C68">
              <w:rPr>
                <w:sz w:val="28"/>
                <w:szCs w:val="28"/>
              </w:rPr>
              <w:t>transferred from the registrar to the registry in fulfillment of Purposes 1, 3, 6 or 7.</w:t>
            </w:r>
            <w:r>
              <w:rPr>
                <w:sz w:val="28"/>
                <w:szCs w:val="28"/>
              </w:rPr>
              <w:t xml:space="preserve"> </w:t>
            </w:r>
          </w:p>
          <w:p w14:paraId="6F7B865E" w14:textId="3EC44543" w:rsidR="00EB2C68" w:rsidRPr="00495C31" w:rsidRDefault="00EB2C68" w:rsidP="005439F2">
            <w:pPr>
              <w:rPr>
                <w:sz w:val="28"/>
                <w:szCs w:val="28"/>
              </w:rPr>
            </w:pPr>
            <w:r w:rsidRPr="00EB2C68">
              <w:rPr>
                <w:sz w:val="28"/>
                <w:szCs w:val="28"/>
              </w:rPr>
              <w:t>Further, in the Final Report, the recommendation should not reference the workbook but should be worded as a standalone recommendation that describes what data elements Contracted Parties are required to transfer to the data escrow providers.</w:t>
            </w:r>
          </w:p>
        </w:tc>
        <w:tc>
          <w:tcPr>
            <w:tcW w:w="2970" w:type="dxa"/>
          </w:tcPr>
          <w:p w14:paraId="70DEB55D" w14:textId="44F39EAF" w:rsidR="00EB2C68" w:rsidRDefault="00EB2C68" w:rsidP="005439F2">
            <w:pPr>
              <w:rPr>
                <w:sz w:val="28"/>
                <w:szCs w:val="28"/>
              </w:rPr>
            </w:pPr>
            <w:r>
              <w:rPr>
                <w:sz w:val="28"/>
                <w:szCs w:val="28"/>
              </w:rPr>
              <w:t>12, RySG</w:t>
            </w:r>
          </w:p>
        </w:tc>
        <w:tc>
          <w:tcPr>
            <w:tcW w:w="2785" w:type="dxa"/>
          </w:tcPr>
          <w:p w14:paraId="2AE09C4F" w14:textId="2CAA3186" w:rsidR="00EB2C68" w:rsidRDefault="00EB2C68" w:rsidP="005439F2">
            <w:pPr>
              <w:rPr>
                <w:sz w:val="28"/>
                <w:szCs w:val="28"/>
              </w:rPr>
            </w:pPr>
            <w:r>
              <w:rPr>
                <w:sz w:val="28"/>
                <w:szCs w:val="28"/>
              </w:rPr>
              <w:t>Yes/No</w:t>
            </w:r>
          </w:p>
        </w:tc>
      </w:tr>
      <w:tr w:rsidR="00EB2C68" w14:paraId="6843B28D" w14:textId="77777777" w:rsidTr="005439F2">
        <w:tc>
          <w:tcPr>
            <w:tcW w:w="8635" w:type="dxa"/>
          </w:tcPr>
          <w:p w14:paraId="35F0B0EC" w14:textId="70BDB29D" w:rsidR="00EB2C68" w:rsidRDefault="00EB2C68" w:rsidP="005439F2">
            <w:pPr>
              <w:rPr>
                <w:sz w:val="28"/>
                <w:szCs w:val="28"/>
              </w:rPr>
            </w:pPr>
            <w:r w:rsidRPr="00EB2C68">
              <w:rPr>
                <w:sz w:val="28"/>
                <w:szCs w:val="28"/>
              </w:rPr>
              <w:t xml:space="preserve">The BC agrees that all the data elements listed in Workbook 5 should be transferred from the registrar/registry to ICANN. We further recommend that all registrant data collected by registrar/registry be transferred to </w:t>
            </w:r>
            <w:r w:rsidRPr="00EB2C68">
              <w:rPr>
                <w:sz w:val="28"/>
                <w:szCs w:val="28"/>
              </w:rPr>
              <w:lastRenderedPageBreak/>
              <w:t>ICANN</w:t>
            </w:r>
            <w:r>
              <w:rPr>
                <w:sz w:val="28"/>
                <w:szCs w:val="28"/>
              </w:rPr>
              <w:t xml:space="preserve">. </w:t>
            </w:r>
            <w:r w:rsidRPr="00EB2C68">
              <w:rPr>
                <w:sz w:val="28"/>
                <w:szCs w:val="28"/>
              </w:rPr>
              <w:t xml:space="preserve">If a registrar/registry collects registrant </w:t>
            </w:r>
            <w:r w:rsidRPr="00EB2C68">
              <w:rPr>
                <w:sz w:val="28"/>
                <w:szCs w:val="28"/>
              </w:rPr>
              <w:t>data,</w:t>
            </w:r>
            <w:r w:rsidRPr="00EB2C68">
              <w:rPr>
                <w:sz w:val="28"/>
                <w:szCs w:val="28"/>
              </w:rPr>
              <w:t xml:space="preserve"> it should be transferred to ICANN to properly enable Compliance and other critical functions.</w:t>
            </w:r>
          </w:p>
          <w:p w14:paraId="387A37C2" w14:textId="43B9D7BB" w:rsidR="004C3372" w:rsidRDefault="004C3372" w:rsidP="005439F2">
            <w:pPr>
              <w:rPr>
                <w:sz w:val="28"/>
                <w:szCs w:val="28"/>
              </w:rPr>
            </w:pPr>
          </w:p>
          <w:p w14:paraId="4B95FAFF" w14:textId="4C37E923" w:rsidR="004C3372" w:rsidRDefault="004C3372" w:rsidP="005439F2">
            <w:pPr>
              <w:rPr>
                <w:sz w:val="28"/>
                <w:szCs w:val="28"/>
              </w:rPr>
            </w:pPr>
            <w:r>
              <w:rPr>
                <w:sz w:val="28"/>
                <w:szCs w:val="28"/>
              </w:rPr>
              <w:t>[</w:t>
            </w:r>
            <w:r w:rsidRPr="004C3372">
              <w:rPr>
                <w:sz w:val="28"/>
                <w:szCs w:val="28"/>
              </w:rPr>
              <w:t>In addition, ICANN should receive all information that it deems reasonably necessary for compliance, not just the “minimum”, to ensure that ICANN can satisfy this important function.</w:t>
            </w:r>
            <w:r>
              <w:rPr>
                <w:sz w:val="28"/>
                <w:szCs w:val="28"/>
              </w:rPr>
              <w:t>]</w:t>
            </w:r>
          </w:p>
          <w:p w14:paraId="00421E00" w14:textId="77777777" w:rsidR="00EB2C68" w:rsidRDefault="00EB2C68" w:rsidP="005439F2">
            <w:pPr>
              <w:rPr>
                <w:sz w:val="28"/>
                <w:szCs w:val="28"/>
              </w:rPr>
            </w:pPr>
          </w:p>
          <w:p w14:paraId="7C0362A7" w14:textId="77777777" w:rsidR="00EB2C68" w:rsidRDefault="00EB2C68" w:rsidP="005439F2">
            <w:pPr>
              <w:rPr>
                <w:sz w:val="28"/>
                <w:szCs w:val="28"/>
              </w:rPr>
            </w:pPr>
            <w:r>
              <w:rPr>
                <w:sz w:val="28"/>
                <w:szCs w:val="28"/>
              </w:rPr>
              <w:t>[</w:t>
            </w:r>
            <w:r w:rsidRPr="00EB2C68">
              <w:rPr>
                <w:sz w:val="28"/>
                <w:szCs w:val="28"/>
              </w:rPr>
              <w:t>We notice that the registration data set frequently contains many inaccuracies. Although even the inaccurate data is of use in cybersecurity investigations, it is less useful for dispute resolution, and if the accuracy of the data can be improved by the ICANN compliance processes and policies, we support them</w:t>
            </w:r>
            <w:r>
              <w:rPr>
                <w:sz w:val="28"/>
                <w:szCs w:val="28"/>
              </w:rPr>
              <w:t>.]</w:t>
            </w:r>
          </w:p>
          <w:p w14:paraId="16F03344" w14:textId="77777777" w:rsidR="004C3372" w:rsidRDefault="004C3372" w:rsidP="005439F2">
            <w:pPr>
              <w:rPr>
                <w:sz w:val="28"/>
                <w:szCs w:val="28"/>
              </w:rPr>
            </w:pPr>
          </w:p>
          <w:p w14:paraId="12D41DA2" w14:textId="668824D0" w:rsidR="004C3372" w:rsidRPr="00EB2C68" w:rsidRDefault="004C3372" w:rsidP="005439F2">
            <w:pPr>
              <w:rPr>
                <w:sz w:val="28"/>
                <w:szCs w:val="28"/>
              </w:rPr>
            </w:pPr>
            <w:r>
              <w:rPr>
                <w:sz w:val="28"/>
                <w:szCs w:val="28"/>
              </w:rPr>
              <w:t>[</w:t>
            </w:r>
            <w:r w:rsidRPr="004C3372">
              <w:rPr>
                <w:sz w:val="28"/>
                <w:szCs w:val="28"/>
              </w:rPr>
              <w:t>We also note that our members have submitted several contractual compliance complaints to ICANN about registrars’ failure to provide registrant information to them in accordance with the requirements of the temporary specification. Those complaints have been pending for over 5 months with no response from ICANN.  This inability of ICANN to investigate and respond to contractual compliance complaints is very troubling and points to a potential</w:t>
            </w:r>
            <w:r>
              <w:rPr>
                <w:sz w:val="28"/>
                <w:szCs w:val="28"/>
              </w:rPr>
              <w:t xml:space="preserve"> </w:t>
            </w:r>
            <w:r w:rsidRPr="004C3372">
              <w:rPr>
                <w:sz w:val="28"/>
                <w:szCs w:val="28"/>
              </w:rPr>
              <w:t>breakdown in the ICANN model.</w:t>
            </w:r>
            <w:r>
              <w:rPr>
                <w:sz w:val="28"/>
                <w:szCs w:val="28"/>
              </w:rPr>
              <w:t>]</w:t>
            </w:r>
          </w:p>
        </w:tc>
        <w:tc>
          <w:tcPr>
            <w:tcW w:w="2970" w:type="dxa"/>
          </w:tcPr>
          <w:p w14:paraId="6F013AB5" w14:textId="56FB1C52" w:rsidR="00EB2C68" w:rsidRDefault="00EB2C68" w:rsidP="005439F2">
            <w:pPr>
              <w:rPr>
                <w:sz w:val="28"/>
                <w:szCs w:val="28"/>
              </w:rPr>
            </w:pPr>
            <w:r>
              <w:rPr>
                <w:sz w:val="28"/>
                <w:szCs w:val="28"/>
              </w:rPr>
              <w:lastRenderedPageBreak/>
              <w:t>14, 15</w:t>
            </w:r>
            <w:r w:rsidR="004C3372">
              <w:rPr>
                <w:sz w:val="28"/>
                <w:szCs w:val="28"/>
              </w:rPr>
              <w:t>, 28, 29</w:t>
            </w:r>
          </w:p>
          <w:p w14:paraId="6E819B9A" w14:textId="7F4DAF63" w:rsidR="00EB2C68" w:rsidRDefault="00EB2C68" w:rsidP="005439F2">
            <w:pPr>
              <w:rPr>
                <w:sz w:val="28"/>
                <w:szCs w:val="28"/>
              </w:rPr>
            </w:pPr>
            <w:r>
              <w:rPr>
                <w:sz w:val="28"/>
                <w:szCs w:val="28"/>
              </w:rPr>
              <w:t>BC, Microsoft, MarkMonitor</w:t>
            </w:r>
            <w:r w:rsidR="004C3372">
              <w:rPr>
                <w:sz w:val="28"/>
                <w:szCs w:val="28"/>
              </w:rPr>
              <w:t xml:space="preserve">, Coalition </w:t>
            </w:r>
            <w:r w:rsidR="004C3372">
              <w:rPr>
                <w:sz w:val="28"/>
                <w:szCs w:val="28"/>
              </w:rPr>
              <w:lastRenderedPageBreak/>
              <w:t>for Online Accountability, IPC</w:t>
            </w:r>
          </w:p>
        </w:tc>
        <w:tc>
          <w:tcPr>
            <w:tcW w:w="2785" w:type="dxa"/>
          </w:tcPr>
          <w:p w14:paraId="7D3B5548" w14:textId="7723C808" w:rsidR="00EB2C68" w:rsidRDefault="00EB2C68" w:rsidP="005439F2">
            <w:pPr>
              <w:rPr>
                <w:sz w:val="28"/>
                <w:szCs w:val="28"/>
              </w:rPr>
            </w:pPr>
            <w:r>
              <w:rPr>
                <w:sz w:val="28"/>
                <w:szCs w:val="28"/>
              </w:rPr>
              <w:lastRenderedPageBreak/>
              <w:t>Yes/No</w:t>
            </w:r>
          </w:p>
        </w:tc>
      </w:tr>
      <w:tr w:rsidR="00EB2C68" w14:paraId="545438B9" w14:textId="77777777" w:rsidTr="005439F2">
        <w:tc>
          <w:tcPr>
            <w:tcW w:w="8635" w:type="dxa"/>
          </w:tcPr>
          <w:p w14:paraId="32A24C6F" w14:textId="3AFAD881" w:rsidR="00EB2C68" w:rsidRPr="00EB2C68" w:rsidRDefault="00EB2C68" w:rsidP="005439F2">
            <w:pPr>
              <w:rPr>
                <w:sz w:val="28"/>
                <w:szCs w:val="28"/>
              </w:rPr>
            </w:pPr>
            <w:r>
              <w:rPr>
                <w:sz w:val="28"/>
                <w:szCs w:val="28"/>
              </w:rPr>
              <w:t>O</w:t>
            </w:r>
            <w:r w:rsidRPr="00EB2C68">
              <w:rPr>
                <w:sz w:val="28"/>
                <w:szCs w:val="28"/>
              </w:rPr>
              <w:t>nly those data elements needed on a case-by-case to a valid and non-frivolous and non-harassing</w:t>
            </w:r>
            <w:r>
              <w:rPr>
                <w:sz w:val="28"/>
                <w:szCs w:val="28"/>
              </w:rPr>
              <w:t xml:space="preserve"> </w:t>
            </w:r>
            <w:r w:rsidRPr="00EB2C68">
              <w:rPr>
                <w:sz w:val="28"/>
                <w:szCs w:val="28"/>
              </w:rPr>
              <w:t>complaint should be transferred from the registrar/y to ICANN Compliance.</w:t>
            </w:r>
            <w:r>
              <w:rPr>
                <w:sz w:val="28"/>
                <w:szCs w:val="28"/>
              </w:rPr>
              <w:t xml:space="preserve"> </w:t>
            </w:r>
            <w:r w:rsidRPr="00EB2C68">
              <w:rPr>
                <w:sz w:val="28"/>
                <w:szCs w:val="28"/>
              </w:rPr>
              <w:t>Requests by ICANN compliance must be limited to those elements required to accommodate satisfy issues at that time. In principle, this could mean that all data elements may be needed for one complaint, but not for another. We wish to underline the principle that compliance requests must not be open-ended fishing expeditions</w:t>
            </w:r>
          </w:p>
        </w:tc>
        <w:tc>
          <w:tcPr>
            <w:tcW w:w="2970" w:type="dxa"/>
          </w:tcPr>
          <w:p w14:paraId="175B1791" w14:textId="2DDC4FA1" w:rsidR="00EB2C68" w:rsidRDefault="00EB2C68" w:rsidP="005439F2">
            <w:pPr>
              <w:rPr>
                <w:sz w:val="28"/>
                <w:szCs w:val="28"/>
              </w:rPr>
            </w:pPr>
            <w:r>
              <w:rPr>
                <w:sz w:val="28"/>
                <w:szCs w:val="28"/>
              </w:rPr>
              <w:t xml:space="preserve">17, 18, </w:t>
            </w:r>
            <w:proofErr w:type="spellStart"/>
            <w:r>
              <w:rPr>
                <w:sz w:val="28"/>
                <w:szCs w:val="28"/>
              </w:rPr>
              <w:t>iThreat</w:t>
            </w:r>
            <w:proofErr w:type="spellEnd"/>
            <w:r>
              <w:rPr>
                <w:sz w:val="28"/>
                <w:szCs w:val="28"/>
              </w:rPr>
              <w:t xml:space="preserve"> Cyber Group, Domain Name Rights Coalition</w:t>
            </w:r>
          </w:p>
        </w:tc>
        <w:tc>
          <w:tcPr>
            <w:tcW w:w="2785" w:type="dxa"/>
          </w:tcPr>
          <w:p w14:paraId="1CA3D5F7" w14:textId="0CE02D7A" w:rsidR="00EB2C68" w:rsidRDefault="00EB2C68" w:rsidP="005439F2">
            <w:pPr>
              <w:rPr>
                <w:sz w:val="28"/>
                <w:szCs w:val="28"/>
              </w:rPr>
            </w:pPr>
            <w:r>
              <w:rPr>
                <w:sz w:val="28"/>
                <w:szCs w:val="28"/>
              </w:rPr>
              <w:t>Yes/No</w:t>
            </w:r>
          </w:p>
        </w:tc>
      </w:tr>
      <w:tr w:rsidR="00EB2C68" w14:paraId="2FCD1FC4" w14:textId="77777777" w:rsidTr="005439F2">
        <w:tc>
          <w:tcPr>
            <w:tcW w:w="8635" w:type="dxa"/>
          </w:tcPr>
          <w:p w14:paraId="4A9297DC" w14:textId="2FCEADA1" w:rsidR="00EB2C68" w:rsidRDefault="004C3372" w:rsidP="005439F2">
            <w:pPr>
              <w:rPr>
                <w:sz w:val="28"/>
                <w:szCs w:val="28"/>
              </w:rPr>
            </w:pPr>
            <w:r w:rsidRPr="004C3372">
              <w:rPr>
                <w:sz w:val="28"/>
                <w:szCs w:val="28"/>
              </w:rPr>
              <w:t>None of the data elements should be transferred from the registrar to ICANN.</w:t>
            </w:r>
            <w:r>
              <w:rPr>
                <w:sz w:val="28"/>
                <w:szCs w:val="28"/>
              </w:rPr>
              <w:t xml:space="preserve"> </w:t>
            </w:r>
            <w:r w:rsidR="00EB2C68" w:rsidRPr="00EB2C68">
              <w:rPr>
                <w:sz w:val="28"/>
                <w:szCs w:val="28"/>
              </w:rPr>
              <w:t xml:space="preserve">The registrar could just give ICANN access to the data when lawful </w:t>
            </w:r>
            <w:r w:rsidR="00EB2C68" w:rsidRPr="00EB2C68">
              <w:rPr>
                <w:sz w:val="28"/>
                <w:szCs w:val="28"/>
              </w:rPr>
              <w:lastRenderedPageBreak/>
              <w:t>and appropriate. Of all the parties mentioned (registrars, registries, ICANN), I trust my registrar the most to responsibly keep and process my registrant data, the monopoly registry operator less so, and least of all ICANN</w:t>
            </w:r>
            <w:r>
              <w:rPr>
                <w:sz w:val="28"/>
                <w:szCs w:val="28"/>
              </w:rPr>
              <w:t>.</w:t>
            </w:r>
          </w:p>
        </w:tc>
        <w:tc>
          <w:tcPr>
            <w:tcW w:w="2970" w:type="dxa"/>
          </w:tcPr>
          <w:p w14:paraId="74D8BE24" w14:textId="2CF938B6" w:rsidR="00EB2C68" w:rsidRDefault="004C3372" w:rsidP="005439F2">
            <w:pPr>
              <w:rPr>
                <w:sz w:val="28"/>
                <w:szCs w:val="28"/>
              </w:rPr>
            </w:pPr>
            <w:r>
              <w:rPr>
                <w:sz w:val="28"/>
                <w:szCs w:val="28"/>
              </w:rPr>
              <w:lastRenderedPageBreak/>
              <w:t>21, John Poole</w:t>
            </w:r>
          </w:p>
        </w:tc>
        <w:tc>
          <w:tcPr>
            <w:tcW w:w="2785" w:type="dxa"/>
          </w:tcPr>
          <w:p w14:paraId="3A036882" w14:textId="54473309" w:rsidR="00EB2C68" w:rsidRDefault="004C3372" w:rsidP="005439F2">
            <w:pPr>
              <w:rPr>
                <w:sz w:val="28"/>
                <w:szCs w:val="28"/>
              </w:rPr>
            </w:pPr>
            <w:r>
              <w:rPr>
                <w:sz w:val="28"/>
                <w:szCs w:val="28"/>
              </w:rPr>
              <w:t>Yes/No</w:t>
            </w:r>
          </w:p>
        </w:tc>
      </w:tr>
      <w:tr w:rsidR="00EB2C68" w14:paraId="6810F78C" w14:textId="77777777" w:rsidTr="005439F2">
        <w:tc>
          <w:tcPr>
            <w:tcW w:w="8635" w:type="dxa"/>
          </w:tcPr>
          <w:p w14:paraId="2EAEC546" w14:textId="77777777" w:rsidR="00EB2C68" w:rsidRDefault="004C3372" w:rsidP="005439F2">
            <w:pPr>
              <w:rPr>
                <w:sz w:val="28"/>
                <w:szCs w:val="28"/>
              </w:rPr>
            </w:pPr>
            <w:r w:rsidRPr="004C3372">
              <w:rPr>
                <w:sz w:val="28"/>
                <w:szCs w:val="28"/>
              </w:rPr>
              <w:t>Any request for data from ICANN to a registrar should be narrow and specific. Each request should</w:t>
            </w:r>
            <w:r>
              <w:rPr>
                <w:sz w:val="28"/>
                <w:szCs w:val="28"/>
              </w:rPr>
              <w:t xml:space="preserve"> </w:t>
            </w:r>
            <w:r w:rsidRPr="004C3372">
              <w:rPr>
                <w:sz w:val="28"/>
                <w:szCs w:val="28"/>
              </w:rPr>
              <w:t xml:space="preserve">include a clear rationale for the requested data as well as clearly demarcated details on how ICANN handles that data. At present ICANN does not have DPAs with registrars and is also claiming that it somehow is exempt from meeting the thresholds that companies we deal with for far </w:t>
            </w:r>
            <w:proofErr w:type="gramStart"/>
            <w:r w:rsidRPr="004C3372">
              <w:rPr>
                <w:sz w:val="28"/>
                <w:szCs w:val="28"/>
              </w:rPr>
              <w:t>less</w:t>
            </w:r>
            <w:proofErr w:type="gramEnd"/>
            <w:r w:rsidRPr="004C3372">
              <w:rPr>
                <w:sz w:val="28"/>
                <w:szCs w:val="28"/>
              </w:rPr>
              <w:t xml:space="preserve"> sensitive data</w:t>
            </w:r>
            <w:r>
              <w:rPr>
                <w:sz w:val="28"/>
                <w:szCs w:val="28"/>
              </w:rPr>
              <w:t xml:space="preserve"> </w:t>
            </w:r>
            <w:r w:rsidRPr="004C3372">
              <w:rPr>
                <w:sz w:val="28"/>
                <w:szCs w:val="28"/>
              </w:rPr>
              <w:t>have to meet</w:t>
            </w:r>
            <w:r>
              <w:rPr>
                <w:sz w:val="28"/>
                <w:szCs w:val="28"/>
              </w:rPr>
              <w:t>.</w:t>
            </w:r>
          </w:p>
          <w:p w14:paraId="126A9926" w14:textId="77777777" w:rsidR="004C3372" w:rsidRDefault="004C3372" w:rsidP="005439F2">
            <w:pPr>
              <w:rPr>
                <w:sz w:val="28"/>
                <w:szCs w:val="28"/>
              </w:rPr>
            </w:pPr>
          </w:p>
          <w:p w14:paraId="3D0C7B9C" w14:textId="741E0587" w:rsidR="004C3372" w:rsidRPr="004C3372" w:rsidRDefault="004C3372" w:rsidP="004C3372">
            <w:pPr>
              <w:shd w:val="clear" w:color="auto" w:fill="FFFFFF"/>
              <w:rPr>
                <w:sz w:val="28"/>
                <w:szCs w:val="28"/>
              </w:rPr>
            </w:pPr>
            <w:r>
              <w:rPr>
                <w:sz w:val="28"/>
                <w:szCs w:val="28"/>
              </w:rPr>
              <w:t>[</w:t>
            </w:r>
            <w:r w:rsidRPr="004C3372">
              <w:rPr>
                <w:sz w:val="28"/>
                <w:szCs w:val="28"/>
              </w:rPr>
              <w:t xml:space="preserve">While ICANN compliance may require </w:t>
            </w:r>
            <w:proofErr w:type="gramStart"/>
            <w:r w:rsidRPr="004C3372">
              <w:rPr>
                <w:sz w:val="28"/>
                <w:szCs w:val="28"/>
              </w:rPr>
              <w:t>to check</w:t>
            </w:r>
            <w:proofErr w:type="gramEnd"/>
            <w:r w:rsidRPr="004C3372">
              <w:rPr>
                <w:sz w:val="28"/>
                <w:szCs w:val="28"/>
              </w:rPr>
              <w:t xml:space="preserve"> with</w:t>
            </w:r>
            <w:r>
              <w:rPr>
                <w:sz w:val="28"/>
                <w:szCs w:val="28"/>
              </w:rPr>
              <w:t xml:space="preserve"> </w:t>
            </w:r>
            <w:r w:rsidRPr="004C3372">
              <w:rPr>
                <w:sz w:val="28"/>
                <w:szCs w:val="28"/>
              </w:rPr>
              <w:t>registries</w:t>
            </w:r>
            <w:r>
              <w:rPr>
                <w:sz w:val="28"/>
                <w:szCs w:val="28"/>
              </w:rPr>
              <w:t xml:space="preserve"> </w:t>
            </w:r>
            <w:r w:rsidRPr="004C3372">
              <w:rPr>
                <w:sz w:val="28"/>
                <w:szCs w:val="28"/>
              </w:rPr>
              <w:t>or</w:t>
            </w:r>
            <w:r>
              <w:rPr>
                <w:sz w:val="28"/>
                <w:szCs w:val="28"/>
              </w:rPr>
              <w:t xml:space="preserve"> </w:t>
            </w:r>
            <w:r w:rsidRPr="004C3372">
              <w:rPr>
                <w:sz w:val="28"/>
                <w:szCs w:val="28"/>
              </w:rPr>
              <w:t>registrar in respect</w:t>
            </w:r>
            <w:r>
              <w:rPr>
                <w:sz w:val="28"/>
                <w:szCs w:val="28"/>
              </w:rPr>
              <w:t xml:space="preserve"> </w:t>
            </w:r>
            <w:r w:rsidRPr="004C3372">
              <w:rPr>
                <w:sz w:val="28"/>
                <w:szCs w:val="28"/>
              </w:rPr>
              <w:t>of a compliance issue for</w:t>
            </w:r>
            <w:r>
              <w:rPr>
                <w:sz w:val="28"/>
                <w:szCs w:val="28"/>
              </w:rPr>
              <w:t xml:space="preserve"> </w:t>
            </w:r>
            <w:r w:rsidRPr="004C3372">
              <w:rPr>
                <w:sz w:val="28"/>
                <w:szCs w:val="28"/>
              </w:rPr>
              <w:t>a domain</w:t>
            </w:r>
            <w:r>
              <w:rPr>
                <w:sz w:val="28"/>
                <w:szCs w:val="28"/>
              </w:rPr>
              <w:t xml:space="preserve"> </w:t>
            </w:r>
            <w:r w:rsidRPr="004C3372">
              <w:rPr>
                <w:sz w:val="28"/>
                <w:szCs w:val="28"/>
              </w:rPr>
              <w:t>name, there is</w:t>
            </w:r>
            <w:r>
              <w:rPr>
                <w:sz w:val="28"/>
                <w:szCs w:val="28"/>
              </w:rPr>
              <w:t xml:space="preserve"> </w:t>
            </w:r>
            <w:r w:rsidRPr="004C3372">
              <w:rPr>
                <w:sz w:val="28"/>
                <w:szCs w:val="28"/>
              </w:rPr>
              <w:t>no clarity on why ICANN require the personal data</w:t>
            </w:r>
            <w:r>
              <w:rPr>
                <w:sz w:val="28"/>
                <w:szCs w:val="28"/>
              </w:rPr>
              <w:t xml:space="preserve"> </w:t>
            </w:r>
            <w:r w:rsidRPr="004C3372">
              <w:rPr>
                <w:sz w:val="28"/>
                <w:szCs w:val="28"/>
              </w:rPr>
              <w:t xml:space="preserve">of a Registered </w:t>
            </w:r>
          </w:p>
          <w:p w14:paraId="5EBC09BB" w14:textId="3D5C2234" w:rsidR="004C3372" w:rsidRDefault="004C3372" w:rsidP="004C3372">
            <w:pPr>
              <w:shd w:val="clear" w:color="auto" w:fill="FFFFFF"/>
              <w:rPr>
                <w:sz w:val="28"/>
                <w:szCs w:val="28"/>
              </w:rPr>
            </w:pPr>
            <w:r w:rsidRPr="004C3372">
              <w:rPr>
                <w:sz w:val="28"/>
                <w:szCs w:val="28"/>
              </w:rPr>
              <w:t>Name Holder</w:t>
            </w:r>
            <w:r>
              <w:rPr>
                <w:sz w:val="28"/>
                <w:szCs w:val="28"/>
              </w:rPr>
              <w:t>.]</w:t>
            </w:r>
          </w:p>
        </w:tc>
        <w:tc>
          <w:tcPr>
            <w:tcW w:w="2970" w:type="dxa"/>
          </w:tcPr>
          <w:p w14:paraId="6ECE2C43" w14:textId="36A2F428" w:rsidR="00EB2C68" w:rsidRDefault="004C3372" w:rsidP="005439F2">
            <w:pPr>
              <w:rPr>
                <w:sz w:val="28"/>
                <w:szCs w:val="28"/>
              </w:rPr>
            </w:pPr>
            <w:r>
              <w:rPr>
                <w:sz w:val="28"/>
                <w:szCs w:val="28"/>
              </w:rPr>
              <w:t>22, Blacknight</w:t>
            </w:r>
          </w:p>
        </w:tc>
        <w:tc>
          <w:tcPr>
            <w:tcW w:w="2785" w:type="dxa"/>
          </w:tcPr>
          <w:p w14:paraId="768504AA" w14:textId="427E6BC7" w:rsidR="00EB2C68" w:rsidRDefault="004C3372" w:rsidP="005439F2">
            <w:pPr>
              <w:rPr>
                <w:sz w:val="28"/>
                <w:szCs w:val="28"/>
              </w:rPr>
            </w:pPr>
            <w:r>
              <w:rPr>
                <w:sz w:val="28"/>
                <w:szCs w:val="28"/>
              </w:rPr>
              <w:t>Yes/No</w:t>
            </w:r>
          </w:p>
        </w:tc>
      </w:tr>
      <w:tr w:rsidR="004C3372" w14:paraId="6B36C243" w14:textId="77777777" w:rsidTr="005439F2">
        <w:tc>
          <w:tcPr>
            <w:tcW w:w="8635" w:type="dxa"/>
          </w:tcPr>
          <w:p w14:paraId="1760300F" w14:textId="4EF9C0B1" w:rsidR="004C3372" w:rsidRPr="004C3372" w:rsidRDefault="004C3372" w:rsidP="005439F2">
            <w:pPr>
              <w:rPr>
                <w:sz w:val="28"/>
                <w:szCs w:val="28"/>
              </w:rPr>
            </w:pPr>
            <w:r w:rsidRPr="004C3372">
              <w:rPr>
                <w:sz w:val="28"/>
                <w:szCs w:val="28"/>
              </w:rPr>
              <w:t>It is unclear if the wording needs to be changed, but the ultimate result must be that Compliance has immediate access to registration data without having to make an explicit request and wait for reply. Having to formally request data and then restart the investigation when it arrives needlessly increases</w:t>
            </w:r>
            <w:r>
              <w:rPr>
                <w:sz w:val="28"/>
                <w:szCs w:val="28"/>
              </w:rPr>
              <w:t xml:space="preserve"> </w:t>
            </w:r>
            <w:r w:rsidRPr="004C3372">
              <w:rPr>
                <w:sz w:val="28"/>
                <w:szCs w:val="28"/>
              </w:rPr>
              <w:t>the complexity of the costs of Contractual Compliance.</w:t>
            </w:r>
          </w:p>
        </w:tc>
        <w:tc>
          <w:tcPr>
            <w:tcW w:w="2970" w:type="dxa"/>
          </w:tcPr>
          <w:p w14:paraId="60205D3B" w14:textId="3834555F" w:rsidR="004C3372" w:rsidRDefault="004C3372" w:rsidP="005439F2">
            <w:pPr>
              <w:rPr>
                <w:sz w:val="28"/>
                <w:szCs w:val="28"/>
              </w:rPr>
            </w:pPr>
            <w:r>
              <w:rPr>
                <w:sz w:val="28"/>
                <w:szCs w:val="28"/>
              </w:rPr>
              <w:t>26, ALAC</w:t>
            </w:r>
          </w:p>
        </w:tc>
        <w:tc>
          <w:tcPr>
            <w:tcW w:w="2785" w:type="dxa"/>
          </w:tcPr>
          <w:p w14:paraId="54A57999" w14:textId="0F7628BE" w:rsidR="004C3372" w:rsidRDefault="004C3372" w:rsidP="005439F2">
            <w:pPr>
              <w:rPr>
                <w:sz w:val="28"/>
                <w:szCs w:val="28"/>
              </w:rPr>
            </w:pPr>
            <w:r>
              <w:rPr>
                <w:sz w:val="28"/>
                <w:szCs w:val="28"/>
              </w:rPr>
              <w:t>Yes/No</w:t>
            </w:r>
          </w:p>
        </w:tc>
      </w:tr>
      <w:tr w:rsidR="004C3372" w14:paraId="3BA4B0EF" w14:textId="77777777" w:rsidTr="005439F2">
        <w:tc>
          <w:tcPr>
            <w:tcW w:w="8635" w:type="dxa"/>
          </w:tcPr>
          <w:p w14:paraId="29B93384" w14:textId="4D7B9D37" w:rsidR="004C3372" w:rsidRPr="004C3372" w:rsidRDefault="004C3372" w:rsidP="005439F2">
            <w:pPr>
              <w:rPr>
                <w:sz w:val="28"/>
                <w:szCs w:val="28"/>
              </w:rPr>
            </w:pPr>
            <w:r>
              <w:rPr>
                <w:sz w:val="28"/>
                <w:szCs w:val="28"/>
              </w:rPr>
              <w:t>T</w:t>
            </w:r>
            <w:r w:rsidRPr="004C3372">
              <w:rPr>
                <w:sz w:val="28"/>
                <w:szCs w:val="28"/>
              </w:rPr>
              <w:t xml:space="preserve">he RAA currently requires that several other types of data be collected, data that has never been displayed in RDDS. For clarity, the report should state that these RAA provisions are not affected and should remain in place. </w:t>
            </w:r>
            <w:bookmarkStart w:id="0" w:name="_GoBack"/>
            <w:bookmarkEnd w:id="0"/>
            <w:r w:rsidRPr="004C3372">
              <w:rPr>
                <w:sz w:val="28"/>
                <w:szCs w:val="28"/>
              </w:rPr>
              <w:t>Most important is the identity of the “Account Holder”, which the RAA defines as “the person or entity that is paying for the Registered Name or otherwise controls the management of the registered name, when that person or entity is not the Registered Name Holder.</w:t>
            </w:r>
          </w:p>
        </w:tc>
        <w:tc>
          <w:tcPr>
            <w:tcW w:w="2970" w:type="dxa"/>
          </w:tcPr>
          <w:p w14:paraId="40FA2904" w14:textId="158C8452" w:rsidR="004C3372" w:rsidRDefault="004C3372" w:rsidP="005439F2">
            <w:pPr>
              <w:rPr>
                <w:sz w:val="28"/>
                <w:szCs w:val="28"/>
              </w:rPr>
            </w:pPr>
            <w:r>
              <w:rPr>
                <w:sz w:val="28"/>
                <w:szCs w:val="28"/>
              </w:rPr>
              <w:t>30, SSAC</w:t>
            </w:r>
          </w:p>
        </w:tc>
        <w:tc>
          <w:tcPr>
            <w:tcW w:w="2785" w:type="dxa"/>
          </w:tcPr>
          <w:p w14:paraId="58046507" w14:textId="45A2DAF1" w:rsidR="004C3372" w:rsidRDefault="004C3372" w:rsidP="005439F2">
            <w:pPr>
              <w:rPr>
                <w:sz w:val="28"/>
                <w:szCs w:val="28"/>
              </w:rPr>
            </w:pPr>
            <w:r>
              <w:rPr>
                <w:sz w:val="28"/>
                <w:szCs w:val="28"/>
              </w:rPr>
              <w:t>Yes/NO</w:t>
            </w:r>
          </w:p>
        </w:tc>
      </w:tr>
    </w:tbl>
    <w:p w14:paraId="00533869" w14:textId="77777777" w:rsidR="00495C31" w:rsidRDefault="00495C31" w:rsidP="00495C31"/>
    <w:p w14:paraId="13A7CBD2"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CF1AB1"/>
    <w:multiLevelType w:val="hybridMultilevel"/>
    <w:tmpl w:val="7DFC9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C31"/>
    <w:rsid w:val="00404709"/>
    <w:rsid w:val="004076B0"/>
    <w:rsid w:val="00440B65"/>
    <w:rsid w:val="00495C31"/>
    <w:rsid w:val="004C3372"/>
    <w:rsid w:val="00DC58CE"/>
    <w:rsid w:val="00EB2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17D8DD"/>
  <w15:chartTrackingRefBased/>
  <w15:docId w15:val="{1B057A7D-4025-0D4A-8A65-E2A4CBFA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5C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95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5C31"/>
    <w:pPr>
      <w:ind w:left="720"/>
      <w:contextualSpacing/>
    </w:pPr>
  </w:style>
  <w:style w:type="paragraph" w:styleId="BalloonText">
    <w:name w:val="Balloon Text"/>
    <w:basedOn w:val="Normal"/>
    <w:link w:val="BalloonTextChar"/>
    <w:uiPriority w:val="99"/>
    <w:semiHidden/>
    <w:unhideWhenUsed/>
    <w:rsid w:val="00495C3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95C3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86520">
      <w:bodyDiv w:val="1"/>
      <w:marLeft w:val="0"/>
      <w:marRight w:val="0"/>
      <w:marTop w:val="0"/>
      <w:marBottom w:val="0"/>
      <w:divBdr>
        <w:top w:val="none" w:sz="0" w:space="0" w:color="auto"/>
        <w:left w:val="none" w:sz="0" w:space="0" w:color="auto"/>
        <w:bottom w:val="none" w:sz="0" w:space="0" w:color="auto"/>
        <w:right w:val="none" w:sz="0" w:space="0" w:color="auto"/>
      </w:divBdr>
    </w:div>
    <w:div w:id="98181754">
      <w:bodyDiv w:val="1"/>
      <w:marLeft w:val="0"/>
      <w:marRight w:val="0"/>
      <w:marTop w:val="0"/>
      <w:marBottom w:val="0"/>
      <w:divBdr>
        <w:top w:val="none" w:sz="0" w:space="0" w:color="auto"/>
        <w:left w:val="none" w:sz="0" w:space="0" w:color="auto"/>
        <w:bottom w:val="none" w:sz="0" w:space="0" w:color="auto"/>
        <w:right w:val="none" w:sz="0" w:space="0" w:color="auto"/>
      </w:divBdr>
    </w:div>
    <w:div w:id="263657046">
      <w:bodyDiv w:val="1"/>
      <w:marLeft w:val="0"/>
      <w:marRight w:val="0"/>
      <w:marTop w:val="0"/>
      <w:marBottom w:val="0"/>
      <w:divBdr>
        <w:top w:val="none" w:sz="0" w:space="0" w:color="auto"/>
        <w:left w:val="none" w:sz="0" w:space="0" w:color="auto"/>
        <w:bottom w:val="none" w:sz="0" w:space="0" w:color="auto"/>
        <w:right w:val="none" w:sz="0" w:space="0" w:color="auto"/>
      </w:divBdr>
    </w:div>
    <w:div w:id="281768679">
      <w:bodyDiv w:val="1"/>
      <w:marLeft w:val="0"/>
      <w:marRight w:val="0"/>
      <w:marTop w:val="0"/>
      <w:marBottom w:val="0"/>
      <w:divBdr>
        <w:top w:val="none" w:sz="0" w:space="0" w:color="auto"/>
        <w:left w:val="none" w:sz="0" w:space="0" w:color="auto"/>
        <w:bottom w:val="none" w:sz="0" w:space="0" w:color="auto"/>
        <w:right w:val="none" w:sz="0" w:space="0" w:color="auto"/>
      </w:divBdr>
    </w:div>
    <w:div w:id="510949040">
      <w:bodyDiv w:val="1"/>
      <w:marLeft w:val="0"/>
      <w:marRight w:val="0"/>
      <w:marTop w:val="0"/>
      <w:marBottom w:val="0"/>
      <w:divBdr>
        <w:top w:val="none" w:sz="0" w:space="0" w:color="auto"/>
        <w:left w:val="none" w:sz="0" w:space="0" w:color="auto"/>
        <w:bottom w:val="none" w:sz="0" w:space="0" w:color="auto"/>
        <w:right w:val="none" w:sz="0" w:space="0" w:color="auto"/>
      </w:divBdr>
    </w:div>
    <w:div w:id="535041526">
      <w:bodyDiv w:val="1"/>
      <w:marLeft w:val="0"/>
      <w:marRight w:val="0"/>
      <w:marTop w:val="0"/>
      <w:marBottom w:val="0"/>
      <w:divBdr>
        <w:top w:val="none" w:sz="0" w:space="0" w:color="auto"/>
        <w:left w:val="none" w:sz="0" w:space="0" w:color="auto"/>
        <w:bottom w:val="none" w:sz="0" w:space="0" w:color="auto"/>
        <w:right w:val="none" w:sz="0" w:space="0" w:color="auto"/>
      </w:divBdr>
    </w:div>
    <w:div w:id="708844954">
      <w:bodyDiv w:val="1"/>
      <w:marLeft w:val="0"/>
      <w:marRight w:val="0"/>
      <w:marTop w:val="0"/>
      <w:marBottom w:val="0"/>
      <w:divBdr>
        <w:top w:val="none" w:sz="0" w:space="0" w:color="auto"/>
        <w:left w:val="none" w:sz="0" w:space="0" w:color="auto"/>
        <w:bottom w:val="none" w:sz="0" w:space="0" w:color="auto"/>
        <w:right w:val="none" w:sz="0" w:space="0" w:color="auto"/>
      </w:divBdr>
    </w:div>
    <w:div w:id="814682687">
      <w:bodyDiv w:val="1"/>
      <w:marLeft w:val="0"/>
      <w:marRight w:val="0"/>
      <w:marTop w:val="0"/>
      <w:marBottom w:val="0"/>
      <w:divBdr>
        <w:top w:val="none" w:sz="0" w:space="0" w:color="auto"/>
        <w:left w:val="none" w:sz="0" w:space="0" w:color="auto"/>
        <w:bottom w:val="none" w:sz="0" w:space="0" w:color="auto"/>
        <w:right w:val="none" w:sz="0" w:space="0" w:color="auto"/>
      </w:divBdr>
    </w:div>
    <w:div w:id="851722454">
      <w:bodyDiv w:val="1"/>
      <w:marLeft w:val="0"/>
      <w:marRight w:val="0"/>
      <w:marTop w:val="0"/>
      <w:marBottom w:val="0"/>
      <w:divBdr>
        <w:top w:val="none" w:sz="0" w:space="0" w:color="auto"/>
        <w:left w:val="none" w:sz="0" w:space="0" w:color="auto"/>
        <w:bottom w:val="none" w:sz="0" w:space="0" w:color="auto"/>
        <w:right w:val="none" w:sz="0" w:space="0" w:color="auto"/>
      </w:divBdr>
    </w:div>
    <w:div w:id="902374535">
      <w:bodyDiv w:val="1"/>
      <w:marLeft w:val="0"/>
      <w:marRight w:val="0"/>
      <w:marTop w:val="0"/>
      <w:marBottom w:val="0"/>
      <w:divBdr>
        <w:top w:val="none" w:sz="0" w:space="0" w:color="auto"/>
        <w:left w:val="none" w:sz="0" w:space="0" w:color="auto"/>
        <w:bottom w:val="none" w:sz="0" w:space="0" w:color="auto"/>
        <w:right w:val="none" w:sz="0" w:space="0" w:color="auto"/>
      </w:divBdr>
    </w:div>
    <w:div w:id="984510266">
      <w:bodyDiv w:val="1"/>
      <w:marLeft w:val="0"/>
      <w:marRight w:val="0"/>
      <w:marTop w:val="0"/>
      <w:marBottom w:val="0"/>
      <w:divBdr>
        <w:top w:val="none" w:sz="0" w:space="0" w:color="auto"/>
        <w:left w:val="none" w:sz="0" w:space="0" w:color="auto"/>
        <w:bottom w:val="none" w:sz="0" w:space="0" w:color="auto"/>
        <w:right w:val="none" w:sz="0" w:space="0" w:color="auto"/>
      </w:divBdr>
    </w:div>
    <w:div w:id="1023283892">
      <w:bodyDiv w:val="1"/>
      <w:marLeft w:val="0"/>
      <w:marRight w:val="0"/>
      <w:marTop w:val="0"/>
      <w:marBottom w:val="0"/>
      <w:divBdr>
        <w:top w:val="none" w:sz="0" w:space="0" w:color="auto"/>
        <w:left w:val="none" w:sz="0" w:space="0" w:color="auto"/>
        <w:bottom w:val="none" w:sz="0" w:space="0" w:color="auto"/>
        <w:right w:val="none" w:sz="0" w:space="0" w:color="auto"/>
      </w:divBdr>
    </w:div>
    <w:div w:id="1124930860">
      <w:bodyDiv w:val="1"/>
      <w:marLeft w:val="0"/>
      <w:marRight w:val="0"/>
      <w:marTop w:val="0"/>
      <w:marBottom w:val="0"/>
      <w:divBdr>
        <w:top w:val="none" w:sz="0" w:space="0" w:color="auto"/>
        <w:left w:val="none" w:sz="0" w:space="0" w:color="auto"/>
        <w:bottom w:val="none" w:sz="0" w:space="0" w:color="auto"/>
        <w:right w:val="none" w:sz="0" w:space="0" w:color="auto"/>
      </w:divBdr>
    </w:div>
    <w:div w:id="1240751722">
      <w:bodyDiv w:val="1"/>
      <w:marLeft w:val="0"/>
      <w:marRight w:val="0"/>
      <w:marTop w:val="0"/>
      <w:marBottom w:val="0"/>
      <w:divBdr>
        <w:top w:val="none" w:sz="0" w:space="0" w:color="auto"/>
        <w:left w:val="none" w:sz="0" w:space="0" w:color="auto"/>
        <w:bottom w:val="none" w:sz="0" w:space="0" w:color="auto"/>
        <w:right w:val="none" w:sz="0" w:space="0" w:color="auto"/>
      </w:divBdr>
    </w:div>
    <w:div w:id="1304769559">
      <w:bodyDiv w:val="1"/>
      <w:marLeft w:val="0"/>
      <w:marRight w:val="0"/>
      <w:marTop w:val="0"/>
      <w:marBottom w:val="0"/>
      <w:divBdr>
        <w:top w:val="none" w:sz="0" w:space="0" w:color="auto"/>
        <w:left w:val="none" w:sz="0" w:space="0" w:color="auto"/>
        <w:bottom w:val="none" w:sz="0" w:space="0" w:color="auto"/>
        <w:right w:val="none" w:sz="0" w:space="0" w:color="auto"/>
      </w:divBdr>
    </w:div>
    <w:div w:id="1312904650">
      <w:bodyDiv w:val="1"/>
      <w:marLeft w:val="0"/>
      <w:marRight w:val="0"/>
      <w:marTop w:val="0"/>
      <w:marBottom w:val="0"/>
      <w:divBdr>
        <w:top w:val="none" w:sz="0" w:space="0" w:color="auto"/>
        <w:left w:val="none" w:sz="0" w:space="0" w:color="auto"/>
        <w:bottom w:val="none" w:sz="0" w:space="0" w:color="auto"/>
        <w:right w:val="none" w:sz="0" w:space="0" w:color="auto"/>
      </w:divBdr>
    </w:div>
    <w:div w:id="1452868451">
      <w:bodyDiv w:val="1"/>
      <w:marLeft w:val="0"/>
      <w:marRight w:val="0"/>
      <w:marTop w:val="0"/>
      <w:marBottom w:val="0"/>
      <w:divBdr>
        <w:top w:val="none" w:sz="0" w:space="0" w:color="auto"/>
        <w:left w:val="none" w:sz="0" w:space="0" w:color="auto"/>
        <w:bottom w:val="none" w:sz="0" w:space="0" w:color="auto"/>
        <w:right w:val="none" w:sz="0" w:space="0" w:color="auto"/>
      </w:divBdr>
    </w:div>
    <w:div w:id="1494494235">
      <w:bodyDiv w:val="1"/>
      <w:marLeft w:val="0"/>
      <w:marRight w:val="0"/>
      <w:marTop w:val="0"/>
      <w:marBottom w:val="0"/>
      <w:divBdr>
        <w:top w:val="none" w:sz="0" w:space="0" w:color="auto"/>
        <w:left w:val="none" w:sz="0" w:space="0" w:color="auto"/>
        <w:bottom w:val="none" w:sz="0" w:space="0" w:color="auto"/>
        <w:right w:val="none" w:sz="0" w:space="0" w:color="auto"/>
      </w:divBdr>
    </w:div>
    <w:div w:id="1560286019">
      <w:bodyDiv w:val="1"/>
      <w:marLeft w:val="0"/>
      <w:marRight w:val="0"/>
      <w:marTop w:val="0"/>
      <w:marBottom w:val="0"/>
      <w:divBdr>
        <w:top w:val="none" w:sz="0" w:space="0" w:color="auto"/>
        <w:left w:val="none" w:sz="0" w:space="0" w:color="auto"/>
        <w:bottom w:val="none" w:sz="0" w:space="0" w:color="auto"/>
        <w:right w:val="none" w:sz="0" w:space="0" w:color="auto"/>
      </w:divBdr>
    </w:div>
    <w:div w:id="1709407928">
      <w:bodyDiv w:val="1"/>
      <w:marLeft w:val="0"/>
      <w:marRight w:val="0"/>
      <w:marTop w:val="0"/>
      <w:marBottom w:val="0"/>
      <w:divBdr>
        <w:top w:val="none" w:sz="0" w:space="0" w:color="auto"/>
        <w:left w:val="none" w:sz="0" w:space="0" w:color="auto"/>
        <w:bottom w:val="none" w:sz="0" w:space="0" w:color="auto"/>
        <w:right w:val="none" w:sz="0" w:space="0" w:color="auto"/>
      </w:divBdr>
    </w:div>
    <w:div w:id="1810710933">
      <w:bodyDiv w:val="1"/>
      <w:marLeft w:val="0"/>
      <w:marRight w:val="0"/>
      <w:marTop w:val="0"/>
      <w:marBottom w:val="0"/>
      <w:divBdr>
        <w:top w:val="none" w:sz="0" w:space="0" w:color="auto"/>
        <w:left w:val="none" w:sz="0" w:space="0" w:color="auto"/>
        <w:bottom w:val="none" w:sz="0" w:space="0" w:color="auto"/>
        <w:right w:val="none" w:sz="0" w:space="0" w:color="auto"/>
      </w:divBdr>
    </w:div>
    <w:div w:id="2132479311">
      <w:bodyDiv w:val="1"/>
      <w:marLeft w:val="0"/>
      <w:marRight w:val="0"/>
      <w:marTop w:val="0"/>
      <w:marBottom w:val="0"/>
      <w:divBdr>
        <w:top w:val="none" w:sz="0" w:space="0" w:color="auto"/>
        <w:left w:val="none" w:sz="0" w:space="0" w:color="auto"/>
        <w:bottom w:val="none" w:sz="0" w:space="0" w:color="auto"/>
        <w:right w:val="none" w:sz="0" w:space="0" w:color="auto"/>
      </w:divBdr>
    </w:div>
    <w:div w:id="214434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1439</Words>
  <Characters>8204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2019-01-13T19:19:00Z</dcterms:created>
  <dcterms:modified xsi:type="dcterms:W3CDTF">2019-01-13T19:40:00Z</dcterms:modified>
</cp:coreProperties>
</file>