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B2A4B" w14:textId="6E7ECD3A" w:rsidR="003F5750" w:rsidRDefault="003F5750" w:rsidP="003F5750">
      <w:pPr>
        <w:rPr>
          <w:b/>
          <w:sz w:val="32"/>
          <w:szCs w:val="32"/>
        </w:rPr>
      </w:pPr>
      <w:bookmarkStart w:id="0" w:name="_GoBack"/>
      <w:bookmarkEnd w:id="0"/>
      <w:r>
        <w:rPr>
          <w:b/>
          <w:sz w:val="32"/>
          <w:szCs w:val="32"/>
        </w:rPr>
        <w:t>RECOMMENDATION 6</w:t>
      </w:r>
    </w:p>
    <w:p w14:paraId="31B265D3" w14:textId="77777777" w:rsidR="003F5750" w:rsidRDefault="003F5750" w:rsidP="003F5750">
      <w:pPr>
        <w:rPr>
          <w:b/>
          <w:sz w:val="32"/>
          <w:szCs w:val="32"/>
        </w:rPr>
      </w:pPr>
    </w:p>
    <w:p w14:paraId="5A129655" w14:textId="26057F85" w:rsidR="003F5750" w:rsidRPr="003F5750" w:rsidRDefault="003F5750" w:rsidP="003F5750">
      <w:pPr>
        <w:pBdr>
          <w:top w:val="single" w:sz="4" w:space="1" w:color="auto"/>
          <w:left w:val="single" w:sz="4" w:space="4" w:color="auto"/>
          <w:bottom w:val="single" w:sz="4" w:space="1" w:color="auto"/>
          <w:right w:val="single" w:sz="4" w:space="4" w:color="auto"/>
        </w:pBdr>
        <w:rPr>
          <w:sz w:val="28"/>
          <w:szCs w:val="28"/>
        </w:rPr>
      </w:pPr>
      <w:r>
        <w:rPr>
          <w:sz w:val="28"/>
          <w:szCs w:val="28"/>
        </w:rPr>
        <w:t xml:space="preserve">1. </w:t>
      </w:r>
      <w:r w:rsidRPr="003F5750">
        <w:rPr>
          <w:sz w:val="28"/>
          <w:szCs w:val="28"/>
        </w:rPr>
        <w:t>The EPDP Team recommends that ICANN Org enter into legally-compliant data</w:t>
      </w:r>
      <w:r>
        <w:rPr>
          <w:sz w:val="28"/>
          <w:szCs w:val="28"/>
        </w:rPr>
        <w:t xml:space="preserve"> </w:t>
      </w:r>
      <w:r w:rsidRPr="003F5750">
        <w:rPr>
          <w:sz w:val="28"/>
          <w:szCs w:val="28"/>
        </w:rPr>
        <w:t>processing agreements with the data escrow providers.</w:t>
      </w:r>
    </w:p>
    <w:p w14:paraId="7C498003" w14:textId="77777777" w:rsidR="003F5750" w:rsidRDefault="003F5750" w:rsidP="003F5750">
      <w:pPr>
        <w:pBdr>
          <w:top w:val="single" w:sz="4" w:space="1" w:color="auto"/>
          <w:left w:val="single" w:sz="4" w:space="4" w:color="auto"/>
          <w:bottom w:val="single" w:sz="4" w:space="1" w:color="auto"/>
          <w:right w:val="single" w:sz="4" w:space="4" w:color="auto"/>
        </w:pBdr>
        <w:rPr>
          <w:sz w:val="28"/>
          <w:szCs w:val="28"/>
        </w:rPr>
      </w:pPr>
    </w:p>
    <w:p w14:paraId="6D7602C4" w14:textId="49ACE56B" w:rsidR="003F5750" w:rsidRPr="003F5750" w:rsidRDefault="003F5750" w:rsidP="003F5750">
      <w:pPr>
        <w:pBdr>
          <w:top w:val="single" w:sz="4" w:space="1" w:color="auto"/>
          <w:left w:val="single" w:sz="4" w:space="4" w:color="auto"/>
          <w:bottom w:val="single" w:sz="4" w:space="1" w:color="auto"/>
          <w:right w:val="single" w:sz="4" w:space="4" w:color="auto"/>
        </w:pBdr>
        <w:rPr>
          <w:sz w:val="28"/>
          <w:szCs w:val="28"/>
        </w:rPr>
      </w:pPr>
      <w:r w:rsidRPr="003F5750">
        <w:rPr>
          <w:sz w:val="28"/>
          <w:szCs w:val="28"/>
        </w:rPr>
        <w:t>2. The EPDP Team recommends updates to the contractual requirements for registries</w:t>
      </w:r>
      <w:r>
        <w:rPr>
          <w:sz w:val="28"/>
          <w:szCs w:val="28"/>
        </w:rPr>
        <w:t xml:space="preserve"> </w:t>
      </w:r>
      <w:r w:rsidRPr="003F5750">
        <w:rPr>
          <w:sz w:val="28"/>
          <w:szCs w:val="28"/>
        </w:rPr>
        <w:t>and registrars to transfer data that they process to the data escrow provider to</w:t>
      </w:r>
      <w:r>
        <w:rPr>
          <w:sz w:val="28"/>
          <w:szCs w:val="28"/>
        </w:rPr>
        <w:t xml:space="preserve"> </w:t>
      </w:r>
      <w:r w:rsidRPr="003F5750">
        <w:rPr>
          <w:sz w:val="28"/>
          <w:szCs w:val="28"/>
        </w:rPr>
        <w:t>ensure consistency with the data elements workbooks that analyze the purpose to</w:t>
      </w:r>
      <w:r>
        <w:rPr>
          <w:sz w:val="28"/>
          <w:szCs w:val="28"/>
        </w:rPr>
        <w:t xml:space="preserve"> </w:t>
      </w:r>
      <w:r w:rsidRPr="003F5750">
        <w:rPr>
          <w:sz w:val="28"/>
          <w:szCs w:val="28"/>
        </w:rPr>
        <w:t>provide mechanisms for safeguarding Registered Name Holders' Registration Data.</w:t>
      </w:r>
    </w:p>
    <w:p w14:paraId="518B8D14" w14:textId="77777777" w:rsidR="003F5750" w:rsidRDefault="003F5750" w:rsidP="003F5750">
      <w:pPr>
        <w:pBdr>
          <w:top w:val="single" w:sz="4" w:space="1" w:color="auto"/>
          <w:left w:val="single" w:sz="4" w:space="4" w:color="auto"/>
          <w:bottom w:val="single" w:sz="4" w:space="1" w:color="auto"/>
          <w:right w:val="single" w:sz="4" w:space="4" w:color="auto"/>
        </w:pBdr>
        <w:rPr>
          <w:sz w:val="28"/>
          <w:szCs w:val="28"/>
        </w:rPr>
      </w:pPr>
    </w:p>
    <w:p w14:paraId="26CE0E90" w14:textId="235EEDED" w:rsidR="003F5750" w:rsidRDefault="003F5750" w:rsidP="003F5750">
      <w:pPr>
        <w:pBdr>
          <w:top w:val="single" w:sz="4" w:space="1" w:color="auto"/>
          <w:left w:val="single" w:sz="4" w:space="4" w:color="auto"/>
          <w:bottom w:val="single" w:sz="4" w:space="1" w:color="auto"/>
          <w:right w:val="single" w:sz="4" w:space="4" w:color="auto"/>
        </w:pBdr>
        <w:rPr>
          <w:sz w:val="28"/>
          <w:szCs w:val="28"/>
        </w:rPr>
      </w:pPr>
      <w:r w:rsidRPr="003F5750">
        <w:rPr>
          <w:sz w:val="28"/>
          <w:szCs w:val="28"/>
        </w:rPr>
        <w:t>3. The data elements workbook that analyzes the purpose to provide mechanisms for</w:t>
      </w:r>
      <w:r>
        <w:rPr>
          <w:sz w:val="28"/>
          <w:szCs w:val="28"/>
        </w:rPr>
        <w:t xml:space="preserve"> </w:t>
      </w:r>
      <w:r w:rsidRPr="003F5750">
        <w:rPr>
          <w:sz w:val="28"/>
          <w:szCs w:val="28"/>
        </w:rPr>
        <w:t>safeguarding Registered Name Holders' Registration Data Registration Data contains</w:t>
      </w:r>
      <w:r>
        <w:rPr>
          <w:sz w:val="28"/>
          <w:szCs w:val="28"/>
        </w:rPr>
        <w:t xml:space="preserve"> </w:t>
      </w:r>
      <w:r w:rsidRPr="003F5750">
        <w:rPr>
          <w:sz w:val="28"/>
          <w:szCs w:val="28"/>
        </w:rPr>
        <w:t>the specifically-identified data elements the EPDP Team recommends be transferred</w:t>
      </w:r>
      <w:r>
        <w:rPr>
          <w:sz w:val="28"/>
          <w:szCs w:val="28"/>
        </w:rPr>
        <w:t xml:space="preserve"> </w:t>
      </w:r>
      <w:r w:rsidRPr="003F5750">
        <w:rPr>
          <w:sz w:val="28"/>
          <w:szCs w:val="28"/>
        </w:rPr>
        <w:t>by Registries and Registrars to data escrow providers (see Annex D). These data</w:t>
      </w:r>
      <w:r>
        <w:rPr>
          <w:sz w:val="28"/>
          <w:szCs w:val="28"/>
        </w:rPr>
        <w:t xml:space="preserve"> </w:t>
      </w:r>
      <w:r w:rsidRPr="003F5750">
        <w:rPr>
          <w:sz w:val="28"/>
          <w:szCs w:val="28"/>
        </w:rPr>
        <w:t>elements are:</w:t>
      </w:r>
      <w:r>
        <w:rPr>
          <w:sz w:val="28"/>
          <w:szCs w:val="28"/>
        </w:rPr>
        <w:t xml:space="preserve"> &lt;please see Initial Report&gt;.</w:t>
      </w:r>
    </w:p>
    <w:p w14:paraId="10BA7467" w14:textId="31686B10" w:rsidR="003F5750" w:rsidRDefault="003F5750" w:rsidP="003F5750">
      <w:pPr>
        <w:rPr>
          <w:sz w:val="28"/>
          <w:szCs w:val="28"/>
        </w:rPr>
      </w:pPr>
    </w:p>
    <w:p w14:paraId="0DE020FA" w14:textId="1E082987" w:rsidR="00560E67" w:rsidRPr="00560E67" w:rsidRDefault="00560E67" w:rsidP="003F5750">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44030074" w14:textId="77777777" w:rsidR="003F5750" w:rsidRPr="003F5750" w:rsidRDefault="003F5750" w:rsidP="003F5750">
      <w:pPr>
        <w:rPr>
          <w:sz w:val="28"/>
          <w:szCs w:val="28"/>
        </w:rPr>
      </w:pPr>
    </w:p>
    <w:p w14:paraId="4A116B80" w14:textId="77777777" w:rsidR="003F5750" w:rsidRDefault="003F5750" w:rsidP="003F5750">
      <w:pPr>
        <w:rPr>
          <w:b/>
          <w:sz w:val="28"/>
          <w:szCs w:val="28"/>
        </w:rPr>
      </w:pPr>
      <w:r>
        <w:rPr>
          <w:b/>
          <w:sz w:val="28"/>
          <w:szCs w:val="28"/>
        </w:rPr>
        <w:t>Noted Concerns</w:t>
      </w:r>
    </w:p>
    <w:p w14:paraId="1955E864" w14:textId="77777777" w:rsidR="003F5750" w:rsidRDefault="003F5750" w:rsidP="003F5750">
      <w:pPr>
        <w:rPr>
          <w:b/>
          <w:sz w:val="28"/>
          <w:szCs w:val="28"/>
        </w:rPr>
      </w:pPr>
    </w:p>
    <w:tbl>
      <w:tblPr>
        <w:tblStyle w:val="TableGrid"/>
        <w:tblW w:w="0" w:type="auto"/>
        <w:tblLook w:val="04A0" w:firstRow="1" w:lastRow="0" w:firstColumn="1" w:lastColumn="0" w:noHBand="0" w:noVBand="1"/>
      </w:tblPr>
      <w:tblGrid>
        <w:gridCol w:w="8635"/>
        <w:gridCol w:w="2970"/>
        <w:gridCol w:w="2785"/>
      </w:tblGrid>
      <w:tr w:rsidR="003F5750" w14:paraId="7AB5F50A" w14:textId="77777777" w:rsidTr="00FF746D">
        <w:tc>
          <w:tcPr>
            <w:tcW w:w="8635" w:type="dxa"/>
            <w:shd w:val="clear" w:color="auto" w:fill="F7CAAC" w:themeFill="accent2" w:themeFillTint="66"/>
          </w:tcPr>
          <w:p w14:paraId="0FC10478" w14:textId="77777777" w:rsidR="003F5750" w:rsidRDefault="003F5750" w:rsidP="00FF746D">
            <w:pPr>
              <w:rPr>
                <w:b/>
                <w:sz w:val="28"/>
                <w:szCs w:val="28"/>
              </w:rPr>
            </w:pPr>
            <w:r>
              <w:rPr>
                <w:b/>
                <w:sz w:val="28"/>
                <w:szCs w:val="28"/>
              </w:rPr>
              <w:t>Concern</w:t>
            </w:r>
          </w:p>
        </w:tc>
        <w:tc>
          <w:tcPr>
            <w:tcW w:w="2970" w:type="dxa"/>
            <w:shd w:val="clear" w:color="auto" w:fill="F7CAAC" w:themeFill="accent2" w:themeFillTint="66"/>
          </w:tcPr>
          <w:p w14:paraId="7AD535A6" w14:textId="77777777" w:rsidR="003F5750" w:rsidRDefault="003F5750" w:rsidP="00FF746D">
            <w:pPr>
              <w:rPr>
                <w:b/>
                <w:sz w:val="28"/>
                <w:szCs w:val="28"/>
              </w:rPr>
            </w:pPr>
            <w:r>
              <w:rPr>
                <w:b/>
                <w:sz w:val="28"/>
                <w:szCs w:val="28"/>
              </w:rPr>
              <w:t>Corresponding PCRT Comment #</w:t>
            </w:r>
          </w:p>
        </w:tc>
        <w:tc>
          <w:tcPr>
            <w:tcW w:w="2785" w:type="dxa"/>
            <w:shd w:val="clear" w:color="auto" w:fill="F7CAAC" w:themeFill="accent2" w:themeFillTint="66"/>
          </w:tcPr>
          <w:p w14:paraId="60781B23" w14:textId="77777777" w:rsidR="003F5750" w:rsidRDefault="003F5750" w:rsidP="00FF746D">
            <w:pPr>
              <w:rPr>
                <w:b/>
                <w:sz w:val="28"/>
                <w:szCs w:val="28"/>
              </w:rPr>
            </w:pPr>
            <w:r>
              <w:rPr>
                <w:b/>
                <w:sz w:val="28"/>
                <w:szCs w:val="28"/>
              </w:rPr>
              <w:t>Further Discussion Required?</w:t>
            </w:r>
          </w:p>
        </w:tc>
      </w:tr>
      <w:tr w:rsidR="003F5750" w14:paraId="0D64BDD5" w14:textId="77777777" w:rsidTr="00FF746D">
        <w:tc>
          <w:tcPr>
            <w:tcW w:w="8635" w:type="dxa"/>
          </w:tcPr>
          <w:p w14:paraId="31866CFB" w14:textId="4935A6A6" w:rsidR="003F5750" w:rsidRPr="007950A5" w:rsidRDefault="00FA50BD" w:rsidP="00FF746D">
            <w:pPr>
              <w:rPr>
                <w:sz w:val="28"/>
                <w:szCs w:val="28"/>
              </w:rPr>
            </w:pPr>
            <w:r>
              <w:rPr>
                <w:sz w:val="28"/>
                <w:szCs w:val="28"/>
              </w:rPr>
              <w:t xml:space="preserve">Support as written. </w:t>
            </w:r>
            <w:r w:rsidR="00892EB7">
              <w:rPr>
                <w:sz w:val="28"/>
                <w:szCs w:val="28"/>
              </w:rPr>
              <w:t>R</w:t>
            </w:r>
            <w:r w:rsidR="00892EB7" w:rsidRPr="00892EB7">
              <w:rPr>
                <w:sz w:val="28"/>
                <w:szCs w:val="28"/>
              </w:rPr>
              <w:t>egistrars and registries must be given the</w:t>
            </w:r>
            <w:r w:rsidR="00892EB7">
              <w:rPr>
                <w:sz w:val="28"/>
                <w:szCs w:val="28"/>
              </w:rPr>
              <w:t xml:space="preserve"> </w:t>
            </w:r>
            <w:r w:rsidR="00892EB7" w:rsidRPr="00892EB7">
              <w:rPr>
                <w:sz w:val="28"/>
                <w:szCs w:val="28"/>
              </w:rPr>
              <w:t>opportunity to transfer to data escrow providers in countries covered by or deemed “adequate” under GDPR</w:t>
            </w:r>
            <w:r w:rsidR="00892EB7">
              <w:rPr>
                <w:sz w:val="28"/>
                <w:szCs w:val="28"/>
              </w:rPr>
              <w:t>.</w:t>
            </w:r>
            <w:r>
              <w:rPr>
                <w:sz w:val="28"/>
                <w:szCs w:val="28"/>
              </w:rPr>
              <w:t xml:space="preserve"> </w:t>
            </w:r>
          </w:p>
        </w:tc>
        <w:tc>
          <w:tcPr>
            <w:tcW w:w="2970" w:type="dxa"/>
          </w:tcPr>
          <w:p w14:paraId="0D0FA5D7" w14:textId="14C8EACC" w:rsidR="003F5750" w:rsidRPr="004707A6" w:rsidRDefault="00892EB7" w:rsidP="00FF746D">
            <w:pPr>
              <w:tabs>
                <w:tab w:val="left" w:pos="1940"/>
              </w:tabs>
              <w:rPr>
                <w:sz w:val="28"/>
                <w:szCs w:val="28"/>
              </w:rPr>
            </w:pPr>
            <w:r>
              <w:rPr>
                <w:sz w:val="28"/>
                <w:szCs w:val="28"/>
              </w:rPr>
              <w:t>2</w:t>
            </w:r>
            <w:r w:rsidR="00341039">
              <w:rPr>
                <w:sz w:val="28"/>
                <w:szCs w:val="28"/>
              </w:rPr>
              <w:t xml:space="preserve"> (NCSG)</w:t>
            </w:r>
          </w:p>
        </w:tc>
        <w:tc>
          <w:tcPr>
            <w:tcW w:w="2785" w:type="dxa"/>
          </w:tcPr>
          <w:p w14:paraId="2C59D59D" w14:textId="77777777" w:rsidR="003F5750" w:rsidRPr="00362929" w:rsidRDefault="003F5750" w:rsidP="00FF746D">
            <w:pPr>
              <w:rPr>
                <w:sz w:val="28"/>
                <w:szCs w:val="28"/>
              </w:rPr>
            </w:pPr>
            <w:r>
              <w:rPr>
                <w:sz w:val="28"/>
                <w:szCs w:val="28"/>
              </w:rPr>
              <w:t>Yes/No</w:t>
            </w:r>
          </w:p>
        </w:tc>
      </w:tr>
      <w:tr w:rsidR="00FA50BD" w14:paraId="4EDB5C01" w14:textId="77777777" w:rsidTr="00FF746D">
        <w:tc>
          <w:tcPr>
            <w:tcW w:w="8635" w:type="dxa"/>
          </w:tcPr>
          <w:p w14:paraId="4E63E698" w14:textId="092B21EB" w:rsidR="00FA50BD" w:rsidRDefault="00FA50BD" w:rsidP="00FF746D">
            <w:pPr>
              <w:rPr>
                <w:sz w:val="28"/>
                <w:szCs w:val="28"/>
              </w:rPr>
            </w:pPr>
            <w:r w:rsidRPr="00FA50BD">
              <w:rPr>
                <w:sz w:val="28"/>
                <w:szCs w:val="28"/>
              </w:rPr>
              <w:t>In the interest of RNH protection, all data collected should be transferred to the data escrow provider.</w:t>
            </w:r>
            <w:r>
              <w:rPr>
                <w:sz w:val="28"/>
                <w:szCs w:val="28"/>
              </w:rPr>
              <w:t xml:space="preserve"> [</w:t>
            </w:r>
            <w:r w:rsidRPr="00FA50BD">
              <w:rPr>
                <w:sz w:val="28"/>
                <w:szCs w:val="28"/>
              </w:rPr>
              <w:t>Note that not all of the data collected is in the workbooks – some registries hold special data specific to a particular TLD</w:t>
            </w:r>
            <w:r>
              <w:rPr>
                <w:sz w:val="28"/>
                <w:szCs w:val="28"/>
              </w:rPr>
              <w:t>.]</w:t>
            </w:r>
          </w:p>
        </w:tc>
        <w:tc>
          <w:tcPr>
            <w:tcW w:w="2970" w:type="dxa"/>
          </w:tcPr>
          <w:p w14:paraId="699221CB" w14:textId="3D47BCA2" w:rsidR="00FA50BD" w:rsidRDefault="00FA50BD" w:rsidP="00FF746D">
            <w:pPr>
              <w:tabs>
                <w:tab w:val="left" w:pos="1940"/>
              </w:tabs>
              <w:rPr>
                <w:sz w:val="28"/>
                <w:szCs w:val="28"/>
              </w:rPr>
            </w:pPr>
            <w:r>
              <w:rPr>
                <w:sz w:val="28"/>
                <w:szCs w:val="28"/>
              </w:rPr>
              <w:t>3, 8</w:t>
            </w:r>
            <w:r w:rsidR="001A501B">
              <w:rPr>
                <w:sz w:val="28"/>
                <w:szCs w:val="28"/>
              </w:rPr>
              <w:t>, 14</w:t>
            </w:r>
            <w:r w:rsidR="00341039">
              <w:rPr>
                <w:sz w:val="28"/>
                <w:szCs w:val="28"/>
              </w:rPr>
              <w:t xml:space="preserve"> (MarkMonitor, Microsoft, BC)</w:t>
            </w:r>
          </w:p>
        </w:tc>
        <w:tc>
          <w:tcPr>
            <w:tcW w:w="2785" w:type="dxa"/>
          </w:tcPr>
          <w:p w14:paraId="26275B03" w14:textId="07FE8512" w:rsidR="00FA50BD" w:rsidRDefault="00FA50BD" w:rsidP="00FF746D">
            <w:pPr>
              <w:rPr>
                <w:sz w:val="28"/>
                <w:szCs w:val="28"/>
              </w:rPr>
            </w:pPr>
            <w:r>
              <w:rPr>
                <w:sz w:val="28"/>
                <w:szCs w:val="28"/>
              </w:rPr>
              <w:t>Yes/No</w:t>
            </w:r>
          </w:p>
        </w:tc>
      </w:tr>
      <w:tr w:rsidR="00FA50BD" w14:paraId="635CD6DA" w14:textId="77777777" w:rsidTr="00FF746D">
        <w:tc>
          <w:tcPr>
            <w:tcW w:w="8635" w:type="dxa"/>
          </w:tcPr>
          <w:p w14:paraId="0EC7F560" w14:textId="566E627F" w:rsidR="00FA50BD" w:rsidRDefault="00FA50BD" w:rsidP="00FF746D">
            <w:pPr>
              <w:rPr>
                <w:sz w:val="28"/>
                <w:szCs w:val="28"/>
              </w:rPr>
            </w:pPr>
            <w:r w:rsidRPr="00FA50BD">
              <w:rPr>
                <w:sz w:val="28"/>
                <w:szCs w:val="28"/>
              </w:rPr>
              <w:lastRenderedPageBreak/>
              <w:t xml:space="preserve">As new fields are collected by registrars (as per responses to Recommendation #4 already provided), they too should be put into escrow, to protect the registrant's data in case </w:t>
            </w:r>
            <w:proofErr w:type="gramStart"/>
            <w:r w:rsidRPr="00FA50BD">
              <w:rPr>
                <w:sz w:val="28"/>
                <w:szCs w:val="28"/>
              </w:rPr>
              <w:t>of  registrar</w:t>
            </w:r>
            <w:proofErr w:type="gramEnd"/>
            <w:r w:rsidRPr="00FA50BD">
              <w:rPr>
                <w:sz w:val="28"/>
                <w:szCs w:val="28"/>
              </w:rPr>
              <w:t xml:space="preserve"> failure, etc. (i.e. witness the </w:t>
            </w:r>
            <w:proofErr w:type="spellStart"/>
            <w:r w:rsidRPr="00FA50BD">
              <w:rPr>
                <w:sz w:val="28"/>
                <w:szCs w:val="28"/>
              </w:rPr>
              <w:t>Registerfly</w:t>
            </w:r>
            <w:proofErr w:type="spellEnd"/>
            <w:r w:rsidRPr="00FA50BD">
              <w:rPr>
                <w:sz w:val="28"/>
                <w:szCs w:val="28"/>
              </w:rPr>
              <w:t xml:space="preserve"> fiasco, in case folks have forgotten). ALL data should be escrowed, including</w:t>
            </w:r>
            <w:r>
              <w:rPr>
                <w:sz w:val="28"/>
                <w:szCs w:val="28"/>
              </w:rPr>
              <w:t xml:space="preserve"> </w:t>
            </w:r>
            <w:r w:rsidRPr="00FA50BD">
              <w:rPr>
                <w:sz w:val="28"/>
                <w:szCs w:val="28"/>
              </w:rPr>
              <w:t>historical data, for an audit trail (to ensure recovery from domain thefts, too)</w:t>
            </w:r>
            <w:r>
              <w:rPr>
                <w:sz w:val="28"/>
                <w:szCs w:val="28"/>
              </w:rPr>
              <w:t>.</w:t>
            </w:r>
          </w:p>
        </w:tc>
        <w:tc>
          <w:tcPr>
            <w:tcW w:w="2970" w:type="dxa"/>
          </w:tcPr>
          <w:p w14:paraId="281D1B40" w14:textId="7C568BFD" w:rsidR="00FA50BD" w:rsidRDefault="00FA50BD" w:rsidP="00FF746D">
            <w:pPr>
              <w:tabs>
                <w:tab w:val="left" w:pos="1940"/>
              </w:tabs>
              <w:rPr>
                <w:sz w:val="28"/>
                <w:szCs w:val="28"/>
              </w:rPr>
            </w:pPr>
            <w:r>
              <w:rPr>
                <w:sz w:val="28"/>
                <w:szCs w:val="28"/>
              </w:rPr>
              <w:t>5</w:t>
            </w:r>
            <w:r w:rsidR="00341039">
              <w:rPr>
                <w:sz w:val="28"/>
                <w:szCs w:val="28"/>
              </w:rPr>
              <w:t xml:space="preserve"> (George </w:t>
            </w:r>
            <w:proofErr w:type="spellStart"/>
            <w:r w:rsidR="00341039">
              <w:rPr>
                <w:sz w:val="28"/>
                <w:szCs w:val="28"/>
              </w:rPr>
              <w:t>Kirikos</w:t>
            </w:r>
            <w:proofErr w:type="spellEnd"/>
            <w:r w:rsidR="00341039">
              <w:rPr>
                <w:sz w:val="28"/>
                <w:szCs w:val="28"/>
              </w:rPr>
              <w:t>)</w:t>
            </w:r>
          </w:p>
        </w:tc>
        <w:tc>
          <w:tcPr>
            <w:tcW w:w="2785" w:type="dxa"/>
          </w:tcPr>
          <w:p w14:paraId="7FAB22A3" w14:textId="4A43A914" w:rsidR="00FA50BD" w:rsidRDefault="00FA50BD" w:rsidP="00FF746D">
            <w:pPr>
              <w:rPr>
                <w:sz w:val="28"/>
                <w:szCs w:val="28"/>
              </w:rPr>
            </w:pPr>
            <w:r>
              <w:rPr>
                <w:sz w:val="28"/>
                <w:szCs w:val="28"/>
              </w:rPr>
              <w:t>Yes/No</w:t>
            </w:r>
          </w:p>
        </w:tc>
      </w:tr>
      <w:tr w:rsidR="00FA50BD" w14:paraId="4F9ECD4F" w14:textId="77777777" w:rsidTr="00FF746D">
        <w:tc>
          <w:tcPr>
            <w:tcW w:w="8635" w:type="dxa"/>
          </w:tcPr>
          <w:p w14:paraId="736E8E3A" w14:textId="4F2958B4" w:rsidR="00FA50BD" w:rsidRPr="00FA50BD" w:rsidRDefault="00FA50BD" w:rsidP="00FF746D">
            <w:pPr>
              <w:rPr>
                <w:sz w:val="28"/>
                <w:szCs w:val="28"/>
              </w:rPr>
            </w:pPr>
            <w:r w:rsidRPr="00FA50BD">
              <w:rPr>
                <w:sz w:val="28"/>
                <w:szCs w:val="28"/>
              </w:rPr>
              <w:t xml:space="preserve">The data elements transferred by Registries and Registrars to data escrow providers should include the minimal data set, and not </w:t>
            </w:r>
            <w:r>
              <w:rPr>
                <w:sz w:val="28"/>
                <w:szCs w:val="28"/>
              </w:rPr>
              <w:t>redacted data</w:t>
            </w:r>
            <w:r w:rsidRPr="00FA50BD">
              <w:rPr>
                <w:sz w:val="28"/>
                <w:szCs w:val="28"/>
              </w:rPr>
              <w:t xml:space="preserve"> elements</w:t>
            </w:r>
            <w:r>
              <w:rPr>
                <w:sz w:val="28"/>
                <w:szCs w:val="28"/>
              </w:rPr>
              <w:t>.</w:t>
            </w:r>
          </w:p>
        </w:tc>
        <w:tc>
          <w:tcPr>
            <w:tcW w:w="2970" w:type="dxa"/>
          </w:tcPr>
          <w:p w14:paraId="7353416D" w14:textId="0F3970CF" w:rsidR="00FA50BD" w:rsidRDefault="00FA50BD" w:rsidP="00FF746D">
            <w:pPr>
              <w:tabs>
                <w:tab w:val="left" w:pos="1940"/>
              </w:tabs>
              <w:rPr>
                <w:sz w:val="28"/>
                <w:szCs w:val="28"/>
              </w:rPr>
            </w:pPr>
            <w:r>
              <w:rPr>
                <w:sz w:val="28"/>
                <w:szCs w:val="28"/>
              </w:rPr>
              <w:t>6</w:t>
            </w:r>
            <w:r w:rsidR="00341039">
              <w:rPr>
                <w:sz w:val="28"/>
                <w:szCs w:val="28"/>
              </w:rPr>
              <w:t xml:space="preserve"> (Tucows)</w:t>
            </w:r>
          </w:p>
        </w:tc>
        <w:tc>
          <w:tcPr>
            <w:tcW w:w="2785" w:type="dxa"/>
          </w:tcPr>
          <w:p w14:paraId="5C01E443" w14:textId="22148876" w:rsidR="00FA50BD" w:rsidRDefault="00FA50BD" w:rsidP="00FF746D">
            <w:pPr>
              <w:rPr>
                <w:sz w:val="28"/>
                <w:szCs w:val="28"/>
              </w:rPr>
            </w:pPr>
            <w:r>
              <w:rPr>
                <w:sz w:val="28"/>
                <w:szCs w:val="28"/>
              </w:rPr>
              <w:t>Yes/No</w:t>
            </w:r>
          </w:p>
        </w:tc>
      </w:tr>
      <w:tr w:rsidR="00FA50BD" w14:paraId="1F01BE69" w14:textId="77777777" w:rsidTr="00FF746D">
        <w:tc>
          <w:tcPr>
            <w:tcW w:w="8635" w:type="dxa"/>
          </w:tcPr>
          <w:p w14:paraId="35197033" w14:textId="35D3D6AA" w:rsidR="00FA50BD" w:rsidRDefault="00FA50BD" w:rsidP="00FF746D">
            <w:pPr>
              <w:rPr>
                <w:sz w:val="28"/>
                <w:szCs w:val="28"/>
              </w:rPr>
            </w:pPr>
            <w:r w:rsidRPr="00FA50BD">
              <w:rPr>
                <w:sz w:val="28"/>
                <w:szCs w:val="28"/>
              </w:rPr>
              <w:t>The EPDP Team did not specifically discuss and analyze each of the individual data elements identified in Preliminary Recommendation 6.  It must do so and revise the recommendation as appropriate.</w:t>
            </w:r>
            <w:r>
              <w:rPr>
                <w:sz w:val="28"/>
                <w:szCs w:val="28"/>
              </w:rPr>
              <w:t xml:space="preserve"> </w:t>
            </w:r>
          </w:p>
          <w:p w14:paraId="12967DCF" w14:textId="77777777" w:rsidR="00FA50BD" w:rsidRDefault="00FA50BD" w:rsidP="00FF746D">
            <w:pPr>
              <w:rPr>
                <w:sz w:val="28"/>
                <w:szCs w:val="28"/>
              </w:rPr>
            </w:pPr>
          </w:p>
          <w:p w14:paraId="22AD8B71" w14:textId="77777777" w:rsidR="00FA50BD" w:rsidRDefault="00FA50BD" w:rsidP="00FF746D">
            <w:pPr>
              <w:rPr>
                <w:sz w:val="28"/>
                <w:szCs w:val="28"/>
              </w:rPr>
            </w:pPr>
            <w:r w:rsidRPr="00FA50BD">
              <w:rPr>
                <w:sz w:val="28"/>
                <w:szCs w:val="28"/>
              </w:rPr>
              <w:t>In conducting this analysis, the EPDP Team should bear in mind that no additional data elements</w:t>
            </w:r>
            <w:r>
              <w:rPr>
                <w:sz w:val="28"/>
                <w:szCs w:val="28"/>
              </w:rPr>
              <w:t xml:space="preserve"> </w:t>
            </w:r>
            <w:r w:rsidRPr="00FA50BD">
              <w:rPr>
                <w:sz w:val="28"/>
                <w:szCs w:val="28"/>
              </w:rPr>
              <w:t>should be required to be collected by the registrar or transferred from the registrar to the registry solely</w:t>
            </w:r>
            <w:r>
              <w:rPr>
                <w:sz w:val="28"/>
                <w:szCs w:val="28"/>
              </w:rPr>
              <w:t xml:space="preserve"> </w:t>
            </w:r>
            <w:r w:rsidRPr="00FA50BD">
              <w:rPr>
                <w:sz w:val="28"/>
                <w:szCs w:val="28"/>
              </w:rPr>
              <w:t xml:space="preserve">to achieve this purpose. Rather, the data elements required to be transferred to the data escrow agents should be derived ONLY from the set of data elements required </w:t>
            </w:r>
            <w:proofErr w:type="gramStart"/>
            <w:r w:rsidRPr="00FA50BD">
              <w:rPr>
                <w:sz w:val="28"/>
                <w:szCs w:val="28"/>
              </w:rPr>
              <w:t>to  be</w:t>
            </w:r>
            <w:proofErr w:type="gramEnd"/>
            <w:r w:rsidRPr="00FA50BD">
              <w:rPr>
                <w:sz w:val="28"/>
                <w:szCs w:val="28"/>
              </w:rPr>
              <w:t xml:space="preserve"> collected by the registrar and  transferred from the  registrar to the registry in fulfillment of Purposes 1, 3, 6 or 7</w:t>
            </w:r>
            <w:r>
              <w:rPr>
                <w:sz w:val="28"/>
                <w:szCs w:val="28"/>
              </w:rPr>
              <w:t xml:space="preserve">. </w:t>
            </w:r>
          </w:p>
          <w:p w14:paraId="6B0B5B9E" w14:textId="77777777" w:rsidR="00FA50BD" w:rsidRDefault="00FA50BD" w:rsidP="00FF746D">
            <w:pPr>
              <w:rPr>
                <w:sz w:val="28"/>
                <w:szCs w:val="28"/>
              </w:rPr>
            </w:pPr>
          </w:p>
          <w:p w14:paraId="03CE600B" w14:textId="6F26515F" w:rsidR="00FA50BD" w:rsidRPr="00FA50BD" w:rsidRDefault="00FA50BD" w:rsidP="00FF746D">
            <w:pPr>
              <w:rPr>
                <w:sz w:val="28"/>
                <w:szCs w:val="28"/>
              </w:rPr>
            </w:pPr>
            <w:r w:rsidRPr="00FA50BD">
              <w:rPr>
                <w:sz w:val="28"/>
                <w:szCs w:val="28"/>
              </w:rPr>
              <w:t>While the safeguarding the registration data may be a legitimate processing activity, it does not in and of itself justify the collection or transferring of any additional data elements</w:t>
            </w:r>
            <w:r>
              <w:rPr>
                <w:sz w:val="28"/>
                <w:szCs w:val="28"/>
              </w:rPr>
              <w:t xml:space="preserve"> </w:t>
            </w:r>
            <w:r w:rsidRPr="00FA50BD">
              <w:rPr>
                <w:sz w:val="28"/>
                <w:szCs w:val="28"/>
              </w:rPr>
              <w:t>that are not already collected and transferred for more primary purposes. It is critical for the data</w:t>
            </w:r>
            <w:r>
              <w:rPr>
                <w:sz w:val="28"/>
                <w:szCs w:val="28"/>
              </w:rPr>
              <w:t xml:space="preserve"> </w:t>
            </w:r>
            <w:r w:rsidRPr="00FA50BD">
              <w:rPr>
                <w:sz w:val="28"/>
                <w:szCs w:val="28"/>
              </w:rPr>
              <w:t>elements workbooks to reflect this and for the entire policy to be consistent</w:t>
            </w:r>
            <w:r>
              <w:rPr>
                <w:sz w:val="28"/>
                <w:szCs w:val="28"/>
              </w:rPr>
              <w:t>.</w:t>
            </w:r>
          </w:p>
        </w:tc>
        <w:tc>
          <w:tcPr>
            <w:tcW w:w="2970" w:type="dxa"/>
          </w:tcPr>
          <w:p w14:paraId="1F4733A1" w14:textId="611A2F55" w:rsidR="00FA50BD" w:rsidRDefault="00FA50BD" w:rsidP="00FF746D">
            <w:pPr>
              <w:tabs>
                <w:tab w:val="left" w:pos="1940"/>
              </w:tabs>
              <w:rPr>
                <w:sz w:val="28"/>
                <w:szCs w:val="28"/>
              </w:rPr>
            </w:pPr>
            <w:r>
              <w:rPr>
                <w:sz w:val="28"/>
                <w:szCs w:val="28"/>
              </w:rPr>
              <w:t>7</w:t>
            </w:r>
            <w:r w:rsidR="00341039">
              <w:rPr>
                <w:sz w:val="28"/>
                <w:szCs w:val="28"/>
              </w:rPr>
              <w:t xml:space="preserve"> (RySG)</w:t>
            </w:r>
          </w:p>
        </w:tc>
        <w:tc>
          <w:tcPr>
            <w:tcW w:w="2785" w:type="dxa"/>
          </w:tcPr>
          <w:p w14:paraId="099472B8" w14:textId="40F6C001" w:rsidR="00FA50BD" w:rsidRDefault="00FA50BD" w:rsidP="00FF746D">
            <w:pPr>
              <w:rPr>
                <w:sz w:val="28"/>
                <w:szCs w:val="28"/>
              </w:rPr>
            </w:pPr>
            <w:r>
              <w:rPr>
                <w:sz w:val="28"/>
                <w:szCs w:val="28"/>
              </w:rPr>
              <w:t>Yes/No</w:t>
            </w:r>
          </w:p>
        </w:tc>
      </w:tr>
      <w:tr w:rsidR="00FA50BD" w14:paraId="4D039BA6" w14:textId="77777777" w:rsidTr="00FF746D">
        <w:tc>
          <w:tcPr>
            <w:tcW w:w="8635" w:type="dxa"/>
          </w:tcPr>
          <w:p w14:paraId="28133932" w14:textId="0749A9CA" w:rsidR="00FA50BD" w:rsidRPr="00FA50BD" w:rsidRDefault="00FA50BD" w:rsidP="00FF746D">
            <w:pPr>
              <w:rPr>
                <w:sz w:val="28"/>
                <w:szCs w:val="28"/>
              </w:rPr>
            </w:pPr>
            <w:r w:rsidRPr="00FA50BD">
              <w:rPr>
                <w:sz w:val="28"/>
                <w:szCs w:val="28"/>
              </w:rPr>
              <w:t>Minor language tweaks</w:t>
            </w:r>
            <w:r>
              <w:rPr>
                <w:sz w:val="28"/>
                <w:szCs w:val="28"/>
              </w:rPr>
              <w:t xml:space="preserve"> are needed</w:t>
            </w:r>
            <w:r w:rsidRPr="00FA50BD">
              <w:rPr>
                <w:sz w:val="28"/>
                <w:szCs w:val="28"/>
              </w:rPr>
              <w:t xml:space="preserve"> for sake of clarity and removing typo errors</w:t>
            </w:r>
            <w:r>
              <w:rPr>
                <w:sz w:val="28"/>
                <w:szCs w:val="28"/>
              </w:rPr>
              <w:t>. (See PCRT for suggested edits.)</w:t>
            </w:r>
          </w:p>
        </w:tc>
        <w:tc>
          <w:tcPr>
            <w:tcW w:w="2970" w:type="dxa"/>
          </w:tcPr>
          <w:p w14:paraId="0485F9D3" w14:textId="11BCD68D" w:rsidR="00FA50BD" w:rsidRDefault="00FA50BD" w:rsidP="00FF746D">
            <w:pPr>
              <w:tabs>
                <w:tab w:val="left" w:pos="1940"/>
              </w:tabs>
              <w:rPr>
                <w:sz w:val="28"/>
                <w:szCs w:val="28"/>
              </w:rPr>
            </w:pPr>
            <w:r>
              <w:rPr>
                <w:sz w:val="28"/>
                <w:szCs w:val="28"/>
              </w:rPr>
              <w:t>9</w:t>
            </w:r>
            <w:r w:rsidR="00341039">
              <w:rPr>
                <w:sz w:val="28"/>
                <w:szCs w:val="28"/>
              </w:rPr>
              <w:t xml:space="preserve"> (Government of India)</w:t>
            </w:r>
          </w:p>
        </w:tc>
        <w:tc>
          <w:tcPr>
            <w:tcW w:w="2785" w:type="dxa"/>
          </w:tcPr>
          <w:p w14:paraId="22CDD225" w14:textId="734F6F5F" w:rsidR="00FA50BD" w:rsidRDefault="00FA50BD" w:rsidP="00FF746D">
            <w:pPr>
              <w:rPr>
                <w:sz w:val="28"/>
                <w:szCs w:val="28"/>
              </w:rPr>
            </w:pPr>
            <w:r>
              <w:rPr>
                <w:sz w:val="28"/>
                <w:szCs w:val="28"/>
              </w:rPr>
              <w:t>Yes/No</w:t>
            </w:r>
          </w:p>
        </w:tc>
      </w:tr>
      <w:tr w:rsidR="00FA50BD" w14:paraId="35FC7754" w14:textId="77777777" w:rsidTr="00FF746D">
        <w:tc>
          <w:tcPr>
            <w:tcW w:w="8635" w:type="dxa"/>
          </w:tcPr>
          <w:p w14:paraId="68B6F101" w14:textId="7A781D4E" w:rsidR="00FA50BD" w:rsidRPr="00FA50BD" w:rsidRDefault="00FA50BD" w:rsidP="00FA50BD">
            <w:pPr>
              <w:shd w:val="clear" w:color="auto" w:fill="FFFFFF"/>
              <w:rPr>
                <w:sz w:val="28"/>
                <w:szCs w:val="28"/>
              </w:rPr>
            </w:pPr>
            <w:r w:rsidRPr="00FA50BD">
              <w:rPr>
                <w:sz w:val="28"/>
                <w:szCs w:val="28"/>
              </w:rPr>
              <w:lastRenderedPageBreak/>
              <w:t>The current</w:t>
            </w:r>
            <w:r>
              <w:rPr>
                <w:sz w:val="28"/>
                <w:szCs w:val="28"/>
              </w:rPr>
              <w:t xml:space="preserve"> </w:t>
            </w:r>
            <w:r w:rsidRPr="00FA50BD">
              <w:rPr>
                <w:sz w:val="28"/>
                <w:szCs w:val="28"/>
              </w:rPr>
              <w:t>wording does not reference</w:t>
            </w:r>
            <w:r>
              <w:rPr>
                <w:sz w:val="28"/>
                <w:szCs w:val="28"/>
              </w:rPr>
              <w:t xml:space="preserve"> </w:t>
            </w:r>
            <w:r w:rsidRPr="00FA50BD">
              <w:rPr>
                <w:sz w:val="28"/>
                <w:szCs w:val="28"/>
              </w:rPr>
              <w:t>the registry or registrar having a contractual relationship or data processing agreement</w:t>
            </w:r>
            <w:r>
              <w:rPr>
                <w:sz w:val="28"/>
                <w:szCs w:val="28"/>
              </w:rPr>
              <w:t xml:space="preserve"> </w:t>
            </w:r>
            <w:r w:rsidRPr="00FA50BD">
              <w:rPr>
                <w:sz w:val="28"/>
                <w:szCs w:val="28"/>
              </w:rPr>
              <w:t>with the escrow provider(s)</w:t>
            </w:r>
            <w:r>
              <w:rPr>
                <w:sz w:val="28"/>
                <w:szCs w:val="28"/>
              </w:rPr>
              <w:t>.</w:t>
            </w:r>
          </w:p>
        </w:tc>
        <w:tc>
          <w:tcPr>
            <w:tcW w:w="2970" w:type="dxa"/>
          </w:tcPr>
          <w:p w14:paraId="4D48AC4C" w14:textId="618A2316" w:rsidR="00FA50BD" w:rsidRDefault="00FA50BD" w:rsidP="00FF746D">
            <w:pPr>
              <w:tabs>
                <w:tab w:val="left" w:pos="1940"/>
              </w:tabs>
              <w:rPr>
                <w:sz w:val="28"/>
                <w:szCs w:val="28"/>
              </w:rPr>
            </w:pPr>
            <w:r>
              <w:rPr>
                <w:sz w:val="28"/>
                <w:szCs w:val="28"/>
              </w:rPr>
              <w:t>10, 12</w:t>
            </w:r>
            <w:r w:rsidR="00341039">
              <w:rPr>
                <w:sz w:val="28"/>
                <w:szCs w:val="28"/>
              </w:rPr>
              <w:t xml:space="preserve"> (Michele Neylon, </w:t>
            </w:r>
            <w:proofErr w:type="spellStart"/>
            <w:r w:rsidR="00341039">
              <w:rPr>
                <w:sz w:val="28"/>
                <w:szCs w:val="28"/>
              </w:rPr>
              <w:t>RrSG</w:t>
            </w:r>
            <w:proofErr w:type="spellEnd"/>
            <w:r w:rsidR="00341039">
              <w:rPr>
                <w:sz w:val="28"/>
                <w:szCs w:val="28"/>
              </w:rPr>
              <w:t xml:space="preserve">, Volker </w:t>
            </w:r>
            <w:proofErr w:type="spellStart"/>
            <w:r w:rsidR="00341039">
              <w:rPr>
                <w:sz w:val="28"/>
                <w:szCs w:val="28"/>
              </w:rPr>
              <w:t>Greimann</w:t>
            </w:r>
            <w:proofErr w:type="spellEnd"/>
            <w:r w:rsidR="00341039">
              <w:rPr>
                <w:sz w:val="28"/>
                <w:szCs w:val="28"/>
              </w:rPr>
              <w:t>)</w:t>
            </w:r>
          </w:p>
        </w:tc>
        <w:tc>
          <w:tcPr>
            <w:tcW w:w="2785" w:type="dxa"/>
          </w:tcPr>
          <w:p w14:paraId="7806BFE4" w14:textId="12AC676D" w:rsidR="00FA50BD" w:rsidRDefault="00FA50BD" w:rsidP="00FF746D">
            <w:pPr>
              <w:rPr>
                <w:sz w:val="28"/>
                <w:szCs w:val="28"/>
              </w:rPr>
            </w:pPr>
            <w:r>
              <w:rPr>
                <w:sz w:val="28"/>
                <w:szCs w:val="28"/>
              </w:rPr>
              <w:t>Yes/No</w:t>
            </w:r>
          </w:p>
        </w:tc>
      </w:tr>
      <w:tr w:rsidR="00FA50BD" w14:paraId="656C9AC1" w14:textId="77777777" w:rsidTr="00FF746D">
        <w:tc>
          <w:tcPr>
            <w:tcW w:w="8635" w:type="dxa"/>
          </w:tcPr>
          <w:p w14:paraId="598A4DCC" w14:textId="66A5E369" w:rsidR="00FA50BD" w:rsidRPr="00FA50BD" w:rsidRDefault="00FA50BD" w:rsidP="00FA50BD">
            <w:pPr>
              <w:shd w:val="clear" w:color="auto" w:fill="FFFFFF"/>
              <w:rPr>
                <w:sz w:val="28"/>
                <w:szCs w:val="28"/>
              </w:rPr>
            </w:pPr>
            <w:r>
              <w:rPr>
                <w:sz w:val="28"/>
                <w:szCs w:val="28"/>
              </w:rPr>
              <w:t>W</w:t>
            </w:r>
            <w:r w:rsidRPr="00FA50BD">
              <w:rPr>
                <w:sz w:val="28"/>
                <w:szCs w:val="28"/>
              </w:rPr>
              <w:t>e must insure that the data submitted under this program is legally</w:t>
            </w:r>
            <w:r w:rsidR="001A501B">
              <w:rPr>
                <w:sz w:val="28"/>
                <w:szCs w:val="28"/>
              </w:rPr>
              <w:t xml:space="preserve"> </w:t>
            </w:r>
            <w:r w:rsidRPr="00FA50BD">
              <w:rPr>
                <w:sz w:val="28"/>
                <w:szCs w:val="28"/>
              </w:rPr>
              <w:t>and technically (encryption) protected, and otherwise aligns to the limitations and considerations adopted for the legal and proper processing and protection of data.</w:t>
            </w:r>
          </w:p>
        </w:tc>
        <w:tc>
          <w:tcPr>
            <w:tcW w:w="2970" w:type="dxa"/>
          </w:tcPr>
          <w:p w14:paraId="29D75F68" w14:textId="683D99B8" w:rsidR="00FA50BD" w:rsidRDefault="00FA50BD" w:rsidP="00FF746D">
            <w:pPr>
              <w:tabs>
                <w:tab w:val="left" w:pos="1940"/>
              </w:tabs>
              <w:rPr>
                <w:sz w:val="28"/>
                <w:szCs w:val="28"/>
              </w:rPr>
            </w:pPr>
            <w:r>
              <w:rPr>
                <w:sz w:val="28"/>
                <w:szCs w:val="28"/>
              </w:rPr>
              <w:t>11</w:t>
            </w:r>
            <w:r w:rsidR="00341039">
              <w:rPr>
                <w:sz w:val="28"/>
                <w:szCs w:val="28"/>
              </w:rPr>
              <w:t xml:space="preserve"> (GoDaddy)</w:t>
            </w:r>
          </w:p>
        </w:tc>
        <w:tc>
          <w:tcPr>
            <w:tcW w:w="2785" w:type="dxa"/>
          </w:tcPr>
          <w:p w14:paraId="4673D985" w14:textId="77777777" w:rsidR="00FA50BD" w:rsidRDefault="00FA50BD" w:rsidP="00FF746D">
            <w:pPr>
              <w:rPr>
                <w:sz w:val="28"/>
                <w:szCs w:val="28"/>
              </w:rPr>
            </w:pPr>
          </w:p>
        </w:tc>
      </w:tr>
      <w:tr w:rsidR="00FA50BD" w14:paraId="4A62CC39" w14:textId="77777777" w:rsidTr="00FF746D">
        <w:tc>
          <w:tcPr>
            <w:tcW w:w="8635" w:type="dxa"/>
          </w:tcPr>
          <w:p w14:paraId="4620C88C" w14:textId="1B308FDE" w:rsidR="00FA50BD" w:rsidRPr="00FA50BD" w:rsidRDefault="001A501B" w:rsidP="00FA50BD">
            <w:pPr>
              <w:shd w:val="clear" w:color="auto" w:fill="FFFFFF"/>
              <w:rPr>
                <w:sz w:val="28"/>
                <w:szCs w:val="28"/>
              </w:rPr>
            </w:pPr>
            <w:r>
              <w:rPr>
                <w:sz w:val="28"/>
                <w:szCs w:val="28"/>
              </w:rPr>
              <w:t>R</w:t>
            </w:r>
            <w:r w:rsidRPr="001A501B">
              <w:rPr>
                <w:sz w:val="28"/>
                <w:szCs w:val="28"/>
              </w:rPr>
              <w:t>egistries and registrars transfer the necessary personal data to the data escrow provider in order to safeguard the Registered Name Holder's Registration Data, to enable</w:t>
            </w:r>
            <w:r>
              <w:rPr>
                <w:sz w:val="28"/>
                <w:szCs w:val="28"/>
              </w:rPr>
              <w:t xml:space="preserve"> </w:t>
            </w:r>
            <w:r w:rsidRPr="001A501B">
              <w:rPr>
                <w:sz w:val="28"/>
                <w:szCs w:val="28"/>
              </w:rPr>
              <w:t>the further administration of a domain name.</w:t>
            </w:r>
            <w:r>
              <w:rPr>
                <w:sz w:val="28"/>
                <w:szCs w:val="28"/>
              </w:rPr>
              <w:t xml:space="preserve"> </w:t>
            </w:r>
            <w:r w:rsidRPr="001A501B">
              <w:rPr>
                <w:sz w:val="28"/>
                <w:szCs w:val="28"/>
              </w:rPr>
              <w:t xml:space="preserve">The data elements which are not personal data are sufficient but the only personal data elements to be transferred should be those collected in line with data </w:t>
            </w:r>
            <w:r>
              <w:rPr>
                <w:sz w:val="28"/>
                <w:szCs w:val="28"/>
              </w:rPr>
              <w:t>minimization.</w:t>
            </w:r>
          </w:p>
        </w:tc>
        <w:tc>
          <w:tcPr>
            <w:tcW w:w="2970" w:type="dxa"/>
          </w:tcPr>
          <w:p w14:paraId="72BA7607" w14:textId="1835F284" w:rsidR="00FA50BD" w:rsidRDefault="001A501B" w:rsidP="00FF746D">
            <w:pPr>
              <w:tabs>
                <w:tab w:val="left" w:pos="1940"/>
              </w:tabs>
              <w:rPr>
                <w:sz w:val="28"/>
                <w:szCs w:val="28"/>
              </w:rPr>
            </w:pPr>
            <w:r>
              <w:rPr>
                <w:sz w:val="28"/>
                <w:szCs w:val="28"/>
              </w:rPr>
              <w:t>12</w:t>
            </w:r>
            <w:r w:rsidR="00341039">
              <w:rPr>
                <w:sz w:val="28"/>
                <w:szCs w:val="28"/>
              </w:rPr>
              <w:t xml:space="preserve"> (</w:t>
            </w:r>
            <w:proofErr w:type="spellStart"/>
            <w:r w:rsidR="00341039">
              <w:rPr>
                <w:sz w:val="28"/>
                <w:szCs w:val="28"/>
              </w:rPr>
              <w:t>RrSG</w:t>
            </w:r>
            <w:proofErr w:type="spellEnd"/>
            <w:r w:rsidR="00341039">
              <w:rPr>
                <w:sz w:val="28"/>
                <w:szCs w:val="28"/>
              </w:rPr>
              <w:t xml:space="preserve">, Volker </w:t>
            </w:r>
            <w:proofErr w:type="spellStart"/>
            <w:r w:rsidR="00341039">
              <w:rPr>
                <w:sz w:val="28"/>
                <w:szCs w:val="28"/>
              </w:rPr>
              <w:t>Greimann</w:t>
            </w:r>
            <w:proofErr w:type="spellEnd"/>
            <w:r w:rsidR="00341039">
              <w:rPr>
                <w:sz w:val="28"/>
                <w:szCs w:val="28"/>
              </w:rPr>
              <w:t>)</w:t>
            </w:r>
          </w:p>
        </w:tc>
        <w:tc>
          <w:tcPr>
            <w:tcW w:w="2785" w:type="dxa"/>
          </w:tcPr>
          <w:p w14:paraId="764EDC35" w14:textId="06C5FFE6" w:rsidR="00FA50BD" w:rsidRDefault="00FA50BD" w:rsidP="00FF746D">
            <w:pPr>
              <w:rPr>
                <w:sz w:val="28"/>
                <w:szCs w:val="28"/>
              </w:rPr>
            </w:pPr>
            <w:r>
              <w:rPr>
                <w:sz w:val="28"/>
                <w:szCs w:val="28"/>
              </w:rPr>
              <w:t>Yes/No</w:t>
            </w:r>
          </w:p>
        </w:tc>
      </w:tr>
      <w:tr w:rsidR="00FA50BD" w14:paraId="7C554F23" w14:textId="77777777" w:rsidTr="00FF746D">
        <w:tc>
          <w:tcPr>
            <w:tcW w:w="8635" w:type="dxa"/>
          </w:tcPr>
          <w:p w14:paraId="120FFF8E" w14:textId="37FE15F7" w:rsidR="00FA50BD" w:rsidRPr="00FA50BD" w:rsidRDefault="001A501B" w:rsidP="00FA50BD">
            <w:pPr>
              <w:shd w:val="clear" w:color="auto" w:fill="FFFFFF"/>
              <w:rPr>
                <w:sz w:val="28"/>
                <w:szCs w:val="28"/>
              </w:rPr>
            </w:pPr>
            <w:r w:rsidRPr="001A501B">
              <w:rPr>
                <w:sz w:val="28"/>
                <w:szCs w:val="28"/>
              </w:rPr>
              <w:t>While there is some rationale for data escrow, the escrow stipulation amounts to data replication - This is yet another copy of the database. Whatever be the security</w:t>
            </w:r>
            <w:r>
              <w:rPr>
                <w:sz w:val="28"/>
                <w:szCs w:val="28"/>
              </w:rPr>
              <w:t xml:space="preserve"> </w:t>
            </w:r>
            <w:r w:rsidRPr="001A501B">
              <w:rPr>
                <w:sz w:val="28"/>
                <w:szCs w:val="28"/>
              </w:rPr>
              <w:t>standards, whatever be the safeguards, an additional copy of the database increases risk of privacy hazards. If this storage redundancy is indeed required, then ICANN could consider ways of building inhouse capabilities for usually locked redundant storage</w:t>
            </w:r>
            <w:r>
              <w:rPr>
                <w:sz w:val="28"/>
                <w:szCs w:val="28"/>
              </w:rPr>
              <w:t>.</w:t>
            </w:r>
          </w:p>
        </w:tc>
        <w:tc>
          <w:tcPr>
            <w:tcW w:w="2970" w:type="dxa"/>
          </w:tcPr>
          <w:p w14:paraId="0C4FB22F" w14:textId="6096EE62" w:rsidR="00341039" w:rsidRDefault="001A501B" w:rsidP="00341039">
            <w:r>
              <w:rPr>
                <w:sz w:val="28"/>
                <w:szCs w:val="28"/>
              </w:rPr>
              <w:t>15</w:t>
            </w:r>
            <w:r w:rsidR="00341039">
              <w:rPr>
                <w:sz w:val="28"/>
                <w:szCs w:val="28"/>
              </w:rPr>
              <w:t xml:space="preserve"> (</w:t>
            </w:r>
            <w:proofErr w:type="spellStart"/>
            <w:r w:rsidR="00341039" w:rsidRPr="00341039">
              <w:rPr>
                <w:sz w:val="28"/>
                <w:szCs w:val="28"/>
              </w:rPr>
              <w:t>Sivasubramanian</w:t>
            </w:r>
            <w:proofErr w:type="spellEnd"/>
            <w:r w:rsidR="00341039" w:rsidRPr="00341039">
              <w:rPr>
                <w:sz w:val="28"/>
                <w:szCs w:val="28"/>
              </w:rPr>
              <w:t xml:space="preserve"> Muthusamy</w:t>
            </w:r>
            <w:r w:rsidR="00341039">
              <w:rPr>
                <w:sz w:val="28"/>
                <w:szCs w:val="28"/>
              </w:rPr>
              <w:t>)</w:t>
            </w:r>
          </w:p>
          <w:p w14:paraId="0ACBA137" w14:textId="2F80F87C" w:rsidR="00FA50BD" w:rsidRDefault="00FA50BD" w:rsidP="00FF746D">
            <w:pPr>
              <w:tabs>
                <w:tab w:val="left" w:pos="1940"/>
              </w:tabs>
              <w:rPr>
                <w:sz w:val="28"/>
                <w:szCs w:val="28"/>
              </w:rPr>
            </w:pPr>
          </w:p>
        </w:tc>
        <w:tc>
          <w:tcPr>
            <w:tcW w:w="2785" w:type="dxa"/>
          </w:tcPr>
          <w:p w14:paraId="40F46F0E" w14:textId="74F6DBD0" w:rsidR="00FA50BD" w:rsidRDefault="00FA50BD" w:rsidP="00FF746D">
            <w:pPr>
              <w:rPr>
                <w:sz w:val="28"/>
                <w:szCs w:val="28"/>
              </w:rPr>
            </w:pPr>
            <w:r>
              <w:rPr>
                <w:sz w:val="28"/>
                <w:szCs w:val="28"/>
              </w:rPr>
              <w:t>Yes/No</w:t>
            </w:r>
          </w:p>
        </w:tc>
      </w:tr>
      <w:tr w:rsidR="001A501B" w14:paraId="6433138A" w14:textId="77777777" w:rsidTr="00FF746D">
        <w:tc>
          <w:tcPr>
            <w:tcW w:w="8635" w:type="dxa"/>
          </w:tcPr>
          <w:p w14:paraId="45F9742D" w14:textId="120D340C" w:rsidR="001A501B" w:rsidRPr="001A501B" w:rsidRDefault="001A501B" w:rsidP="00FA50BD">
            <w:pPr>
              <w:shd w:val="clear" w:color="auto" w:fill="FFFFFF"/>
              <w:rPr>
                <w:sz w:val="28"/>
                <w:szCs w:val="28"/>
              </w:rPr>
            </w:pPr>
            <w:r>
              <w:rPr>
                <w:sz w:val="28"/>
                <w:szCs w:val="28"/>
              </w:rPr>
              <w:t>Not enough information is provided in this recommendation to support it or recommend edits.</w:t>
            </w:r>
          </w:p>
        </w:tc>
        <w:tc>
          <w:tcPr>
            <w:tcW w:w="2970" w:type="dxa"/>
          </w:tcPr>
          <w:p w14:paraId="0DEAB1ED" w14:textId="46E7C5FC" w:rsidR="001A501B" w:rsidRDefault="001A501B" w:rsidP="00FF746D">
            <w:pPr>
              <w:tabs>
                <w:tab w:val="left" w:pos="1940"/>
              </w:tabs>
              <w:rPr>
                <w:sz w:val="28"/>
                <w:szCs w:val="28"/>
              </w:rPr>
            </w:pPr>
            <w:r>
              <w:rPr>
                <w:sz w:val="28"/>
                <w:szCs w:val="28"/>
              </w:rPr>
              <w:t>16</w:t>
            </w:r>
            <w:r w:rsidR="00341039">
              <w:rPr>
                <w:sz w:val="28"/>
                <w:szCs w:val="28"/>
              </w:rPr>
              <w:t xml:space="preserve"> (John Poole)</w:t>
            </w:r>
          </w:p>
        </w:tc>
        <w:tc>
          <w:tcPr>
            <w:tcW w:w="2785" w:type="dxa"/>
          </w:tcPr>
          <w:p w14:paraId="7FB880D3" w14:textId="641A2B09" w:rsidR="001A501B" w:rsidRDefault="001A501B" w:rsidP="00FF746D">
            <w:pPr>
              <w:rPr>
                <w:sz w:val="28"/>
                <w:szCs w:val="28"/>
              </w:rPr>
            </w:pPr>
            <w:r>
              <w:rPr>
                <w:sz w:val="28"/>
                <w:szCs w:val="28"/>
              </w:rPr>
              <w:t>Yes/No</w:t>
            </w:r>
          </w:p>
        </w:tc>
      </w:tr>
      <w:tr w:rsidR="001A501B" w14:paraId="10512CB9" w14:textId="77777777" w:rsidTr="00FF746D">
        <w:tc>
          <w:tcPr>
            <w:tcW w:w="8635" w:type="dxa"/>
          </w:tcPr>
          <w:p w14:paraId="2A3C6FB7" w14:textId="758DD276" w:rsidR="001A501B" w:rsidRDefault="001A501B" w:rsidP="00FA50BD">
            <w:pPr>
              <w:shd w:val="clear" w:color="auto" w:fill="FFFFFF"/>
              <w:rPr>
                <w:sz w:val="28"/>
                <w:szCs w:val="28"/>
              </w:rPr>
            </w:pPr>
            <w:r>
              <w:rPr>
                <w:sz w:val="28"/>
                <w:szCs w:val="28"/>
              </w:rPr>
              <w:t xml:space="preserve">This recommendation should be deleted. </w:t>
            </w:r>
            <w:r w:rsidRPr="001A501B">
              <w:rPr>
                <w:sz w:val="28"/>
                <w:szCs w:val="28"/>
              </w:rPr>
              <w:t>The EPDP already has agreed that all pre-Temp Spec registrant Whois data elements should continue to be collected. Escrow serves a purpose clearly in line with ICANN's Mission and also one in the best interest of the registrant. This data is not published so much like it can be collected, it can be stored securely.</w:t>
            </w:r>
          </w:p>
        </w:tc>
        <w:tc>
          <w:tcPr>
            <w:tcW w:w="2970" w:type="dxa"/>
          </w:tcPr>
          <w:p w14:paraId="6B969233" w14:textId="3AA65B3A" w:rsidR="001A501B" w:rsidRDefault="001A501B" w:rsidP="00FF746D">
            <w:pPr>
              <w:tabs>
                <w:tab w:val="left" w:pos="1940"/>
              </w:tabs>
              <w:rPr>
                <w:sz w:val="28"/>
                <w:szCs w:val="28"/>
              </w:rPr>
            </w:pPr>
            <w:r>
              <w:rPr>
                <w:sz w:val="28"/>
                <w:szCs w:val="28"/>
              </w:rPr>
              <w:t>17</w:t>
            </w:r>
            <w:r w:rsidR="00341039">
              <w:rPr>
                <w:sz w:val="28"/>
                <w:szCs w:val="28"/>
              </w:rPr>
              <w:t xml:space="preserve"> (Tim Chen)</w:t>
            </w:r>
          </w:p>
        </w:tc>
        <w:tc>
          <w:tcPr>
            <w:tcW w:w="2785" w:type="dxa"/>
          </w:tcPr>
          <w:p w14:paraId="0A739CC0" w14:textId="090D2E45" w:rsidR="001A501B" w:rsidRDefault="001A501B" w:rsidP="00FF746D">
            <w:pPr>
              <w:rPr>
                <w:sz w:val="28"/>
                <w:szCs w:val="28"/>
              </w:rPr>
            </w:pPr>
            <w:r>
              <w:rPr>
                <w:sz w:val="28"/>
                <w:szCs w:val="28"/>
              </w:rPr>
              <w:t>Yes/No</w:t>
            </w:r>
          </w:p>
        </w:tc>
      </w:tr>
    </w:tbl>
    <w:p w14:paraId="0B672462" w14:textId="77777777" w:rsidR="003F5750" w:rsidRDefault="003F5750" w:rsidP="003F5750"/>
    <w:p w14:paraId="0EEB8458" w14:textId="77777777" w:rsidR="003F5750" w:rsidRDefault="003F5750" w:rsidP="003F5750"/>
    <w:p w14:paraId="7C40EC09" w14:textId="77777777" w:rsidR="003F5750" w:rsidRDefault="003F5750" w:rsidP="003F5750"/>
    <w:p w14:paraId="61AC228C" w14:textId="77777777" w:rsidR="003F5750" w:rsidRDefault="003F5750" w:rsidP="003F5750"/>
    <w:p w14:paraId="23B62E1A" w14:textId="77777777" w:rsidR="003F5750" w:rsidRDefault="003F5750" w:rsidP="003F5750"/>
    <w:p w14:paraId="1F135BBC"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750"/>
    <w:rsid w:val="001A501B"/>
    <w:rsid w:val="00341039"/>
    <w:rsid w:val="003F5750"/>
    <w:rsid w:val="00404709"/>
    <w:rsid w:val="004076B0"/>
    <w:rsid w:val="00440B65"/>
    <w:rsid w:val="00560E67"/>
    <w:rsid w:val="006355C5"/>
    <w:rsid w:val="00892EB7"/>
    <w:rsid w:val="00B67730"/>
    <w:rsid w:val="00CA3FE2"/>
    <w:rsid w:val="00DC58CE"/>
    <w:rsid w:val="00FA5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C83AF"/>
  <w15:chartTrackingRefBased/>
  <w15:docId w15:val="{8FD989CC-A3E1-A841-B6BB-23DF6A09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F57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F5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57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710341">
      <w:bodyDiv w:val="1"/>
      <w:marLeft w:val="0"/>
      <w:marRight w:val="0"/>
      <w:marTop w:val="0"/>
      <w:marBottom w:val="0"/>
      <w:divBdr>
        <w:top w:val="none" w:sz="0" w:space="0" w:color="auto"/>
        <w:left w:val="none" w:sz="0" w:space="0" w:color="auto"/>
        <w:bottom w:val="none" w:sz="0" w:space="0" w:color="auto"/>
        <w:right w:val="none" w:sz="0" w:space="0" w:color="auto"/>
      </w:divBdr>
    </w:div>
    <w:div w:id="257835249">
      <w:bodyDiv w:val="1"/>
      <w:marLeft w:val="0"/>
      <w:marRight w:val="0"/>
      <w:marTop w:val="0"/>
      <w:marBottom w:val="0"/>
      <w:divBdr>
        <w:top w:val="none" w:sz="0" w:space="0" w:color="auto"/>
        <w:left w:val="none" w:sz="0" w:space="0" w:color="auto"/>
        <w:bottom w:val="none" w:sz="0" w:space="0" w:color="auto"/>
        <w:right w:val="none" w:sz="0" w:space="0" w:color="auto"/>
      </w:divBdr>
    </w:div>
    <w:div w:id="812449856">
      <w:bodyDiv w:val="1"/>
      <w:marLeft w:val="0"/>
      <w:marRight w:val="0"/>
      <w:marTop w:val="0"/>
      <w:marBottom w:val="0"/>
      <w:divBdr>
        <w:top w:val="none" w:sz="0" w:space="0" w:color="auto"/>
        <w:left w:val="none" w:sz="0" w:space="0" w:color="auto"/>
        <w:bottom w:val="none" w:sz="0" w:space="0" w:color="auto"/>
        <w:right w:val="none" w:sz="0" w:space="0" w:color="auto"/>
      </w:divBdr>
    </w:div>
    <w:div w:id="914127557">
      <w:bodyDiv w:val="1"/>
      <w:marLeft w:val="0"/>
      <w:marRight w:val="0"/>
      <w:marTop w:val="0"/>
      <w:marBottom w:val="0"/>
      <w:divBdr>
        <w:top w:val="none" w:sz="0" w:space="0" w:color="auto"/>
        <w:left w:val="none" w:sz="0" w:space="0" w:color="auto"/>
        <w:bottom w:val="none" w:sz="0" w:space="0" w:color="auto"/>
        <w:right w:val="none" w:sz="0" w:space="0" w:color="auto"/>
      </w:divBdr>
    </w:div>
    <w:div w:id="927272298">
      <w:bodyDiv w:val="1"/>
      <w:marLeft w:val="0"/>
      <w:marRight w:val="0"/>
      <w:marTop w:val="0"/>
      <w:marBottom w:val="0"/>
      <w:divBdr>
        <w:top w:val="none" w:sz="0" w:space="0" w:color="auto"/>
        <w:left w:val="none" w:sz="0" w:space="0" w:color="auto"/>
        <w:bottom w:val="none" w:sz="0" w:space="0" w:color="auto"/>
        <w:right w:val="none" w:sz="0" w:space="0" w:color="auto"/>
      </w:divBdr>
    </w:div>
    <w:div w:id="967317225">
      <w:bodyDiv w:val="1"/>
      <w:marLeft w:val="0"/>
      <w:marRight w:val="0"/>
      <w:marTop w:val="0"/>
      <w:marBottom w:val="0"/>
      <w:divBdr>
        <w:top w:val="none" w:sz="0" w:space="0" w:color="auto"/>
        <w:left w:val="none" w:sz="0" w:space="0" w:color="auto"/>
        <w:bottom w:val="none" w:sz="0" w:space="0" w:color="auto"/>
        <w:right w:val="none" w:sz="0" w:space="0" w:color="auto"/>
      </w:divBdr>
    </w:div>
    <w:div w:id="1012301130">
      <w:bodyDiv w:val="1"/>
      <w:marLeft w:val="0"/>
      <w:marRight w:val="0"/>
      <w:marTop w:val="0"/>
      <w:marBottom w:val="0"/>
      <w:divBdr>
        <w:top w:val="none" w:sz="0" w:space="0" w:color="auto"/>
        <w:left w:val="none" w:sz="0" w:space="0" w:color="auto"/>
        <w:bottom w:val="none" w:sz="0" w:space="0" w:color="auto"/>
        <w:right w:val="none" w:sz="0" w:space="0" w:color="auto"/>
      </w:divBdr>
    </w:div>
    <w:div w:id="1068263305">
      <w:bodyDiv w:val="1"/>
      <w:marLeft w:val="0"/>
      <w:marRight w:val="0"/>
      <w:marTop w:val="0"/>
      <w:marBottom w:val="0"/>
      <w:divBdr>
        <w:top w:val="none" w:sz="0" w:space="0" w:color="auto"/>
        <w:left w:val="none" w:sz="0" w:space="0" w:color="auto"/>
        <w:bottom w:val="none" w:sz="0" w:space="0" w:color="auto"/>
        <w:right w:val="none" w:sz="0" w:space="0" w:color="auto"/>
      </w:divBdr>
    </w:div>
    <w:div w:id="1398043106">
      <w:bodyDiv w:val="1"/>
      <w:marLeft w:val="0"/>
      <w:marRight w:val="0"/>
      <w:marTop w:val="0"/>
      <w:marBottom w:val="0"/>
      <w:divBdr>
        <w:top w:val="none" w:sz="0" w:space="0" w:color="auto"/>
        <w:left w:val="none" w:sz="0" w:space="0" w:color="auto"/>
        <w:bottom w:val="none" w:sz="0" w:space="0" w:color="auto"/>
        <w:right w:val="none" w:sz="0" w:space="0" w:color="auto"/>
      </w:divBdr>
    </w:div>
    <w:div w:id="1403023418">
      <w:bodyDiv w:val="1"/>
      <w:marLeft w:val="0"/>
      <w:marRight w:val="0"/>
      <w:marTop w:val="0"/>
      <w:marBottom w:val="0"/>
      <w:divBdr>
        <w:top w:val="none" w:sz="0" w:space="0" w:color="auto"/>
        <w:left w:val="none" w:sz="0" w:space="0" w:color="auto"/>
        <w:bottom w:val="none" w:sz="0" w:space="0" w:color="auto"/>
        <w:right w:val="none" w:sz="0" w:space="0" w:color="auto"/>
      </w:divBdr>
    </w:div>
    <w:div w:id="1442411283">
      <w:bodyDiv w:val="1"/>
      <w:marLeft w:val="0"/>
      <w:marRight w:val="0"/>
      <w:marTop w:val="0"/>
      <w:marBottom w:val="0"/>
      <w:divBdr>
        <w:top w:val="none" w:sz="0" w:space="0" w:color="auto"/>
        <w:left w:val="none" w:sz="0" w:space="0" w:color="auto"/>
        <w:bottom w:val="none" w:sz="0" w:space="0" w:color="auto"/>
        <w:right w:val="none" w:sz="0" w:space="0" w:color="auto"/>
      </w:divBdr>
    </w:div>
    <w:div w:id="1495881197">
      <w:bodyDiv w:val="1"/>
      <w:marLeft w:val="0"/>
      <w:marRight w:val="0"/>
      <w:marTop w:val="0"/>
      <w:marBottom w:val="0"/>
      <w:divBdr>
        <w:top w:val="none" w:sz="0" w:space="0" w:color="auto"/>
        <w:left w:val="none" w:sz="0" w:space="0" w:color="auto"/>
        <w:bottom w:val="none" w:sz="0" w:space="0" w:color="auto"/>
        <w:right w:val="none" w:sz="0" w:space="0" w:color="auto"/>
      </w:divBdr>
    </w:div>
    <w:div w:id="1519738884">
      <w:bodyDiv w:val="1"/>
      <w:marLeft w:val="0"/>
      <w:marRight w:val="0"/>
      <w:marTop w:val="0"/>
      <w:marBottom w:val="0"/>
      <w:divBdr>
        <w:top w:val="none" w:sz="0" w:space="0" w:color="auto"/>
        <w:left w:val="none" w:sz="0" w:space="0" w:color="auto"/>
        <w:bottom w:val="none" w:sz="0" w:space="0" w:color="auto"/>
        <w:right w:val="none" w:sz="0" w:space="0" w:color="auto"/>
      </w:divBdr>
    </w:div>
    <w:div w:id="1550386300">
      <w:bodyDiv w:val="1"/>
      <w:marLeft w:val="0"/>
      <w:marRight w:val="0"/>
      <w:marTop w:val="0"/>
      <w:marBottom w:val="0"/>
      <w:divBdr>
        <w:top w:val="none" w:sz="0" w:space="0" w:color="auto"/>
        <w:left w:val="none" w:sz="0" w:space="0" w:color="auto"/>
        <w:bottom w:val="none" w:sz="0" w:space="0" w:color="auto"/>
        <w:right w:val="none" w:sz="0" w:space="0" w:color="auto"/>
      </w:divBdr>
    </w:div>
    <w:div w:id="1843205594">
      <w:bodyDiv w:val="1"/>
      <w:marLeft w:val="0"/>
      <w:marRight w:val="0"/>
      <w:marTop w:val="0"/>
      <w:marBottom w:val="0"/>
      <w:divBdr>
        <w:top w:val="none" w:sz="0" w:space="0" w:color="auto"/>
        <w:left w:val="none" w:sz="0" w:space="0" w:color="auto"/>
        <w:bottom w:val="none" w:sz="0" w:space="0" w:color="auto"/>
        <w:right w:val="none" w:sz="0" w:space="0" w:color="auto"/>
      </w:divBdr>
    </w:div>
    <w:div w:id="1933705619">
      <w:bodyDiv w:val="1"/>
      <w:marLeft w:val="0"/>
      <w:marRight w:val="0"/>
      <w:marTop w:val="0"/>
      <w:marBottom w:val="0"/>
      <w:divBdr>
        <w:top w:val="none" w:sz="0" w:space="0" w:color="auto"/>
        <w:left w:val="none" w:sz="0" w:space="0" w:color="auto"/>
        <w:bottom w:val="none" w:sz="0" w:space="0" w:color="auto"/>
        <w:right w:val="none" w:sz="0" w:space="0" w:color="auto"/>
      </w:divBdr>
    </w:div>
    <w:div w:id="2082748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808</Words>
  <Characters>4609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2019-01-08T02:10:00Z</dcterms:created>
  <dcterms:modified xsi:type="dcterms:W3CDTF">2019-01-08T02:10:00Z</dcterms:modified>
</cp:coreProperties>
</file>