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6EF3B" w14:textId="42137E7D" w:rsidR="00B6275A" w:rsidRDefault="00B6275A" w:rsidP="00B6275A">
      <w:pPr>
        <w:rPr>
          <w:b/>
          <w:sz w:val="32"/>
          <w:szCs w:val="32"/>
        </w:rPr>
      </w:pPr>
      <w:r>
        <w:rPr>
          <w:b/>
          <w:sz w:val="32"/>
          <w:szCs w:val="32"/>
        </w:rPr>
        <w:t xml:space="preserve">RECOMMENDATION </w:t>
      </w:r>
      <w:r>
        <w:rPr>
          <w:b/>
          <w:sz w:val="32"/>
          <w:szCs w:val="32"/>
        </w:rPr>
        <w:t>5</w:t>
      </w:r>
      <w:r>
        <w:rPr>
          <w:b/>
          <w:sz w:val="32"/>
          <w:szCs w:val="32"/>
        </w:rPr>
        <w:t xml:space="preserve"> </w:t>
      </w:r>
    </w:p>
    <w:p w14:paraId="14C4974F" w14:textId="77777777" w:rsidR="00B6275A" w:rsidRDefault="00B6275A" w:rsidP="00B6275A">
      <w:pPr>
        <w:rPr>
          <w:b/>
          <w:sz w:val="32"/>
          <w:szCs w:val="32"/>
        </w:rPr>
      </w:pPr>
    </w:p>
    <w:p w14:paraId="31DF2610" w14:textId="1730948C" w:rsidR="00B6275A" w:rsidRPr="00B6275A" w:rsidRDefault="00B6275A" w:rsidP="00B6275A">
      <w:pPr>
        <w:pBdr>
          <w:top w:val="single" w:sz="4" w:space="1" w:color="auto"/>
          <w:left w:val="single" w:sz="4" w:space="4" w:color="auto"/>
          <w:bottom w:val="single" w:sz="4" w:space="1" w:color="auto"/>
          <w:right w:val="single" w:sz="4" w:space="4" w:color="auto"/>
        </w:pBdr>
        <w:rPr>
          <w:sz w:val="28"/>
          <w:szCs w:val="28"/>
        </w:rPr>
      </w:pPr>
      <w:r w:rsidRPr="00B6275A">
        <w:rPr>
          <w:sz w:val="28"/>
          <w:szCs w:val="28"/>
        </w:rPr>
        <w:t>The EPDP Team recommends that the specifically-identified data elements under</w:t>
      </w:r>
      <w:r>
        <w:rPr>
          <w:sz w:val="28"/>
          <w:szCs w:val="28"/>
        </w:rPr>
        <w:t xml:space="preserve"> </w:t>
      </w:r>
      <w:r w:rsidRPr="00B6275A">
        <w:rPr>
          <w:sz w:val="28"/>
          <w:szCs w:val="28"/>
        </w:rPr>
        <w:t>“[t]</w:t>
      </w:r>
      <w:proofErr w:type="spellStart"/>
      <w:r w:rsidRPr="00B6275A">
        <w:rPr>
          <w:sz w:val="28"/>
          <w:szCs w:val="28"/>
        </w:rPr>
        <w:t>ransmission</w:t>
      </w:r>
      <w:proofErr w:type="spellEnd"/>
      <w:r w:rsidRPr="00B6275A">
        <w:rPr>
          <w:sz w:val="28"/>
          <w:szCs w:val="28"/>
        </w:rPr>
        <w:t xml:space="preserve"> of registration data from Registrar to Registry” within the data elements</w:t>
      </w:r>
      <w:r>
        <w:rPr>
          <w:sz w:val="28"/>
          <w:szCs w:val="28"/>
        </w:rPr>
        <w:t xml:space="preserve"> </w:t>
      </w:r>
      <w:r w:rsidRPr="00B6275A">
        <w:rPr>
          <w:sz w:val="28"/>
          <w:szCs w:val="28"/>
        </w:rPr>
        <w:t>workbooks must be transferred from Registrar to Registry. In the aggregate, these data</w:t>
      </w:r>
      <w:r>
        <w:rPr>
          <w:sz w:val="28"/>
          <w:szCs w:val="28"/>
        </w:rPr>
        <w:t xml:space="preserve"> </w:t>
      </w:r>
      <w:r w:rsidRPr="00B6275A">
        <w:rPr>
          <w:sz w:val="28"/>
          <w:szCs w:val="28"/>
        </w:rPr>
        <w:t>elements are</w:t>
      </w:r>
      <w:r>
        <w:rPr>
          <w:sz w:val="28"/>
          <w:szCs w:val="28"/>
        </w:rPr>
        <w:t xml:space="preserve"> </w:t>
      </w:r>
      <w:r>
        <w:rPr>
          <w:sz w:val="28"/>
          <w:szCs w:val="28"/>
        </w:rPr>
        <w:t>&lt;See Initial Report&gt;.</w:t>
      </w:r>
    </w:p>
    <w:p w14:paraId="58C41478" w14:textId="77777777" w:rsidR="00B6275A" w:rsidRDefault="00B6275A" w:rsidP="00B6275A">
      <w:pPr>
        <w:rPr>
          <w:b/>
          <w:sz w:val="28"/>
          <w:szCs w:val="28"/>
        </w:rPr>
      </w:pPr>
    </w:p>
    <w:p w14:paraId="75522591" w14:textId="77777777" w:rsidR="00B6275A" w:rsidRPr="00667710" w:rsidRDefault="00B6275A" w:rsidP="00B6275A">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6B78340B" w14:textId="77777777" w:rsidR="00B6275A" w:rsidRDefault="00B6275A" w:rsidP="00B6275A">
      <w:pPr>
        <w:rPr>
          <w:b/>
          <w:sz w:val="28"/>
          <w:szCs w:val="28"/>
        </w:rPr>
      </w:pPr>
    </w:p>
    <w:p w14:paraId="7D717A4F" w14:textId="77777777" w:rsidR="00B6275A" w:rsidRDefault="00B6275A" w:rsidP="00B6275A">
      <w:pPr>
        <w:rPr>
          <w:b/>
          <w:sz w:val="28"/>
          <w:szCs w:val="28"/>
        </w:rPr>
      </w:pPr>
      <w:r>
        <w:rPr>
          <w:b/>
          <w:sz w:val="28"/>
          <w:szCs w:val="28"/>
        </w:rPr>
        <w:t>Noted Concerns</w:t>
      </w:r>
    </w:p>
    <w:p w14:paraId="056E33B2" w14:textId="77777777" w:rsidR="00B6275A" w:rsidRDefault="00B6275A" w:rsidP="00B6275A">
      <w:pPr>
        <w:rPr>
          <w:b/>
          <w:sz w:val="28"/>
          <w:szCs w:val="28"/>
        </w:rPr>
      </w:pPr>
    </w:p>
    <w:tbl>
      <w:tblPr>
        <w:tblStyle w:val="TableGrid"/>
        <w:tblW w:w="0" w:type="auto"/>
        <w:tblLook w:val="04A0" w:firstRow="1" w:lastRow="0" w:firstColumn="1" w:lastColumn="0" w:noHBand="0" w:noVBand="1"/>
      </w:tblPr>
      <w:tblGrid>
        <w:gridCol w:w="8635"/>
        <w:gridCol w:w="2970"/>
        <w:gridCol w:w="2785"/>
      </w:tblGrid>
      <w:tr w:rsidR="00B6275A" w14:paraId="57E3D971" w14:textId="77777777" w:rsidTr="005439F2">
        <w:tc>
          <w:tcPr>
            <w:tcW w:w="8635" w:type="dxa"/>
            <w:shd w:val="clear" w:color="auto" w:fill="F7CAAC" w:themeFill="accent2" w:themeFillTint="66"/>
          </w:tcPr>
          <w:p w14:paraId="6FC1E50A" w14:textId="77777777" w:rsidR="00B6275A" w:rsidRDefault="00B6275A" w:rsidP="005439F2">
            <w:pPr>
              <w:rPr>
                <w:b/>
                <w:sz w:val="28"/>
                <w:szCs w:val="28"/>
              </w:rPr>
            </w:pPr>
            <w:r>
              <w:rPr>
                <w:b/>
                <w:sz w:val="28"/>
                <w:szCs w:val="28"/>
              </w:rPr>
              <w:t>Concern</w:t>
            </w:r>
          </w:p>
        </w:tc>
        <w:tc>
          <w:tcPr>
            <w:tcW w:w="2970" w:type="dxa"/>
            <w:shd w:val="clear" w:color="auto" w:fill="F7CAAC" w:themeFill="accent2" w:themeFillTint="66"/>
          </w:tcPr>
          <w:p w14:paraId="7C7CA55E" w14:textId="77777777" w:rsidR="00B6275A" w:rsidRDefault="00B6275A" w:rsidP="005439F2">
            <w:pPr>
              <w:rPr>
                <w:b/>
                <w:sz w:val="28"/>
                <w:szCs w:val="28"/>
              </w:rPr>
            </w:pPr>
            <w:r>
              <w:rPr>
                <w:b/>
                <w:sz w:val="28"/>
                <w:szCs w:val="28"/>
              </w:rPr>
              <w:t>Corresponding PCRT Comment #</w:t>
            </w:r>
          </w:p>
        </w:tc>
        <w:tc>
          <w:tcPr>
            <w:tcW w:w="2785" w:type="dxa"/>
            <w:shd w:val="clear" w:color="auto" w:fill="F7CAAC" w:themeFill="accent2" w:themeFillTint="66"/>
          </w:tcPr>
          <w:p w14:paraId="54E1075A" w14:textId="77777777" w:rsidR="00B6275A" w:rsidRDefault="00B6275A" w:rsidP="005439F2">
            <w:pPr>
              <w:rPr>
                <w:b/>
                <w:sz w:val="28"/>
                <w:szCs w:val="28"/>
              </w:rPr>
            </w:pPr>
            <w:r>
              <w:rPr>
                <w:b/>
                <w:sz w:val="28"/>
                <w:szCs w:val="28"/>
              </w:rPr>
              <w:t>Further Discussion Required?</w:t>
            </w:r>
          </w:p>
        </w:tc>
      </w:tr>
      <w:tr w:rsidR="00B6275A" w14:paraId="12E2B2B3" w14:textId="77777777" w:rsidTr="005439F2">
        <w:tc>
          <w:tcPr>
            <w:tcW w:w="8635" w:type="dxa"/>
          </w:tcPr>
          <w:p w14:paraId="01B4DFC7" w14:textId="77777777" w:rsidR="00B6275A" w:rsidRDefault="00B6275A" w:rsidP="005439F2">
            <w:pPr>
              <w:rPr>
                <w:sz w:val="28"/>
                <w:szCs w:val="28"/>
              </w:rPr>
            </w:pPr>
            <w:r>
              <w:rPr>
                <w:sz w:val="28"/>
                <w:szCs w:val="28"/>
              </w:rPr>
              <w:t>A</w:t>
            </w:r>
            <w:r w:rsidRPr="00B6275A">
              <w:rPr>
                <w:sz w:val="28"/>
                <w:szCs w:val="28"/>
              </w:rPr>
              <w:t xml:space="preserve">ll data should be transferred to the registry in compliance with ICANN consensus policy on transitioning data from thin </w:t>
            </w:r>
            <w:proofErr w:type="spellStart"/>
            <w:r w:rsidRPr="00B6275A">
              <w:rPr>
                <w:sz w:val="28"/>
                <w:szCs w:val="28"/>
              </w:rPr>
              <w:t>to</w:t>
            </w:r>
            <w:proofErr w:type="spellEnd"/>
            <w:r w:rsidRPr="00B6275A">
              <w:rPr>
                <w:sz w:val="28"/>
                <w:szCs w:val="28"/>
              </w:rPr>
              <w:t xml:space="preserve"> thick for the remaining thin registries, including for the .com and .net. top level domains. The GDPR should not impact the remaining transition from thin to thick and transferring data from the registrar to the registry can be readily completed in a manner that is</w:t>
            </w:r>
            <w:r>
              <w:rPr>
                <w:sz w:val="28"/>
                <w:szCs w:val="28"/>
              </w:rPr>
              <w:t xml:space="preserve"> </w:t>
            </w:r>
            <w:r w:rsidRPr="00B6275A">
              <w:rPr>
                <w:sz w:val="28"/>
                <w:szCs w:val="28"/>
              </w:rPr>
              <w:t>compliant with the GDPR</w:t>
            </w:r>
            <w:r>
              <w:rPr>
                <w:sz w:val="28"/>
                <w:szCs w:val="28"/>
              </w:rPr>
              <w:t>.</w:t>
            </w:r>
          </w:p>
          <w:p w14:paraId="0BDDE9C7" w14:textId="77777777" w:rsidR="00B6275A" w:rsidRDefault="00B6275A" w:rsidP="005439F2">
            <w:pPr>
              <w:rPr>
                <w:sz w:val="28"/>
                <w:szCs w:val="28"/>
              </w:rPr>
            </w:pPr>
          </w:p>
          <w:p w14:paraId="5B19A468" w14:textId="1FC7854C" w:rsidR="00B6275A" w:rsidRDefault="00B6275A" w:rsidP="005439F2">
            <w:pPr>
              <w:rPr>
                <w:sz w:val="28"/>
                <w:szCs w:val="28"/>
              </w:rPr>
            </w:pPr>
            <w:r>
              <w:rPr>
                <w:sz w:val="28"/>
                <w:szCs w:val="28"/>
              </w:rPr>
              <w:t>[</w:t>
            </w:r>
            <w:r w:rsidRPr="00B6275A">
              <w:rPr>
                <w:sz w:val="28"/>
                <w:szCs w:val="28"/>
              </w:rPr>
              <w:t>Sometimes in the course of an investigation it is more effective, or even required, to work with a registry</w:t>
            </w:r>
            <w:r>
              <w:rPr>
                <w:sz w:val="28"/>
                <w:szCs w:val="28"/>
              </w:rPr>
              <w:t xml:space="preserve"> </w:t>
            </w:r>
            <w:r w:rsidRPr="00B6275A">
              <w:rPr>
                <w:sz w:val="28"/>
                <w:szCs w:val="28"/>
              </w:rPr>
              <w:t>than the registrar.   For example, registrars manage only subsets under a given extension. If the legitimate purpose involves large numbers of domains, then it is more logical to work with a Thick registry. In another example, a registrar may be nonresponsive to lawful requests from a third party. In those cases, it is better if the registry holds a copy of the data</w:t>
            </w:r>
            <w:r>
              <w:rPr>
                <w:sz w:val="28"/>
                <w:szCs w:val="28"/>
              </w:rPr>
              <w:t>.]</w:t>
            </w:r>
          </w:p>
        </w:tc>
        <w:tc>
          <w:tcPr>
            <w:tcW w:w="2970" w:type="dxa"/>
          </w:tcPr>
          <w:p w14:paraId="202079FD" w14:textId="77777777" w:rsidR="00B6275A" w:rsidRDefault="00B6275A" w:rsidP="005439F2">
            <w:pPr>
              <w:rPr>
                <w:sz w:val="28"/>
                <w:szCs w:val="28"/>
              </w:rPr>
            </w:pPr>
            <w:r>
              <w:rPr>
                <w:sz w:val="28"/>
                <w:szCs w:val="28"/>
              </w:rPr>
              <w:t xml:space="preserve">3, 4 </w:t>
            </w:r>
          </w:p>
          <w:p w14:paraId="01C51A41" w14:textId="1A3E0470" w:rsidR="00B6275A" w:rsidRDefault="00B6275A" w:rsidP="005439F2">
            <w:pPr>
              <w:rPr>
                <w:sz w:val="28"/>
                <w:szCs w:val="28"/>
              </w:rPr>
            </w:pPr>
            <w:r>
              <w:rPr>
                <w:sz w:val="28"/>
                <w:szCs w:val="28"/>
              </w:rPr>
              <w:t>(Coalition for Online Accountability, BC, MarkMonitor, Microsoft</w:t>
            </w:r>
          </w:p>
        </w:tc>
        <w:tc>
          <w:tcPr>
            <w:tcW w:w="2785" w:type="dxa"/>
          </w:tcPr>
          <w:p w14:paraId="018CD562" w14:textId="7D590397" w:rsidR="00B6275A" w:rsidRPr="00362929" w:rsidRDefault="00B6275A" w:rsidP="005439F2">
            <w:pPr>
              <w:rPr>
                <w:sz w:val="28"/>
                <w:szCs w:val="28"/>
              </w:rPr>
            </w:pPr>
            <w:r>
              <w:rPr>
                <w:sz w:val="28"/>
                <w:szCs w:val="28"/>
              </w:rPr>
              <w:t>Yes/No</w:t>
            </w:r>
          </w:p>
        </w:tc>
      </w:tr>
      <w:tr w:rsidR="00B6275A" w14:paraId="1C888069" w14:textId="77777777" w:rsidTr="005439F2">
        <w:tc>
          <w:tcPr>
            <w:tcW w:w="8635" w:type="dxa"/>
          </w:tcPr>
          <w:p w14:paraId="22D0AF93" w14:textId="665FC26D" w:rsidR="00B6275A" w:rsidRDefault="00B6275A" w:rsidP="005439F2">
            <w:pPr>
              <w:rPr>
                <w:sz w:val="28"/>
                <w:szCs w:val="28"/>
              </w:rPr>
            </w:pPr>
            <w:r w:rsidRPr="00B6275A">
              <w:rPr>
                <w:sz w:val="28"/>
                <w:szCs w:val="28"/>
              </w:rPr>
              <w:t>ALL data elements are to automatically transferred or better REPLICATED for the</w:t>
            </w:r>
            <w:r>
              <w:rPr>
                <w:sz w:val="28"/>
                <w:szCs w:val="28"/>
              </w:rPr>
              <w:t xml:space="preserve"> </w:t>
            </w:r>
            <w:r w:rsidRPr="00B6275A">
              <w:rPr>
                <w:sz w:val="28"/>
                <w:szCs w:val="28"/>
              </w:rPr>
              <w:t xml:space="preserve">Registry. The Registry is to be deemed the ultimate custodian and broadly accountable for any data collected by the Registrar / Reseller by a </w:t>
            </w:r>
            <w:r w:rsidRPr="00B6275A">
              <w:rPr>
                <w:sz w:val="28"/>
                <w:szCs w:val="28"/>
              </w:rPr>
              <w:lastRenderedPageBreak/>
              <w:t>system of Data Control agreements initiated by the Registry,</w:t>
            </w:r>
            <w:r>
              <w:rPr>
                <w:sz w:val="28"/>
                <w:szCs w:val="28"/>
              </w:rPr>
              <w:t xml:space="preserve"> </w:t>
            </w:r>
            <w:r w:rsidRPr="00B6275A">
              <w:rPr>
                <w:sz w:val="28"/>
                <w:szCs w:val="28"/>
              </w:rPr>
              <w:t>binding on the Registrar and through the Registrar on the Reseller.</w:t>
            </w:r>
          </w:p>
        </w:tc>
        <w:tc>
          <w:tcPr>
            <w:tcW w:w="2970" w:type="dxa"/>
          </w:tcPr>
          <w:p w14:paraId="3AEC4D47" w14:textId="138CC577" w:rsidR="00B6275A" w:rsidRDefault="00B6275A" w:rsidP="005439F2">
            <w:pPr>
              <w:rPr>
                <w:sz w:val="28"/>
                <w:szCs w:val="28"/>
              </w:rPr>
            </w:pPr>
            <w:r>
              <w:rPr>
                <w:sz w:val="28"/>
                <w:szCs w:val="28"/>
              </w:rPr>
              <w:lastRenderedPageBreak/>
              <w:t>6, Internet Society India Chennai</w:t>
            </w:r>
          </w:p>
        </w:tc>
        <w:tc>
          <w:tcPr>
            <w:tcW w:w="2785" w:type="dxa"/>
          </w:tcPr>
          <w:p w14:paraId="165D8373" w14:textId="22047349" w:rsidR="00B6275A" w:rsidRDefault="00B6275A" w:rsidP="005439F2">
            <w:pPr>
              <w:rPr>
                <w:sz w:val="28"/>
                <w:szCs w:val="28"/>
              </w:rPr>
            </w:pPr>
            <w:r>
              <w:rPr>
                <w:sz w:val="28"/>
                <w:szCs w:val="28"/>
              </w:rPr>
              <w:t>Yes/No</w:t>
            </w:r>
          </w:p>
        </w:tc>
      </w:tr>
      <w:tr w:rsidR="00B6275A" w14:paraId="7D4A8FBB" w14:textId="77777777" w:rsidTr="005439F2">
        <w:tc>
          <w:tcPr>
            <w:tcW w:w="8635" w:type="dxa"/>
          </w:tcPr>
          <w:p w14:paraId="556C71FB" w14:textId="08CE0430" w:rsidR="00B6275A" w:rsidRDefault="00B6275A" w:rsidP="005439F2">
            <w:pPr>
              <w:rPr>
                <w:sz w:val="28"/>
                <w:szCs w:val="28"/>
              </w:rPr>
            </w:pPr>
            <w:r w:rsidRPr="00B6275A">
              <w:rPr>
                <w:sz w:val="28"/>
                <w:szCs w:val="28"/>
              </w:rPr>
              <w:t>Transfer of these data elements is appropriate and legal under GDPR</w:t>
            </w:r>
          </w:p>
        </w:tc>
        <w:tc>
          <w:tcPr>
            <w:tcW w:w="2970" w:type="dxa"/>
          </w:tcPr>
          <w:p w14:paraId="3C5D987B" w14:textId="7DDA037C" w:rsidR="00B6275A" w:rsidRDefault="00B6275A" w:rsidP="005439F2">
            <w:pPr>
              <w:rPr>
                <w:sz w:val="28"/>
                <w:szCs w:val="28"/>
              </w:rPr>
            </w:pPr>
            <w:r>
              <w:rPr>
                <w:sz w:val="28"/>
                <w:szCs w:val="28"/>
              </w:rPr>
              <w:t>7, Internet Governance Project</w:t>
            </w:r>
          </w:p>
        </w:tc>
        <w:tc>
          <w:tcPr>
            <w:tcW w:w="2785" w:type="dxa"/>
          </w:tcPr>
          <w:p w14:paraId="6DAF688B" w14:textId="54228120" w:rsidR="00B6275A" w:rsidRDefault="00B6275A" w:rsidP="005439F2">
            <w:pPr>
              <w:rPr>
                <w:sz w:val="28"/>
                <w:szCs w:val="28"/>
              </w:rPr>
            </w:pPr>
            <w:r>
              <w:rPr>
                <w:sz w:val="28"/>
                <w:szCs w:val="28"/>
              </w:rPr>
              <w:t>Yes/No</w:t>
            </w:r>
          </w:p>
        </w:tc>
      </w:tr>
      <w:tr w:rsidR="00B6275A" w14:paraId="30E22C9C" w14:textId="77777777" w:rsidTr="005439F2">
        <w:tc>
          <w:tcPr>
            <w:tcW w:w="8635" w:type="dxa"/>
          </w:tcPr>
          <w:p w14:paraId="52897BF9" w14:textId="77777777" w:rsidR="00B6275A" w:rsidRDefault="00B6275A" w:rsidP="005439F2">
            <w:pPr>
              <w:rPr>
                <w:sz w:val="28"/>
                <w:szCs w:val="28"/>
              </w:rPr>
            </w:pPr>
            <w:r w:rsidRPr="00B6275A">
              <w:rPr>
                <w:sz w:val="28"/>
                <w:szCs w:val="28"/>
              </w:rPr>
              <w:t>Once registration records have been appropriately redacted, then the transmission of the redacted data elements to the registry may be appropriate and legal under the GDPR.</w:t>
            </w:r>
          </w:p>
          <w:p w14:paraId="05365D48" w14:textId="77777777" w:rsidR="00B6275A" w:rsidRDefault="00B6275A" w:rsidP="005439F2">
            <w:pPr>
              <w:rPr>
                <w:sz w:val="28"/>
                <w:szCs w:val="28"/>
              </w:rPr>
            </w:pPr>
          </w:p>
          <w:p w14:paraId="49F5DC62" w14:textId="77777777" w:rsidR="00B6275A" w:rsidRDefault="00B6275A" w:rsidP="005439F2">
            <w:pPr>
              <w:rPr>
                <w:sz w:val="28"/>
                <w:szCs w:val="28"/>
              </w:rPr>
            </w:pPr>
            <w:r w:rsidRPr="00B6275A">
              <w:rPr>
                <w:sz w:val="28"/>
                <w:szCs w:val="28"/>
              </w:rPr>
              <w:t>However, we note that the registries of ICANN are expressly not required to be in the member states of the European Union or in territories declared “adequate” by the relevant authorities. We have seen many new gTLD registries incorporated in countries which do not have comprehensive data protection laws (and do have strong laws requiring the sharing of data with law enforcement), including the United States.</w:t>
            </w:r>
            <w:r>
              <w:rPr>
                <w:sz w:val="28"/>
                <w:szCs w:val="28"/>
              </w:rPr>
              <w:t xml:space="preserve"> (Please see comment.)</w:t>
            </w:r>
          </w:p>
          <w:p w14:paraId="43C4E367" w14:textId="77777777" w:rsidR="00B6275A" w:rsidRDefault="00B6275A" w:rsidP="005439F2">
            <w:pPr>
              <w:rPr>
                <w:sz w:val="28"/>
                <w:szCs w:val="28"/>
              </w:rPr>
            </w:pPr>
          </w:p>
          <w:p w14:paraId="2157C14C" w14:textId="4A67F041" w:rsidR="00B6275A" w:rsidRDefault="00B6275A" w:rsidP="005439F2">
            <w:pPr>
              <w:rPr>
                <w:sz w:val="28"/>
                <w:szCs w:val="28"/>
              </w:rPr>
            </w:pPr>
            <w:r>
              <w:rPr>
                <w:sz w:val="28"/>
                <w:szCs w:val="28"/>
              </w:rPr>
              <w:t>[</w:t>
            </w:r>
            <w:r w:rsidRPr="00B6275A">
              <w:rPr>
                <w:sz w:val="28"/>
                <w:szCs w:val="28"/>
              </w:rPr>
              <w:t>No personal or sensitive data elements should be transmitted from registrar to registry</w:t>
            </w:r>
            <w:r>
              <w:rPr>
                <w:sz w:val="28"/>
                <w:szCs w:val="28"/>
              </w:rPr>
              <w:t>.]</w:t>
            </w:r>
          </w:p>
        </w:tc>
        <w:tc>
          <w:tcPr>
            <w:tcW w:w="2970" w:type="dxa"/>
          </w:tcPr>
          <w:p w14:paraId="3E9F42D9" w14:textId="2708F19D" w:rsidR="00B6275A" w:rsidRDefault="00B6275A" w:rsidP="005439F2">
            <w:pPr>
              <w:rPr>
                <w:sz w:val="28"/>
                <w:szCs w:val="28"/>
              </w:rPr>
            </w:pPr>
            <w:r>
              <w:rPr>
                <w:sz w:val="28"/>
                <w:szCs w:val="28"/>
              </w:rPr>
              <w:t>8, 13 (NCSG, Domain Name Rights Coalition)</w:t>
            </w:r>
          </w:p>
        </w:tc>
        <w:tc>
          <w:tcPr>
            <w:tcW w:w="2785" w:type="dxa"/>
          </w:tcPr>
          <w:p w14:paraId="7ED4482F" w14:textId="61150221" w:rsidR="00B6275A" w:rsidRDefault="00B6275A" w:rsidP="005439F2">
            <w:pPr>
              <w:rPr>
                <w:sz w:val="28"/>
                <w:szCs w:val="28"/>
              </w:rPr>
            </w:pPr>
            <w:r>
              <w:rPr>
                <w:sz w:val="28"/>
                <w:szCs w:val="28"/>
              </w:rPr>
              <w:t>Yes/No</w:t>
            </w:r>
          </w:p>
        </w:tc>
      </w:tr>
      <w:tr w:rsidR="00B6275A" w14:paraId="17CC3BFF" w14:textId="77777777" w:rsidTr="005439F2">
        <w:tc>
          <w:tcPr>
            <w:tcW w:w="8635" w:type="dxa"/>
          </w:tcPr>
          <w:p w14:paraId="78B53CF7" w14:textId="6A16AC90" w:rsidR="00B6275A" w:rsidRDefault="00B6275A" w:rsidP="005439F2">
            <w:pPr>
              <w:rPr>
                <w:sz w:val="28"/>
                <w:szCs w:val="28"/>
              </w:rPr>
            </w:pPr>
            <w:r w:rsidRPr="00B6275A">
              <w:rPr>
                <w:sz w:val="28"/>
                <w:szCs w:val="28"/>
              </w:rPr>
              <w:t>The transfer of data from registrar to registry can only take place based on different purposes and different legal grounds. Where the processing is based on Art. 6 I b GDPR to perform the contract, it can unconditionally be transferred. Where the processing takes place based on Art. 6 I f GDPR, it can only take place if the registry actually asserts to have a legitimate interest in such processing. Absent the assertion of such interest, no data shall be transferred based on Art. 6 I f GDPR.</w:t>
            </w:r>
          </w:p>
        </w:tc>
        <w:tc>
          <w:tcPr>
            <w:tcW w:w="2970" w:type="dxa"/>
          </w:tcPr>
          <w:p w14:paraId="5BF0D194" w14:textId="02E703EE" w:rsidR="00B6275A" w:rsidRDefault="00B6275A" w:rsidP="005439F2">
            <w:pPr>
              <w:rPr>
                <w:sz w:val="28"/>
                <w:szCs w:val="28"/>
              </w:rPr>
            </w:pPr>
            <w:r>
              <w:rPr>
                <w:sz w:val="28"/>
                <w:szCs w:val="28"/>
              </w:rPr>
              <w:t>9 (Association of Internet Industry, ISPCP)</w:t>
            </w:r>
          </w:p>
        </w:tc>
        <w:tc>
          <w:tcPr>
            <w:tcW w:w="2785" w:type="dxa"/>
          </w:tcPr>
          <w:p w14:paraId="40A512BA" w14:textId="62C992EE" w:rsidR="00B6275A" w:rsidRDefault="00B6275A" w:rsidP="005439F2">
            <w:pPr>
              <w:rPr>
                <w:sz w:val="28"/>
                <w:szCs w:val="28"/>
              </w:rPr>
            </w:pPr>
            <w:r>
              <w:rPr>
                <w:sz w:val="28"/>
                <w:szCs w:val="28"/>
              </w:rPr>
              <w:t>Yes/No</w:t>
            </w:r>
          </w:p>
        </w:tc>
      </w:tr>
      <w:tr w:rsidR="00B6275A" w14:paraId="54EF3CA2" w14:textId="77777777" w:rsidTr="005439F2">
        <w:tc>
          <w:tcPr>
            <w:tcW w:w="8635" w:type="dxa"/>
          </w:tcPr>
          <w:p w14:paraId="71BC3DC7" w14:textId="1DC607DA" w:rsidR="00B6275A" w:rsidRDefault="00B6275A" w:rsidP="005439F2">
            <w:pPr>
              <w:rPr>
                <w:sz w:val="28"/>
                <w:szCs w:val="28"/>
              </w:rPr>
            </w:pPr>
            <w:r w:rsidRPr="00B6275A">
              <w:rPr>
                <w:sz w:val="28"/>
                <w:szCs w:val="28"/>
              </w:rPr>
              <w:t>Domain Name,</w:t>
            </w:r>
            <w:r>
              <w:rPr>
                <w:sz w:val="28"/>
                <w:szCs w:val="28"/>
              </w:rPr>
              <w:t xml:space="preserve"> </w:t>
            </w:r>
            <w:r w:rsidRPr="00B6275A">
              <w:rPr>
                <w:sz w:val="28"/>
                <w:szCs w:val="28"/>
              </w:rPr>
              <w:t>Updated Date, Creation Date, Registry Expiry Date, Registrar, Name Servers (plural for nameservers!)</w:t>
            </w:r>
            <w:r>
              <w:rPr>
                <w:sz w:val="28"/>
                <w:szCs w:val="28"/>
              </w:rPr>
              <w:t xml:space="preserve"> </w:t>
            </w:r>
          </w:p>
          <w:p w14:paraId="26A34CE4" w14:textId="239109E6" w:rsidR="00B6275A" w:rsidRDefault="00B6275A" w:rsidP="005439F2">
            <w:pPr>
              <w:rPr>
                <w:sz w:val="28"/>
                <w:szCs w:val="28"/>
              </w:rPr>
            </w:pPr>
            <w:r w:rsidRPr="00B6275A">
              <w:rPr>
                <w:sz w:val="28"/>
                <w:szCs w:val="28"/>
              </w:rPr>
              <w:t>To accommodate privacy concerns in a multinational contact, supportive of returning to the</w:t>
            </w:r>
            <w:r>
              <w:rPr>
                <w:sz w:val="28"/>
                <w:szCs w:val="28"/>
              </w:rPr>
              <w:t xml:space="preserve"> </w:t>
            </w:r>
            <w:r w:rsidRPr="00B6275A">
              <w:rPr>
                <w:sz w:val="28"/>
                <w:szCs w:val="28"/>
              </w:rPr>
              <w:t>"Thin WHOIS" model, just like .com, so most of these fields are not necessary (just the obvious ones like nameservers, registrar</w:t>
            </w:r>
            <w:r>
              <w:rPr>
                <w:sz w:val="28"/>
                <w:szCs w:val="28"/>
              </w:rPr>
              <w:t xml:space="preserve"> </w:t>
            </w:r>
            <w:proofErr w:type="gramStart"/>
            <w:r w:rsidRPr="00B6275A">
              <w:rPr>
                <w:sz w:val="28"/>
                <w:szCs w:val="28"/>
              </w:rPr>
              <w:lastRenderedPageBreak/>
              <w:t>are</w:t>
            </w:r>
            <w:proofErr w:type="gramEnd"/>
            <w:r w:rsidRPr="00B6275A">
              <w:rPr>
                <w:sz w:val="28"/>
                <w:szCs w:val="28"/>
              </w:rPr>
              <w:t xml:space="preserve"> needed, as per the current output of Internic.net for WHOIS of .com domains).</w:t>
            </w:r>
          </w:p>
        </w:tc>
        <w:tc>
          <w:tcPr>
            <w:tcW w:w="2970" w:type="dxa"/>
          </w:tcPr>
          <w:p w14:paraId="61C99979" w14:textId="78ADE366" w:rsidR="00B6275A" w:rsidRDefault="00B6275A" w:rsidP="005439F2">
            <w:pPr>
              <w:rPr>
                <w:sz w:val="28"/>
                <w:szCs w:val="28"/>
              </w:rPr>
            </w:pPr>
            <w:r>
              <w:rPr>
                <w:sz w:val="28"/>
                <w:szCs w:val="28"/>
              </w:rPr>
              <w:lastRenderedPageBreak/>
              <w:t xml:space="preserve">11, George </w:t>
            </w:r>
            <w:proofErr w:type="spellStart"/>
            <w:r>
              <w:rPr>
                <w:sz w:val="28"/>
                <w:szCs w:val="28"/>
              </w:rPr>
              <w:t>Kirikos</w:t>
            </w:r>
            <w:proofErr w:type="spellEnd"/>
          </w:p>
        </w:tc>
        <w:tc>
          <w:tcPr>
            <w:tcW w:w="2785" w:type="dxa"/>
          </w:tcPr>
          <w:p w14:paraId="0E119E36" w14:textId="4609B16C" w:rsidR="00B6275A" w:rsidRDefault="00B6275A" w:rsidP="005439F2">
            <w:pPr>
              <w:rPr>
                <w:sz w:val="28"/>
                <w:szCs w:val="28"/>
              </w:rPr>
            </w:pPr>
            <w:r>
              <w:rPr>
                <w:sz w:val="28"/>
                <w:szCs w:val="28"/>
              </w:rPr>
              <w:t>Yes/No</w:t>
            </w:r>
          </w:p>
        </w:tc>
      </w:tr>
      <w:tr w:rsidR="00B6275A" w14:paraId="6DBA0264" w14:textId="77777777" w:rsidTr="005439F2">
        <w:tc>
          <w:tcPr>
            <w:tcW w:w="8635" w:type="dxa"/>
          </w:tcPr>
          <w:p w14:paraId="31EF7C12" w14:textId="27E9C16B" w:rsidR="00B6275A" w:rsidRPr="00B6275A" w:rsidRDefault="00B6275A" w:rsidP="005439F2">
            <w:pPr>
              <w:rPr>
                <w:sz w:val="28"/>
                <w:szCs w:val="28"/>
              </w:rPr>
            </w:pPr>
            <w:r w:rsidRPr="00B6275A">
              <w:rPr>
                <w:sz w:val="28"/>
                <w:szCs w:val="28"/>
              </w:rPr>
              <w:t>Personal Data Transfer to a Registry - ICANN’s continuing requirement that registrars transmit all data collected to the relevant registry is counter to the GDPR’s principle of use of data only when a legitimate legal basis applies</w:t>
            </w:r>
          </w:p>
        </w:tc>
        <w:tc>
          <w:tcPr>
            <w:tcW w:w="2970" w:type="dxa"/>
          </w:tcPr>
          <w:p w14:paraId="4B779980" w14:textId="3207A4D3" w:rsidR="00B6275A" w:rsidRDefault="00B6275A" w:rsidP="005439F2">
            <w:pPr>
              <w:rPr>
                <w:sz w:val="28"/>
                <w:szCs w:val="28"/>
              </w:rPr>
            </w:pPr>
            <w:r>
              <w:rPr>
                <w:sz w:val="28"/>
                <w:szCs w:val="28"/>
              </w:rPr>
              <w:t>12, John Poole</w:t>
            </w:r>
          </w:p>
        </w:tc>
        <w:tc>
          <w:tcPr>
            <w:tcW w:w="2785" w:type="dxa"/>
          </w:tcPr>
          <w:p w14:paraId="4648B0F8" w14:textId="02143F3E" w:rsidR="00B6275A" w:rsidRDefault="00B6275A" w:rsidP="005439F2">
            <w:pPr>
              <w:rPr>
                <w:sz w:val="28"/>
                <w:szCs w:val="28"/>
              </w:rPr>
            </w:pPr>
            <w:r>
              <w:rPr>
                <w:sz w:val="28"/>
                <w:szCs w:val="28"/>
              </w:rPr>
              <w:t>Yes/No</w:t>
            </w:r>
          </w:p>
        </w:tc>
      </w:tr>
      <w:tr w:rsidR="00B6275A" w14:paraId="4875FBF8" w14:textId="77777777" w:rsidTr="005439F2">
        <w:tc>
          <w:tcPr>
            <w:tcW w:w="8635" w:type="dxa"/>
          </w:tcPr>
          <w:p w14:paraId="513265ED" w14:textId="67EA9A1C" w:rsidR="00B6275A" w:rsidRPr="00B6275A" w:rsidRDefault="00C31F6D" w:rsidP="005439F2">
            <w:pPr>
              <w:rPr>
                <w:sz w:val="28"/>
                <w:szCs w:val="28"/>
              </w:rPr>
            </w:pPr>
            <w:r w:rsidRPr="00C31F6D">
              <w:rPr>
                <w:sz w:val="28"/>
                <w:szCs w:val="28"/>
              </w:rPr>
              <w:t>None of the data elements which the registrar is required to collect should be transferred to the registry</w:t>
            </w:r>
            <w:r>
              <w:rPr>
                <w:sz w:val="28"/>
                <w:szCs w:val="28"/>
              </w:rPr>
              <w:t xml:space="preserve"> </w:t>
            </w:r>
            <w:r w:rsidRPr="00C31F6D">
              <w:rPr>
                <w:sz w:val="28"/>
                <w:szCs w:val="28"/>
              </w:rPr>
              <w:t>operator, with the exception of any elements required to fulfill the registry’s validation requirements.</w:t>
            </w:r>
            <w:r>
              <w:rPr>
                <w:sz w:val="28"/>
                <w:szCs w:val="28"/>
              </w:rPr>
              <w:t xml:space="preserve"> </w:t>
            </w:r>
            <w:r w:rsidRPr="00C31F6D">
              <w:rPr>
                <w:sz w:val="28"/>
                <w:szCs w:val="28"/>
              </w:rPr>
              <w:t>There’s no reason to transfer registration contact data to the registry, since the registrar holds the data</w:t>
            </w:r>
            <w:r>
              <w:rPr>
                <w:sz w:val="28"/>
                <w:szCs w:val="28"/>
              </w:rPr>
              <w:t xml:space="preserve"> </w:t>
            </w:r>
            <w:r w:rsidRPr="00C31F6D">
              <w:rPr>
                <w:sz w:val="28"/>
                <w:szCs w:val="28"/>
              </w:rPr>
              <w:t>and can identify who the RNH is.</w:t>
            </w:r>
          </w:p>
        </w:tc>
        <w:tc>
          <w:tcPr>
            <w:tcW w:w="2970" w:type="dxa"/>
          </w:tcPr>
          <w:p w14:paraId="157D0E7D" w14:textId="367F4F69" w:rsidR="00B6275A" w:rsidRDefault="00C31F6D" w:rsidP="005439F2">
            <w:pPr>
              <w:rPr>
                <w:sz w:val="28"/>
                <w:szCs w:val="28"/>
              </w:rPr>
            </w:pPr>
            <w:r>
              <w:rPr>
                <w:sz w:val="28"/>
                <w:szCs w:val="28"/>
              </w:rPr>
              <w:t>14, Tucows</w:t>
            </w:r>
          </w:p>
        </w:tc>
        <w:tc>
          <w:tcPr>
            <w:tcW w:w="2785" w:type="dxa"/>
          </w:tcPr>
          <w:p w14:paraId="79A19FA2" w14:textId="35589474" w:rsidR="00B6275A" w:rsidRDefault="00C31F6D" w:rsidP="005439F2">
            <w:pPr>
              <w:rPr>
                <w:sz w:val="28"/>
                <w:szCs w:val="28"/>
              </w:rPr>
            </w:pPr>
            <w:r>
              <w:rPr>
                <w:sz w:val="28"/>
                <w:szCs w:val="28"/>
              </w:rPr>
              <w:t>Yes/No</w:t>
            </w:r>
          </w:p>
        </w:tc>
      </w:tr>
      <w:tr w:rsidR="00C31F6D" w14:paraId="54EE436A" w14:textId="77777777" w:rsidTr="005439F2">
        <w:tc>
          <w:tcPr>
            <w:tcW w:w="8635" w:type="dxa"/>
          </w:tcPr>
          <w:p w14:paraId="58B9D2B5" w14:textId="2E271384" w:rsidR="00C31F6D" w:rsidRPr="00C31F6D" w:rsidRDefault="00C31F6D" w:rsidP="005439F2">
            <w:pPr>
              <w:rPr>
                <w:sz w:val="28"/>
                <w:szCs w:val="28"/>
              </w:rPr>
            </w:pPr>
            <w:r w:rsidRPr="00C31F6D">
              <w:rPr>
                <w:sz w:val="28"/>
                <w:szCs w:val="28"/>
              </w:rPr>
              <w:t>None of the registrant data is required by the registry. The only exception being registries with very specific policies around who can register in their TLD</w:t>
            </w:r>
            <w:r>
              <w:rPr>
                <w:sz w:val="28"/>
                <w:szCs w:val="28"/>
              </w:rPr>
              <w:t>.</w:t>
            </w:r>
          </w:p>
        </w:tc>
        <w:tc>
          <w:tcPr>
            <w:tcW w:w="2970" w:type="dxa"/>
          </w:tcPr>
          <w:p w14:paraId="6BD5604A" w14:textId="3E5E073B" w:rsidR="00C31F6D" w:rsidRDefault="00C31F6D" w:rsidP="005439F2">
            <w:pPr>
              <w:rPr>
                <w:sz w:val="28"/>
                <w:szCs w:val="28"/>
              </w:rPr>
            </w:pPr>
            <w:r>
              <w:rPr>
                <w:sz w:val="28"/>
                <w:szCs w:val="28"/>
              </w:rPr>
              <w:t>15, Blacknight</w:t>
            </w:r>
          </w:p>
        </w:tc>
        <w:tc>
          <w:tcPr>
            <w:tcW w:w="2785" w:type="dxa"/>
          </w:tcPr>
          <w:p w14:paraId="73DBDE5B" w14:textId="67689BEB" w:rsidR="00C31F6D" w:rsidRDefault="00C31F6D" w:rsidP="005439F2">
            <w:pPr>
              <w:rPr>
                <w:sz w:val="28"/>
                <w:szCs w:val="28"/>
              </w:rPr>
            </w:pPr>
            <w:r>
              <w:rPr>
                <w:sz w:val="28"/>
                <w:szCs w:val="28"/>
              </w:rPr>
              <w:t>Yes/No</w:t>
            </w:r>
          </w:p>
        </w:tc>
      </w:tr>
      <w:tr w:rsidR="00C31F6D" w14:paraId="52E5ED0E" w14:textId="77777777" w:rsidTr="005439F2">
        <w:tc>
          <w:tcPr>
            <w:tcW w:w="8635" w:type="dxa"/>
          </w:tcPr>
          <w:p w14:paraId="37A31AD5" w14:textId="77777777" w:rsidR="00C31F6D" w:rsidRDefault="00C31F6D" w:rsidP="005439F2">
            <w:pPr>
              <w:rPr>
                <w:sz w:val="28"/>
                <w:szCs w:val="28"/>
              </w:rPr>
            </w:pPr>
            <w:r w:rsidRPr="00C31F6D">
              <w:rPr>
                <w:sz w:val="28"/>
                <w:szCs w:val="28"/>
              </w:rPr>
              <w:t>Registries have not demonstrated that they need full WHOIS data for the DNS to function.</w:t>
            </w:r>
            <w:r>
              <w:rPr>
                <w:sz w:val="28"/>
                <w:szCs w:val="28"/>
              </w:rPr>
              <w:t xml:space="preserve"> </w:t>
            </w:r>
            <w:r w:rsidRPr="00C31F6D">
              <w:rPr>
                <w:sz w:val="28"/>
                <w:szCs w:val="28"/>
              </w:rPr>
              <w:t>Furthermore, they have not provided the legal justification for their potential use of this data that is not already covered by other purposes. If and when these conditions are satisfied, we are not opposed to</w:t>
            </w:r>
            <w:r>
              <w:rPr>
                <w:sz w:val="28"/>
                <w:szCs w:val="28"/>
              </w:rPr>
              <w:t xml:space="preserve"> </w:t>
            </w:r>
            <w:r w:rsidRPr="00C31F6D">
              <w:rPr>
                <w:sz w:val="28"/>
                <w:szCs w:val="28"/>
              </w:rPr>
              <w:t>sharing this data with registries</w:t>
            </w:r>
            <w:r>
              <w:rPr>
                <w:sz w:val="28"/>
                <w:szCs w:val="28"/>
              </w:rPr>
              <w:t>.</w:t>
            </w:r>
          </w:p>
          <w:p w14:paraId="1CA4CA5E" w14:textId="77777777" w:rsidR="00C31F6D" w:rsidRDefault="00C31F6D" w:rsidP="005439F2">
            <w:pPr>
              <w:rPr>
                <w:sz w:val="28"/>
                <w:szCs w:val="28"/>
              </w:rPr>
            </w:pPr>
          </w:p>
          <w:p w14:paraId="6682C4D1" w14:textId="1067ABB7" w:rsidR="00C31F6D" w:rsidRPr="00C31F6D" w:rsidRDefault="00C31F6D" w:rsidP="005439F2">
            <w:pPr>
              <w:rPr>
                <w:sz w:val="28"/>
                <w:szCs w:val="28"/>
              </w:rPr>
            </w:pPr>
            <w:r>
              <w:rPr>
                <w:sz w:val="28"/>
                <w:szCs w:val="28"/>
              </w:rPr>
              <w:t>[</w:t>
            </w:r>
            <w:r w:rsidRPr="00C31F6D">
              <w:rPr>
                <w:sz w:val="28"/>
                <w:szCs w:val="28"/>
              </w:rPr>
              <w:t>Transfer of data from registrar to registry would also expose that data to access requirements that may be unlawful in the jurisdiction that the registrar is based</w:t>
            </w:r>
            <w:r>
              <w:rPr>
                <w:sz w:val="28"/>
                <w:szCs w:val="28"/>
              </w:rPr>
              <w:t>.]</w:t>
            </w:r>
          </w:p>
        </w:tc>
        <w:tc>
          <w:tcPr>
            <w:tcW w:w="2970" w:type="dxa"/>
          </w:tcPr>
          <w:p w14:paraId="41C570B3" w14:textId="028C2B59" w:rsidR="00C31F6D" w:rsidRDefault="00C31F6D" w:rsidP="005439F2">
            <w:pPr>
              <w:rPr>
                <w:sz w:val="28"/>
                <w:szCs w:val="28"/>
              </w:rPr>
            </w:pPr>
            <w:r>
              <w:rPr>
                <w:sz w:val="28"/>
                <w:szCs w:val="28"/>
              </w:rPr>
              <w:t xml:space="preserve">16, 18 (GoDaddy, </w:t>
            </w:r>
            <w:proofErr w:type="spellStart"/>
            <w:r>
              <w:rPr>
                <w:sz w:val="28"/>
                <w:szCs w:val="28"/>
              </w:rPr>
              <w:t>RrSG</w:t>
            </w:r>
            <w:proofErr w:type="spellEnd"/>
            <w:r>
              <w:rPr>
                <w:sz w:val="28"/>
                <w:szCs w:val="28"/>
              </w:rPr>
              <w:t>)</w:t>
            </w:r>
          </w:p>
        </w:tc>
        <w:tc>
          <w:tcPr>
            <w:tcW w:w="2785" w:type="dxa"/>
          </w:tcPr>
          <w:p w14:paraId="4E8156A6" w14:textId="6F6DF8B0" w:rsidR="00C31F6D" w:rsidRDefault="00C31F6D" w:rsidP="005439F2">
            <w:pPr>
              <w:rPr>
                <w:sz w:val="28"/>
                <w:szCs w:val="28"/>
              </w:rPr>
            </w:pPr>
            <w:r>
              <w:rPr>
                <w:sz w:val="28"/>
                <w:szCs w:val="28"/>
              </w:rPr>
              <w:t>Yes/No</w:t>
            </w:r>
          </w:p>
        </w:tc>
      </w:tr>
      <w:tr w:rsidR="00C31F6D" w14:paraId="271764B7" w14:textId="77777777" w:rsidTr="005439F2">
        <w:tc>
          <w:tcPr>
            <w:tcW w:w="8635" w:type="dxa"/>
          </w:tcPr>
          <w:p w14:paraId="0F0E454C" w14:textId="3CD6E72C" w:rsidR="00C31F6D" w:rsidRPr="00C31F6D" w:rsidRDefault="00C31F6D" w:rsidP="005439F2">
            <w:pPr>
              <w:rPr>
                <w:sz w:val="28"/>
                <w:szCs w:val="28"/>
              </w:rPr>
            </w:pPr>
            <w:r w:rsidRPr="00C31F6D">
              <w:rPr>
                <w:sz w:val="28"/>
                <w:szCs w:val="28"/>
              </w:rPr>
              <w:t>Only those elements where a valid purpose of Ry exists and a valid data controller-processor agreement is in place. For such transfers, Ry is sole controller, Rr is processor of transferred data.</w:t>
            </w:r>
            <w:r>
              <w:rPr>
                <w:sz w:val="28"/>
                <w:szCs w:val="28"/>
              </w:rPr>
              <w:t xml:space="preserve"> </w:t>
            </w:r>
            <w:proofErr w:type="gramStart"/>
            <w:r w:rsidRPr="00C31F6D">
              <w:rPr>
                <w:sz w:val="28"/>
                <w:szCs w:val="28"/>
              </w:rPr>
              <w:t>Data</w:t>
            </w:r>
            <w:proofErr w:type="gramEnd"/>
            <w:r w:rsidRPr="00C31F6D">
              <w:rPr>
                <w:sz w:val="28"/>
                <w:szCs w:val="28"/>
              </w:rPr>
              <w:t xml:space="preserve"> transfers should only occur for valid purposes, not on general principle. Any transfer must meet the requirements for international transfer of personal data applicable to either party</w:t>
            </w:r>
          </w:p>
        </w:tc>
        <w:tc>
          <w:tcPr>
            <w:tcW w:w="2970" w:type="dxa"/>
          </w:tcPr>
          <w:p w14:paraId="31852D2E" w14:textId="54BEB527" w:rsidR="00C31F6D" w:rsidRDefault="00C31F6D" w:rsidP="005439F2">
            <w:pPr>
              <w:rPr>
                <w:sz w:val="28"/>
                <w:szCs w:val="28"/>
              </w:rPr>
            </w:pPr>
            <w:r>
              <w:rPr>
                <w:sz w:val="28"/>
                <w:szCs w:val="28"/>
              </w:rPr>
              <w:t>17, Key-Systems</w:t>
            </w:r>
          </w:p>
        </w:tc>
        <w:tc>
          <w:tcPr>
            <w:tcW w:w="2785" w:type="dxa"/>
          </w:tcPr>
          <w:p w14:paraId="5D231CDE" w14:textId="785862CD" w:rsidR="00C31F6D" w:rsidRDefault="00C31F6D" w:rsidP="005439F2">
            <w:pPr>
              <w:rPr>
                <w:sz w:val="28"/>
                <w:szCs w:val="28"/>
              </w:rPr>
            </w:pPr>
            <w:r>
              <w:rPr>
                <w:sz w:val="28"/>
                <w:szCs w:val="28"/>
              </w:rPr>
              <w:t>Yes/No</w:t>
            </w:r>
          </w:p>
        </w:tc>
      </w:tr>
      <w:tr w:rsidR="00C31F6D" w14:paraId="40FB5608" w14:textId="77777777" w:rsidTr="005439F2">
        <w:tc>
          <w:tcPr>
            <w:tcW w:w="8635" w:type="dxa"/>
          </w:tcPr>
          <w:p w14:paraId="3F56DCE6" w14:textId="518025A3" w:rsidR="00C31F6D" w:rsidRPr="00C31F6D" w:rsidRDefault="00C31F6D" w:rsidP="005439F2">
            <w:pPr>
              <w:rPr>
                <w:sz w:val="28"/>
                <w:szCs w:val="28"/>
              </w:rPr>
            </w:pPr>
            <w:r w:rsidRPr="00C31F6D">
              <w:rPr>
                <w:sz w:val="28"/>
                <w:szCs w:val="28"/>
              </w:rPr>
              <w:t xml:space="preserve">The RySG notes that the EPDP Team did not engage in a thorough discussion about the individual data elements that are required to be </w:t>
            </w:r>
            <w:r w:rsidRPr="00C31F6D">
              <w:rPr>
                <w:sz w:val="28"/>
                <w:szCs w:val="28"/>
              </w:rPr>
              <w:lastRenderedPageBreak/>
              <w:t>transferred from the registrar to the registry to fulfill the identified</w:t>
            </w:r>
            <w:r>
              <w:rPr>
                <w:sz w:val="28"/>
                <w:szCs w:val="28"/>
              </w:rPr>
              <w:t xml:space="preserve"> </w:t>
            </w:r>
            <w:r w:rsidRPr="00C31F6D">
              <w:rPr>
                <w:sz w:val="28"/>
                <w:szCs w:val="28"/>
              </w:rPr>
              <w:t>Purposes. The RySG defers comment on this recommendation, pending EPDP WG discussion and analysis of all individual data elements identified in Preliminary Recommendation 5.</w:t>
            </w:r>
          </w:p>
        </w:tc>
        <w:tc>
          <w:tcPr>
            <w:tcW w:w="2970" w:type="dxa"/>
          </w:tcPr>
          <w:p w14:paraId="02653B7D" w14:textId="4CDFAD37" w:rsidR="00C31F6D" w:rsidRDefault="00C31F6D" w:rsidP="005439F2">
            <w:pPr>
              <w:rPr>
                <w:sz w:val="28"/>
                <w:szCs w:val="28"/>
              </w:rPr>
            </w:pPr>
            <w:r>
              <w:rPr>
                <w:sz w:val="28"/>
                <w:szCs w:val="28"/>
              </w:rPr>
              <w:lastRenderedPageBreak/>
              <w:t>19, RySG</w:t>
            </w:r>
          </w:p>
        </w:tc>
        <w:tc>
          <w:tcPr>
            <w:tcW w:w="2785" w:type="dxa"/>
          </w:tcPr>
          <w:p w14:paraId="00A7D0A1" w14:textId="28DE1B74" w:rsidR="00C31F6D" w:rsidRDefault="00C31F6D" w:rsidP="005439F2">
            <w:pPr>
              <w:rPr>
                <w:sz w:val="28"/>
                <w:szCs w:val="28"/>
              </w:rPr>
            </w:pPr>
            <w:r>
              <w:rPr>
                <w:sz w:val="28"/>
                <w:szCs w:val="28"/>
              </w:rPr>
              <w:t>Yes, No</w:t>
            </w:r>
          </w:p>
        </w:tc>
      </w:tr>
    </w:tbl>
    <w:p w14:paraId="3F895AF3" w14:textId="77777777" w:rsidR="00404709" w:rsidRDefault="00404709">
      <w:bookmarkStart w:id="0" w:name="_GoBack"/>
      <w:bookmarkEnd w:id="0"/>
    </w:p>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75A"/>
    <w:rsid w:val="002759FB"/>
    <w:rsid w:val="00404709"/>
    <w:rsid w:val="004076B0"/>
    <w:rsid w:val="00440B65"/>
    <w:rsid w:val="00B6275A"/>
    <w:rsid w:val="00C31F6D"/>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400159"/>
  <w15:chartTrackingRefBased/>
  <w15:docId w15:val="{685C25A0-4DF0-E647-8931-3B94C2026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27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2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27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275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16708">
      <w:bodyDiv w:val="1"/>
      <w:marLeft w:val="0"/>
      <w:marRight w:val="0"/>
      <w:marTop w:val="0"/>
      <w:marBottom w:val="0"/>
      <w:divBdr>
        <w:top w:val="none" w:sz="0" w:space="0" w:color="auto"/>
        <w:left w:val="none" w:sz="0" w:space="0" w:color="auto"/>
        <w:bottom w:val="none" w:sz="0" w:space="0" w:color="auto"/>
        <w:right w:val="none" w:sz="0" w:space="0" w:color="auto"/>
      </w:divBdr>
    </w:div>
    <w:div w:id="206525187">
      <w:bodyDiv w:val="1"/>
      <w:marLeft w:val="0"/>
      <w:marRight w:val="0"/>
      <w:marTop w:val="0"/>
      <w:marBottom w:val="0"/>
      <w:divBdr>
        <w:top w:val="none" w:sz="0" w:space="0" w:color="auto"/>
        <w:left w:val="none" w:sz="0" w:space="0" w:color="auto"/>
        <w:bottom w:val="none" w:sz="0" w:space="0" w:color="auto"/>
        <w:right w:val="none" w:sz="0" w:space="0" w:color="auto"/>
      </w:divBdr>
    </w:div>
    <w:div w:id="277418498">
      <w:bodyDiv w:val="1"/>
      <w:marLeft w:val="0"/>
      <w:marRight w:val="0"/>
      <w:marTop w:val="0"/>
      <w:marBottom w:val="0"/>
      <w:divBdr>
        <w:top w:val="none" w:sz="0" w:space="0" w:color="auto"/>
        <w:left w:val="none" w:sz="0" w:space="0" w:color="auto"/>
        <w:bottom w:val="none" w:sz="0" w:space="0" w:color="auto"/>
        <w:right w:val="none" w:sz="0" w:space="0" w:color="auto"/>
      </w:divBdr>
    </w:div>
    <w:div w:id="373312015">
      <w:bodyDiv w:val="1"/>
      <w:marLeft w:val="0"/>
      <w:marRight w:val="0"/>
      <w:marTop w:val="0"/>
      <w:marBottom w:val="0"/>
      <w:divBdr>
        <w:top w:val="none" w:sz="0" w:space="0" w:color="auto"/>
        <w:left w:val="none" w:sz="0" w:space="0" w:color="auto"/>
        <w:bottom w:val="none" w:sz="0" w:space="0" w:color="auto"/>
        <w:right w:val="none" w:sz="0" w:space="0" w:color="auto"/>
      </w:divBdr>
    </w:div>
    <w:div w:id="512377019">
      <w:bodyDiv w:val="1"/>
      <w:marLeft w:val="0"/>
      <w:marRight w:val="0"/>
      <w:marTop w:val="0"/>
      <w:marBottom w:val="0"/>
      <w:divBdr>
        <w:top w:val="none" w:sz="0" w:space="0" w:color="auto"/>
        <w:left w:val="none" w:sz="0" w:space="0" w:color="auto"/>
        <w:bottom w:val="none" w:sz="0" w:space="0" w:color="auto"/>
        <w:right w:val="none" w:sz="0" w:space="0" w:color="auto"/>
      </w:divBdr>
    </w:div>
    <w:div w:id="558782697">
      <w:bodyDiv w:val="1"/>
      <w:marLeft w:val="0"/>
      <w:marRight w:val="0"/>
      <w:marTop w:val="0"/>
      <w:marBottom w:val="0"/>
      <w:divBdr>
        <w:top w:val="none" w:sz="0" w:space="0" w:color="auto"/>
        <w:left w:val="none" w:sz="0" w:space="0" w:color="auto"/>
        <w:bottom w:val="none" w:sz="0" w:space="0" w:color="auto"/>
        <w:right w:val="none" w:sz="0" w:space="0" w:color="auto"/>
      </w:divBdr>
    </w:div>
    <w:div w:id="652416192">
      <w:bodyDiv w:val="1"/>
      <w:marLeft w:val="0"/>
      <w:marRight w:val="0"/>
      <w:marTop w:val="0"/>
      <w:marBottom w:val="0"/>
      <w:divBdr>
        <w:top w:val="none" w:sz="0" w:space="0" w:color="auto"/>
        <w:left w:val="none" w:sz="0" w:space="0" w:color="auto"/>
        <w:bottom w:val="none" w:sz="0" w:space="0" w:color="auto"/>
        <w:right w:val="none" w:sz="0" w:space="0" w:color="auto"/>
      </w:divBdr>
    </w:div>
    <w:div w:id="700546651">
      <w:bodyDiv w:val="1"/>
      <w:marLeft w:val="0"/>
      <w:marRight w:val="0"/>
      <w:marTop w:val="0"/>
      <w:marBottom w:val="0"/>
      <w:divBdr>
        <w:top w:val="none" w:sz="0" w:space="0" w:color="auto"/>
        <w:left w:val="none" w:sz="0" w:space="0" w:color="auto"/>
        <w:bottom w:val="none" w:sz="0" w:space="0" w:color="auto"/>
        <w:right w:val="none" w:sz="0" w:space="0" w:color="auto"/>
      </w:divBdr>
    </w:div>
    <w:div w:id="942420598">
      <w:bodyDiv w:val="1"/>
      <w:marLeft w:val="0"/>
      <w:marRight w:val="0"/>
      <w:marTop w:val="0"/>
      <w:marBottom w:val="0"/>
      <w:divBdr>
        <w:top w:val="none" w:sz="0" w:space="0" w:color="auto"/>
        <w:left w:val="none" w:sz="0" w:space="0" w:color="auto"/>
        <w:bottom w:val="none" w:sz="0" w:space="0" w:color="auto"/>
        <w:right w:val="none" w:sz="0" w:space="0" w:color="auto"/>
      </w:divBdr>
    </w:div>
    <w:div w:id="1127815089">
      <w:bodyDiv w:val="1"/>
      <w:marLeft w:val="0"/>
      <w:marRight w:val="0"/>
      <w:marTop w:val="0"/>
      <w:marBottom w:val="0"/>
      <w:divBdr>
        <w:top w:val="none" w:sz="0" w:space="0" w:color="auto"/>
        <w:left w:val="none" w:sz="0" w:space="0" w:color="auto"/>
        <w:bottom w:val="none" w:sz="0" w:space="0" w:color="auto"/>
        <w:right w:val="none" w:sz="0" w:space="0" w:color="auto"/>
      </w:divBdr>
    </w:div>
    <w:div w:id="1296523387">
      <w:bodyDiv w:val="1"/>
      <w:marLeft w:val="0"/>
      <w:marRight w:val="0"/>
      <w:marTop w:val="0"/>
      <w:marBottom w:val="0"/>
      <w:divBdr>
        <w:top w:val="none" w:sz="0" w:space="0" w:color="auto"/>
        <w:left w:val="none" w:sz="0" w:space="0" w:color="auto"/>
        <w:bottom w:val="none" w:sz="0" w:space="0" w:color="auto"/>
        <w:right w:val="none" w:sz="0" w:space="0" w:color="auto"/>
      </w:divBdr>
    </w:div>
    <w:div w:id="1375420450">
      <w:bodyDiv w:val="1"/>
      <w:marLeft w:val="0"/>
      <w:marRight w:val="0"/>
      <w:marTop w:val="0"/>
      <w:marBottom w:val="0"/>
      <w:divBdr>
        <w:top w:val="none" w:sz="0" w:space="0" w:color="auto"/>
        <w:left w:val="none" w:sz="0" w:space="0" w:color="auto"/>
        <w:bottom w:val="none" w:sz="0" w:space="0" w:color="auto"/>
        <w:right w:val="none" w:sz="0" w:space="0" w:color="auto"/>
      </w:divBdr>
    </w:div>
    <w:div w:id="1423183164">
      <w:bodyDiv w:val="1"/>
      <w:marLeft w:val="0"/>
      <w:marRight w:val="0"/>
      <w:marTop w:val="0"/>
      <w:marBottom w:val="0"/>
      <w:divBdr>
        <w:top w:val="none" w:sz="0" w:space="0" w:color="auto"/>
        <w:left w:val="none" w:sz="0" w:space="0" w:color="auto"/>
        <w:bottom w:val="none" w:sz="0" w:space="0" w:color="auto"/>
        <w:right w:val="none" w:sz="0" w:space="0" w:color="auto"/>
      </w:divBdr>
    </w:div>
    <w:div w:id="1752390534">
      <w:bodyDiv w:val="1"/>
      <w:marLeft w:val="0"/>
      <w:marRight w:val="0"/>
      <w:marTop w:val="0"/>
      <w:marBottom w:val="0"/>
      <w:divBdr>
        <w:top w:val="none" w:sz="0" w:space="0" w:color="auto"/>
        <w:left w:val="none" w:sz="0" w:space="0" w:color="auto"/>
        <w:bottom w:val="none" w:sz="0" w:space="0" w:color="auto"/>
        <w:right w:val="none" w:sz="0" w:space="0" w:color="auto"/>
      </w:divBdr>
    </w:div>
    <w:div w:id="1786194967">
      <w:bodyDiv w:val="1"/>
      <w:marLeft w:val="0"/>
      <w:marRight w:val="0"/>
      <w:marTop w:val="0"/>
      <w:marBottom w:val="0"/>
      <w:divBdr>
        <w:top w:val="none" w:sz="0" w:space="0" w:color="auto"/>
        <w:left w:val="none" w:sz="0" w:space="0" w:color="auto"/>
        <w:bottom w:val="none" w:sz="0" w:space="0" w:color="auto"/>
        <w:right w:val="none" w:sz="0" w:space="0" w:color="auto"/>
      </w:divBdr>
    </w:div>
    <w:div w:id="1805191550">
      <w:bodyDiv w:val="1"/>
      <w:marLeft w:val="0"/>
      <w:marRight w:val="0"/>
      <w:marTop w:val="0"/>
      <w:marBottom w:val="0"/>
      <w:divBdr>
        <w:top w:val="none" w:sz="0" w:space="0" w:color="auto"/>
        <w:left w:val="none" w:sz="0" w:space="0" w:color="auto"/>
        <w:bottom w:val="none" w:sz="0" w:space="0" w:color="auto"/>
        <w:right w:val="none" w:sz="0" w:space="0" w:color="auto"/>
      </w:divBdr>
    </w:div>
    <w:div w:id="1813710003">
      <w:bodyDiv w:val="1"/>
      <w:marLeft w:val="0"/>
      <w:marRight w:val="0"/>
      <w:marTop w:val="0"/>
      <w:marBottom w:val="0"/>
      <w:divBdr>
        <w:top w:val="none" w:sz="0" w:space="0" w:color="auto"/>
        <w:left w:val="none" w:sz="0" w:space="0" w:color="auto"/>
        <w:bottom w:val="none" w:sz="0" w:space="0" w:color="auto"/>
        <w:right w:val="none" w:sz="0" w:space="0" w:color="auto"/>
      </w:divBdr>
    </w:div>
    <w:div w:id="202704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2019-01-13T19:03:00Z</dcterms:created>
  <dcterms:modified xsi:type="dcterms:W3CDTF">2019-01-13T19:19:00Z</dcterms:modified>
</cp:coreProperties>
</file>