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25370" w14:textId="59E88CC0" w:rsidR="00553485" w:rsidRPr="001A4D87" w:rsidRDefault="00553485" w:rsidP="00553485">
      <w:pPr>
        <w:rPr>
          <w:b/>
          <w:sz w:val="32"/>
          <w:szCs w:val="32"/>
        </w:rPr>
      </w:pPr>
      <w:r>
        <w:rPr>
          <w:b/>
          <w:sz w:val="32"/>
          <w:szCs w:val="32"/>
        </w:rPr>
        <w:t xml:space="preserve">RECOMMENDATION </w:t>
      </w:r>
      <w:r>
        <w:rPr>
          <w:b/>
          <w:sz w:val="32"/>
          <w:szCs w:val="32"/>
        </w:rPr>
        <w:t>2</w:t>
      </w:r>
      <w:r>
        <w:rPr>
          <w:b/>
          <w:sz w:val="32"/>
          <w:szCs w:val="32"/>
        </w:rPr>
        <w:t xml:space="preserve"> </w:t>
      </w:r>
    </w:p>
    <w:p w14:paraId="0DB7AA23" w14:textId="77777777" w:rsidR="00553485" w:rsidRDefault="00553485" w:rsidP="00553485"/>
    <w:p w14:paraId="4D081329" w14:textId="073A7097"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Per the EPDP Team Charter, the EPDP Team is committed to considering a system for</w:t>
      </w:r>
      <w:r>
        <w:rPr>
          <w:sz w:val="28"/>
          <w:szCs w:val="28"/>
        </w:rPr>
        <w:t xml:space="preserve"> </w:t>
      </w:r>
      <w:r w:rsidRPr="00553485">
        <w:rPr>
          <w:sz w:val="28"/>
          <w:szCs w:val="28"/>
        </w:rPr>
        <w:t>Standardized Access to non-public Registration Data once the gating questions in the</w:t>
      </w:r>
      <w:r>
        <w:rPr>
          <w:sz w:val="28"/>
          <w:szCs w:val="28"/>
        </w:rPr>
        <w:t xml:space="preserve"> </w:t>
      </w:r>
      <w:r w:rsidRPr="00553485">
        <w:rPr>
          <w:sz w:val="28"/>
          <w:szCs w:val="28"/>
        </w:rPr>
        <w:t>charter have been answered. This will include addressing questions such as:</w:t>
      </w:r>
    </w:p>
    <w:p w14:paraId="19156A3D" w14:textId="77777777" w:rsidR="00553485" w:rsidRDefault="00553485" w:rsidP="00553485">
      <w:pPr>
        <w:pBdr>
          <w:top w:val="single" w:sz="4" w:space="1" w:color="auto"/>
          <w:left w:val="single" w:sz="4" w:space="4" w:color="auto"/>
          <w:bottom w:val="single" w:sz="4" w:space="1" w:color="auto"/>
          <w:right w:val="single" w:sz="4" w:space="4" w:color="auto"/>
        </w:pBdr>
        <w:rPr>
          <w:sz w:val="28"/>
          <w:szCs w:val="28"/>
        </w:rPr>
      </w:pPr>
    </w:p>
    <w:p w14:paraId="49D3DF4A" w14:textId="67FE126A"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 What are the legitimate purposes for third parties to access registration data?</w:t>
      </w:r>
    </w:p>
    <w:p w14:paraId="6029FA17" w14:textId="77777777"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 What are the eligibility criteria for access to non-public Registration data?</w:t>
      </w:r>
    </w:p>
    <w:p w14:paraId="456C26E3" w14:textId="77777777"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 Do those parties/groups consist of different types of third-party requestors?</w:t>
      </w:r>
    </w:p>
    <w:p w14:paraId="611CA6D5" w14:textId="77777777"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 What data elements should each user/party have access to?</w:t>
      </w:r>
    </w:p>
    <w:p w14:paraId="4B9F9F61" w14:textId="77777777" w:rsidR="00553485" w:rsidRDefault="00553485" w:rsidP="00553485">
      <w:pPr>
        <w:pBdr>
          <w:top w:val="single" w:sz="4" w:space="1" w:color="auto"/>
          <w:left w:val="single" w:sz="4" w:space="4" w:color="auto"/>
          <w:bottom w:val="single" w:sz="4" w:space="1" w:color="auto"/>
          <w:right w:val="single" w:sz="4" w:space="4" w:color="auto"/>
        </w:pBdr>
        <w:rPr>
          <w:sz w:val="28"/>
          <w:szCs w:val="28"/>
        </w:rPr>
      </w:pPr>
    </w:p>
    <w:p w14:paraId="4C6422AE" w14:textId="6093861B" w:rsidR="00553485" w:rsidRPr="00553485" w:rsidRDefault="00553485" w:rsidP="00553485">
      <w:pPr>
        <w:pBdr>
          <w:top w:val="single" w:sz="4" w:space="1" w:color="auto"/>
          <w:left w:val="single" w:sz="4" w:space="4" w:color="auto"/>
          <w:bottom w:val="single" w:sz="4" w:space="1" w:color="auto"/>
          <w:right w:val="single" w:sz="4" w:space="4" w:color="auto"/>
        </w:pBdr>
        <w:rPr>
          <w:sz w:val="28"/>
          <w:szCs w:val="28"/>
        </w:rPr>
      </w:pPr>
      <w:r w:rsidRPr="00553485">
        <w:rPr>
          <w:sz w:val="28"/>
          <w:szCs w:val="28"/>
        </w:rPr>
        <w:t>In this context, amongst others, disclosure in the course of intellectual property</w:t>
      </w:r>
      <w:r>
        <w:rPr>
          <w:sz w:val="28"/>
          <w:szCs w:val="28"/>
        </w:rPr>
        <w:t xml:space="preserve"> </w:t>
      </w:r>
      <w:r w:rsidRPr="00553485">
        <w:rPr>
          <w:sz w:val="28"/>
          <w:szCs w:val="28"/>
        </w:rPr>
        <w:t>infringement and DNS abuse cases will be considered.</w:t>
      </w:r>
    </w:p>
    <w:p w14:paraId="2C1FC0EC" w14:textId="77777777" w:rsidR="00553485" w:rsidRDefault="00553485" w:rsidP="00553485">
      <w:pPr>
        <w:rPr>
          <w:b/>
          <w:sz w:val="28"/>
          <w:szCs w:val="28"/>
        </w:rPr>
      </w:pPr>
    </w:p>
    <w:p w14:paraId="63CAB194" w14:textId="77777777" w:rsidR="00A51834" w:rsidRPr="00667710" w:rsidRDefault="00A51834" w:rsidP="00A51834">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40BCD2A" w14:textId="77777777" w:rsidR="00A51834" w:rsidRDefault="00A51834" w:rsidP="00553485">
      <w:pPr>
        <w:rPr>
          <w:b/>
          <w:sz w:val="28"/>
          <w:szCs w:val="28"/>
        </w:rPr>
      </w:pPr>
    </w:p>
    <w:p w14:paraId="38935E47" w14:textId="754ADCF6" w:rsidR="00553485" w:rsidRDefault="00553485" w:rsidP="00553485">
      <w:pPr>
        <w:rPr>
          <w:b/>
          <w:sz w:val="28"/>
          <w:szCs w:val="28"/>
        </w:rPr>
      </w:pPr>
      <w:r>
        <w:rPr>
          <w:b/>
          <w:sz w:val="28"/>
          <w:szCs w:val="28"/>
        </w:rPr>
        <w:t>Noted Concerns</w:t>
      </w:r>
    </w:p>
    <w:p w14:paraId="0894A74F" w14:textId="77777777" w:rsidR="00553485" w:rsidRDefault="00553485" w:rsidP="00553485">
      <w:pPr>
        <w:rPr>
          <w:b/>
          <w:sz w:val="28"/>
          <w:szCs w:val="28"/>
        </w:rPr>
      </w:pPr>
    </w:p>
    <w:tbl>
      <w:tblPr>
        <w:tblStyle w:val="TableGrid"/>
        <w:tblW w:w="0" w:type="auto"/>
        <w:tblLook w:val="04A0" w:firstRow="1" w:lastRow="0" w:firstColumn="1" w:lastColumn="0" w:noHBand="0" w:noVBand="1"/>
      </w:tblPr>
      <w:tblGrid>
        <w:gridCol w:w="8635"/>
        <w:gridCol w:w="2970"/>
        <w:gridCol w:w="2785"/>
      </w:tblGrid>
      <w:tr w:rsidR="00553485" w14:paraId="298D4D0A" w14:textId="77777777" w:rsidTr="005439F2">
        <w:tc>
          <w:tcPr>
            <w:tcW w:w="8635" w:type="dxa"/>
            <w:shd w:val="clear" w:color="auto" w:fill="F7CAAC" w:themeFill="accent2" w:themeFillTint="66"/>
          </w:tcPr>
          <w:p w14:paraId="49E32930" w14:textId="77777777" w:rsidR="00553485" w:rsidRDefault="00553485" w:rsidP="005439F2">
            <w:pPr>
              <w:rPr>
                <w:b/>
                <w:sz w:val="28"/>
                <w:szCs w:val="28"/>
              </w:rPr>
            </w:pPr>
            <w:r>
              <w:rPr>
                <w:b/>
                <w:sz w:val="28"/>
                <w:szCs w:val="28"/>
              </w:rPr>
              <w:t>Concern</w:t>
            </w:r>
          </w:p>
        </w:tc>
        <w:tc>
          <w:tcPr>
            <w:tcW w:w="2970" w:type="dxa"/>
            <w:shd w:val="clear" w:color="auto" w:fill="F7CAAC" w:themeFill="accent2" w:themeFillTint="66"/>
          </w:tcPr>
          <w:p w14:paraId="2AAFE5B7" w14:textId="77777777" w:rsidR="00553485" w:rsidRDefault="00553485" w:rsidP="005439F2">
            <w:pPr>
              <w:rPr>
                <w:b/>
                <w:sz w:val="28"/>
                <w:szCs w:val="28"/>
              </w:rPr>
            </w:pPr>
            <w:r>
              <w:rPr>
                <w:b/>
                <w:sz w:val="28"/>
                <w:szCs w:val="28"/>
              </w:rPr>
              <w:t>Corresponding PCRT Comment #</w:t>
            </w:r>
          </w:p>
        </w:tc>
        <w:tc>
          <w:tcPr>
            <w:tcW w:w="2785" w:type="dxa"/>
            <w:shd w:val="clear" w:color="auto" w:fill="F7CAAC" w:themeFill="accent2" w:themeFillTint="66"/>
          </w:tcPr>
          <w:p w14:paraId="390C57B3" w14:textId="77777777" w:rsidR="00553485" w:rsidRDefault="00553485" w:rsidP="005439F2">
            <w:pPr>
              <w:rPr>
                <w:b/>
                <w:sz w:val="28"/>
                <w:szCs w:val="28"/>
              </w:rPr>
            </w:pPr>
            <w:r>
              <w:rPr>
                <w:b/>
                <w:sz w:val="28"/>
                <w:szCs w:val="28"/>
              </w:rPr>
              <w:t>Further Discussion Required?</w:t>
            </w:r>
          </w:p>
        </w:tc>
      </w:tr>
      <w:tr w:rsidR="00553485" w14:paraId="6DD963FD" w14:textId="77777777" w:rsidTr="005439F2">
        <w:tc>
          <w:tcPr>
            <w:tcW w:w="8635" w:type="dxa"/>
          </w:tcPr>
          <w:p w14:paraId="4A09A3D1" w14:textId="1EE1C4E4" w:rsidR="00553485" w:rsidRDefault="00553485" w:rsidP="005439F2">
            <w:pPr>
              <w:rPr>
                <w:sz w:val="28"/>
                <w:szCs w:val="28"/>
              </w:rPr>
            </w:pPr>
            <w:r w:rsidRPr="00553485">
              <w:rPr>
                <w:sz w:val="28"/>
                <w:szCs w:val="28"/>
              </w:rPr>
              <w:t>The current system under the Temp Spec does not allow for sufficient or reliable access such that this work can continue to be as effective.  Work to replace this with a scalable access model should begin without delay</w:t>
            </w:r>
            <w:r>
              <w:rPr>
                <w:sz w:val="28"/>
                <w:szCs w:val="28"/>
              </w:rPr>
              <w:t>.</w:t>
            </w:r>
          </w:p>
        </w:tc>
        <w:tc>
          <w:tcPr>
            <w:tcW w:w="2970" w:type="dxa"/>
          </w:tcPr>
          <w:p w14:paraId="6EDE7100" w14:textId="68D05E3B" w:rsidR="00553485" w:rsidRDefault="00553485" w:rsidP="005439F2">
            <w:pPr>
              <w:rPr>
                <w:sz w:val="28"/>
                <w:szCs w:val="28"/>
              </w:rPr>
            </w:pPr>
            <w:r>
              <w:rPr>
                <w:sz w:val="28"/>
                <w:szCs w:val="28"/>
              </w:rPr>
              <w:t>2, SSAC</w:t>
            </w:r>
          </w:p>
        </w:tc>
        <w:tc>
          <w:tcPr>
            <w:tcW w:w="2785" w:type="dxa"/>
          </w:tcPr>
          <w:p w14:paraId="66A1F24D" w14:textId="45D887E2" w:rsidR="00553485" w:rsidRPr="00362929" w:rsidRDefault="00553485" w:rsidP="005439F2">
            <w:pPr>
              <w:rPr>
                <w:sz w:val="28"/>
                <w:szCs w:val="28"/>
              </w:rPr>
            </w:pPr>
            <w:r>
              <w:rPr>
                <w:sz w:val="28"/>
                <w:szCs w:val="28"/>
              </w:rPr>
              <w:t>Yes/No</w:t>
            </w:r>
          </w:p>
        </w:tc>
      </w:tr>
      <w:tr w:rsidR="00553485" w14:paraId="3EB51A2D" w14:textId="77777777" w:rsidTr="005439F2">
        <w:tc>
          <w:tcPr>
            <w:tcW w:w="8635" w:type="dxa"/>
          </w:tcPr>
          <w:p w14:paraId="47094C0C" w14:textId="05EE9C1F" w:rsidR="00553485" w:rsidRPr="00553485" w:rsidRDefault="00553485" w:rsidP="005439F2">
            <w:pPr>
              <w:rPr>
                <w:sz w:val="28"/>
                <w:szCs w:val="28"/>
              </w:rPr>
            </w:pPr>
            <w:proofErr w:type="spellStart"/>
            <w:r>
              <w:rPr>
                <w:sz w:val="28"/>
                <w:szCs w:val="28"/>
              </w:rPr>
              <w:t>S</w:t>
            </w:r>
            <w:r w:rsidRPr="00553485">
              <w:rPr>
                <w:sz w:val="28"/>
                <w:szCs w:val="28"/>
              </w:rPr>
              <w:t>tandardisation</w:t>
            </w:r>
            <w:proofErr w:type="spellEnd"/>
            <w:r w:rsidRPr="00553485">
              <w:rPr>
                <w:sz w:val="28"/>
                <w:szCs w:val="28"/>
              </w:rPr>
              <w:t xml:space="preserve"> needs to be considered as NOT a single standard for access to</w:t>
            </w:r>
            <w:r>
              <w:rPr>
                <w:sz w:val="28"/>
                <w:szCs w:val="28"/>
              </w:rPr>
              <w:t xml:space="preserve"> </w:t>
            </w:r>
            <w:r w:rsidRPr="00553485">
              <w:rPr>
                <w:sz w:val="28"/>
                <w:szCs w:val="28"/>
              </w:rPr>
              <w:t>all non-public data by all legitimate requests, but different standards for access with different privilege</w:t>
            </w:r>
            <w:r>
              <w:rPr>
                <w:sz w:val="28"/>
                <w:szCs w:val="28"/>
              </w:rPr>
              <w:t xml:space="preserve"> </w:t>
            </w:r>
            <w:r w:rsidRPr="00553485">
              <w:rPr>
                <w:sz w:val="28"/>
                <w:szCs w:val="28"/>
              </w:rPr>
              <w:t>levels to different data elements by differentiated legitimate requests</w:t>
            </w:r>
            <w:r>
              <w:rPr>
                <w:sz w:val="28"/>
                <w:szCs w:val="28"/>
              </w:rPr>
              <w:t xml:space="preserve">. </w:t>
            </w:r>
          </w:p>
        </w:tc>
        <w:tc>
          <w:tcPr>
            <w:tcW w:w="2970" w:type="dxa"/>
          </w:tcPr>
          <w:p w14:paraId="4AB735AF" w14:textId="19176626" w:rsidR="00553485" w:rsidRDefault="00553485" w:rsidP="005439F2">
            <w:pPr>
              <w:rPr>
                <w:sz w:val="28"/>
                <w:szCs w:val="28"/>
              </w:rPr>
            </w:pPr>
            <w:r>
              <w:rPr>
                <w:sz w:val="28"/>
                <w:szCs w:val="28"/>
              </w:rPr>
              <w:t>3, I</w:t>
            </w:r>
            <w:r w:rsidRPr="00553485">
              <w:rPr>
                <w:sz w:val="28"/>
                <w:szCs w:val="28"/>
              </w:rPr>
              <w:t>nternet Society India Chenna</w:t>
            </w:r>
            <w:r>
              <w:rPr>
                <w:sz w:val="28"/>
                <w:szCs w:val="28"/>
              </w:rPr>
              <w:t>i</w:t>
            </w:r>
          </w:p>
        </w:tc>
        <w:tc>
          <w:tcPr>
            <w:tcW w:w="2785" w:type="dxa"/>
          </w:tcPr>
          <w:p w14:paraId="719365CB" w14:textId="4ACFB14E" w:rsidR="00553485" w:rsidRDefault="00553485" w:rsidP="005439F2">
            <w:pPr>
              <w:rPr>
                <w:sz w:val="28"/>
                <w:szCs w:val="28"/>
              </w:rPr>
            </w:pPr>
            <w:r>
              <w:rPr>
                <w:sz w:val="28"/>
                <w:szCs w:val="28"/>
              </w:rPr>
              <w:t>Yes/No</w:t>
            </w:r>
          </w:p>
        </w:tc>
      </w:tr>
      <w:tr w:rsidR="00553485" w14:paraId="64200C7E" w14:textId="77777777" w:rsidTr="005439F2">
        <w:tc>
          <w:tcPr>
            <w:tcW w:w="8635" w:type="dxa"/>
          </w:tcPr>
          <w:p w14:paraId="221035D7" w14:textId="6959B333" w:rsidR="00553485" w:rsidRPr="00553485" w:rsidRDefault="00553485" w:rsidP="00553485">
            <w:pPr>
              <w:rPr>
                <w:sz w:val="28"/>
                <w:szCs w:val="28"/>
              </w:rPr>
            </w:pPr>
            <w:r>
              <w:rPr>
                <w:sz w:val="28"/>
                <w:szCs w:val="28"/>
              </w:rPr>
              <w:t>Minor language tweaks needed to make language more explicit</w:t>
            </w:r>
          </w:p>
        </w:tc>
        <w:tc>
          <w:tcPr>
            <w:tcW w:w="2970" w:type="dxa"/>
          </w:tcPr>
          <w:p w14:paraId="62EE392B" w14:textId="34FE6792" w:rsidR="00553485" w:rsidRDefault="00553485" w:rsidP="005439F2">
            <w:pPr>
              <w:rPr>
                <w:sz w:val="28"/>
                <w:szCs w:val="28"/>
              </w:rPr>
            </w:pPr>
            <w:r>
              <w:rPr>
                <w:sz w:val="28"/>
                <w:szCs w:val="28"/>
              </w:rPr>
              <w:t xml:space="preserve">4, </w:t>
            </w:r>
            <w:r w:rsidRPr="00553485">
              <w:rPr>
                <w:sz w:val="28"/>
                <w:szCs w:val="28"/>
              </w:rPr>
              <w:t>GOVERNMENT OF INDIA</w:t>
            </w:r>
          </w:p>
        </w:tc>
        <w:tc>
          <w:tcPr>
            <w:tcW w:w="2785" w:type="dxa"/>
          </w:tcPr>
          <w:p w14:paraId="68140C12" w14:textId="52AF0D07" w:rsidR="00553485" w:rsidRDefault="00553485" w:rsidP="005439F2">
            <w:pPr>
              <w:rPr>
                <w:sz w:val="28"/>
                <w:szCs w:val="28"/>
              </w:rPr>
            </w:pPr>
            <w:r>
              <w:rPr>
                <w:sz w:val="28"/>
                <w:szCs w:val="28"/>
              </w:rPr>
              <w:t>Yes/No</w:t>
            </w:r>
          </w:p>
        </w:tc>
      </w:tr>
      <w:tr w:rsidR="00553485" w14:paraId="79B9DD95" w14:textId="77777777" w:rsidTr="005439F2">
        <w:tc>
          <w:tcPr>
            <w:tcW w:w="8635" w:type="dxa"/>
          </w:tcPr>
          <w:p w14:paraId="04558CC0" w14:textId="0CDEB100" w:rsidR="00553485" w:rsidRPr="00553485" w:rsidRDefault="00553485" w:rsidP="005439F2">
            <w:pPr>
              <w:rPr>
                <w:sz w:val="28"/>
                <w:szCs w:val="28"/>
              </w:rPr>
            </w:pPr>
            <w:r w:rsidRPr="00553485">
              <w:rPr>
                <w:sz w:val="28"/>
                <w:szCs w:val="28"/>
              </w:rPr>
              <w:lastRenderedPageBreak/>
              <w:t>We support disclosure of Registration Data in the course of investigation of DNS and legal abuse. We do not find it necessary to call out specific types of legal abuse</w:t>
            </w:r>
            <w:r w:rsidR="00AD0CDA">
              <w:rPr>
                <w:sz w:val="28"/>
                <w:szCs w:val="28"/>
              </w:rPr>
              <w:t xml:space="preserve">. </w:t>
            </w:r>
            <w:r w:rsidR="00AD0CDA" w:rsidRPr="00AD0CDA">
              <w:rPr>
                <w:sz w:val="28"/>
                <w:szCs w:val="28"/>
              </w:rPr>
              <w:t>We further note that a “system” for Standardized Access need not be a technical system but could also be a procedure. Finally, data that is distributed must be limited data that there was a legal basis to collect and that the distribution is not, itself, a legal basis.</w:t>
            </w:r>
          </w:p>
        </w:tc>
        <w:tc>
          <w:tcPr>
            <w:tcW w:w="2970" w:type="dxa"/>
          </w:tcPr>
          <w:p w14:paraId="61054BB6" w14:textId="0D81D420" w:rsidR="00553485" w:rsidRDefault="00AD0CDA" w:rsidP="005439F2">
            <w:pPr>
              <w:rPr>
                <w:sz w:val="28"/>
                <w:szCs w:val="28"/>
              </w:rPr>
            </w:pPr>
            <w:r>
              <w:rPr>
                <w:sz w:val="28"/>
                <w:szCs w:val="28"/>
              </w:rPr>
              <w:t xml:space="preserve">5, Tucows </w:t>
            </w:r>
          </w:p>
        </w:tc>
        <w:tc>
          <w:tcPr>
            <w:tcW w:w="2785" w:type="dxa"/>
          </w:tcPr>
          <w:p w14:paraId="23366B2A" w14:textId="711D51F9" w:rsidR="00553485" w:rsidRDefault="00AD0CDA" w:rsidP="005439F2">
            <w:pPr>
              <w:rPr>
                <w:sz w:val="28"/>
                <w:szCs w:val="28"/>
              </w:rPr>
            </w:pPr>
            <w:r>
              <w:rPr>
                <w:sz w:val="28"/>
                <w:szCs w:val="28"/>
              </w:rPr>
              <w:t>Yes/No</w:t>
            </w:r>
          </w:p>
        </w:tc>
      </w:tr>
      <w:tr w:rsidR="00AD0CDA" w14:paraId="730D3BB8" w14:textId="77777777" w:rsidTr="005439F2">
        <w:tc>
          <w:tcPr>
            <w:tcW w:w="8635" w:type="dxa"/>
          </w:tcPr>
          <w:p w14:paraId="488697B7" w14:textId="6BE43A64" w:rsidR="00AD0CDA" w:rsidRPr="00553485" w:rsidRDefault="00AD0CDA" w:rsidP="005439F2">
            <w:pPr>
              <w:rPr>
                <w:sz w:val="28"/>
                <w:szCs w:val="28"/>
              </w:rPr>
            </w:pPr>
            <w:r w:rsidRPr="00AD0CDA">
              <w:rPr>
                <w:sz w:val="28"/>
                <w:szCs w:val="28"/>
              </w:rPr>
              <w:t>“Standardized Access to nonpublic Registration Data” be replaced with the term, “Lawful disclosure of personal and sensitive registration data to third parties with legitimate</w:t>
            </w:r>
            <w:r>
              <w:rPr>
                <w:sz w:val="28"/>
                <w:szCs w:val="28"/>
              </w:rPr>
              <w:t xml:space="preserve"> </w:t>
            </w:r>
            <w:r w:rsidRPr="00AD0CDA">
              <w:rPr>
                <w:sz w:val="28"/>
                <w:szCs w:val="28"/>
              </w:rPr>
              <w:t>interests.</w:t>
            </w:r>
            <w:r>
              <w:rPr>
                <w:sz w:val="28"/>
                <w:szCs w:val="28"/>
              </w:rPr>
              <w:t>”</w:t>
            </w:r>
          </w:p>
        </w:tc>
        <w:tc>
          <w:tcPr>
            <w:tcW w:w="2970" w:type="dxa"/>
          </w:tcPr>
          <w:p w14:paraId="6184F2DB" w14:textId="77777777" w:rsidR="00AD0CDA" w:rsidRDefault="00AD0CDA" w:rsidP="005439F2">
            <w:pPr>
              <w:rPr>
                <w:sz w:val="28"/>
                <w:szCs w:val="28"/>
              </w:rPr>
            </w:pPr>
            <w:r>
              <w:rPr>
                <w:sz w:val="28"/>
                <w:szCs w:val="28"/>
              </w:rPr>
              <w:t xml:space="preserve">5, 16 </w:t>
            </w:r>
          </w:p>
          <w:p w14:paraId="6E772A02" w14:textId="4FBFB671" w:rsidR="00AD0CDA" w:rsidRDefault="00AD0CDA" w:rsidP="005439F2">
            <w:pPr>
              <w:rPr>
                <w:sz w:val="28"/>
                <w:szCs w:val="28"/>
              </w:rPr>
            </w:pPr>
            <w:r>
              <w:rPr>
                <w:sz w:val="28"/>
                <w:szCs w:val="28"/>
              </w:rPr>
              <w:t>(NCSG, D</w:t>
            </w:r>
            <w:r w:rsidRPr="00AD0CDA">
              <w:rPr>
                <w:sz w:val="28"/>
                <w:szCs w:val="28"/>
              </w:rPr>
              <w:t>omain Name Rights Coalition</w:t>
            </w:r>
            <w:r>
              <w:rPr>
                <w:sz w:val="28"/>
                <w:szCs w:val="28"/>
              </w:rPr>
              <w:t>)</w:t>
            </w:r>
          </w:p>
        </w:tc>
        <w:tc>
          <w:tcPr>
            <w:tcW w:w="2785" w:type="dxa"/>
          </w:tcPr>
          <w:p w14:paraId="6C938975" w14:textId="04381580" w:rsidR="00AD0CDA" w:rsidRDefault="00AD0CDA" w:rsidP="005439F2">
            <w:pPr>
              <w:rPr>
                <w:sz w:val="28"/>
                <w:szCs w:val="28"/>
              </w:rPr>
            </w:pPr>
            <w:r>
              <w:rPr>
                <w:sz w:val="28"/>
                <w:szCs w:val="28"/>
              </w:rPr>
              <w:t>Yes/No</w:t>
            </w:r>
          </w:p>
        </w:tc>
      </w:tr>
      <w:tr w:rsidR="00AD0CDA" w14:paraId="214B4DC6" w14:textId="77777777" w:rsidTr="005439F2">
        <w:tc>
          <w:tcPr>
            <w:tcW w:w="8635" w:type="dxa"/>
          </w:tcPr>
          <w:p w14:paraId="08807601" w14:textId="77777777" w:rsidR="00AD0CDA" w:rsidRDefault="00AD0CDA" w:rsidP="005439F2">
            <w:pPr>
              <w:rPr>
                <w:sz w:val="28"/>
                <w:szCs w:val="28"/>
              </w:rPr>
            </w:pPr>
            <w:r>
              <w:rPr>
                <w:sz w:val="28"/>
                <w:szCs w:val="28"/>
              </w:rPr>
              <w:t>F</w:t>
            </w:r>
            <w:r w:rsidRPr="00AD0CDA">
              <w:rPr>
                <w:sz w:val="28"/>
                <w:szCs w:val="28"/>
              </w:rPr>
              <w:t>ailure to provide adequate access for all the stakeholders who have a role in preserving the stability, security and resilience, including intellectual property rightsholders, cybersecurity firms and other organizations that mitigate DNS abuse as well as law enforcement agencies runs the risk of undermining that security and furthering distrust of the Internet ecosystem.</w:t>
            </w:r>
          </w:p>
          <w:p w14:paraId="63454495" w14:textId="77777777" w:rsidR="00AD0CDA" w:rsidRDefault="00AD0CDA" w:rsidP="005439F2">
            <w:pPr>
              <w:rPr>
                <w:sz w:val="28"/>
                <w:szCs w:val="28"/>
              </w:rPr>
            </w:pPr>
          </w:p>
          <w:p w14:paraId="5CF9098B" w14:textId="62892912" w:rsidR="00AD0CDA" w:rsidRDefault="00AD0CDA" w:rsidP="005439F2">
            <w:pPr>
              <w:rPr>
                <w:sz w:val="28"/>
                <w:szCs w:val="28"/>
              </w:rPr>
            </w:pPr>
            <w:r>
              <w:rPr>
                <w:sz w:val="28"/>
                <w:szCs w:val="28"/>
              </w:rPr>
              <w:t>[</w:t>
            </w:r>
            <w:r w:rsidRPr="00AD0CDA">
              <w:rPr>
                <w:sz w:val="28"/>
                <w:szCs w:val="28"/>
              </w:rPr>
              <w:t xml:space="preserve">Now that the EPDP team’s gating questions have been sufficiently addressed, </w:t>
            </w:r>
            <w:r>
              <w:rPr>
                <w:sz w:val="28"/>
                <w:szCs w:val="28"/>
              </w:rPr>
              <w:t xml:space="preserve">strongly </w:t>
            </w:r>
            <w:r w:rsidRPr="00AD0CDA">
              <w:rPr>
                <w:sz w:val="28"/>
                <w:szCs w:val="28"/>
              </w:rPr>
              <w:t>supports a recommendation that the EPDP Team contribute to ICANN Org’s development of a standardized, or “unified,” system for access to non-public registration data</w:t>
            </w:r>
            <w:r>
              <w:rPr>
                <w:sz w:val="28"/>
                <w:szCs w:val="28"/>
              </w:rPr>
              <w:t>.]</w:t>
            </w:r>
          </w:p>
          <w:p w14:paraId="089ED8AF" w14:textId="77777777" w:rsidR="00AD0CDA" w:rsidRDefault="00AD0CDA" w:rsidP="005439F2">
            <w:pPr>
              <w:rPr>
                <w:sz w:val="28"/>
                <w:szCs w:val="28"/>
              </w:rPr>
            </w:pPr>
          </w:p>
          <w:p w14:paraId="540C2D77" w14:textId="77777777" w:rsidR="00AD0CDA" w:rsidRDefault="00AD0CDA" w:rsidP="005439F2">
            <w:pPr>
              <w:rPr>
                <w:sz w:val="28"/>
                <w:szCs w:val="28"/>
              </w:rPr>
            </w:pPr>
            <w:r>
              <w:rPr>
                <w:sz w:val="28"/>
                <w:szCs w:val="28"/>
              </w:rPr>
              <w:t>[P</w:t>
            </w:r>
            <w:r w:rsidRPr="00AD0CDA">
              <w:rPr>
                <w:sz w:val="28"/>
                <w:szCs w:val="28"/>
              </w:rPr>
              <w:t>roposes edits to this recommendation to ensure that the protection of intellectual property</w:t>
            </w:r>
            <w:r>
              <w:rPr>
                <w:sz w:val="28"/>
                <w:szCs w:val="28"/>
              </w:rPr>
              <w:t xml:space="preserve"> </w:t>
            </w:r>
            <w:r w:rsidRPr="00AD0CDA">
              <w:rPr>
                <w:sz w:val="28"/>
                <w:szCs w:val="28"/>
              </w:rPr>
              <w:t>rights is expressly recognized as a legitimate interest under GDPR and therefore understood to be within scope of the final policy.  The term “legitimate” implies that the interest is bolstered by recognition of a legal right, which in the case of intellectual property is the reason for its very existence.</w:t>
            </w:r>
            <w:r>
              <w:rPr>
                <w:sz w:val="28"/>
                <w:szCs w:val="28"/>
              </w:rPr>
              <w:t>]</w:t>
            </w:r>
          </w:p>
          <w:p w14:paraId="0FBB3A71" w14:textId="77777777" w:rsidR="00AD0CDA" w:rsidRDefault="00AD0CDA" w:rsidP="005439F2">
            <w:pPr>
              <w:rPr>
                <w:sz w:val="28"/>
                <w:szCs w:val="28"/>
              </w:rPr>
            </w:pPr>
          </w:p>
          <w:p w14:paraId="79A72391" w14:textId="77777777" w:rsidR="00AD0CDA" w:rsidRDefault="00AD0CDA" w:rsidP="005439F2">
            <w:pPr>
              <w:rPr>
                <w:sz w:val="28"/>
                <w:szCs w:val="28"/>
              </w:rPr>
            </w:pPr>
            <w:r>
              <w:rPr>
                <w:sz w:val="28"/>
                <w:szCs w:val="28"/>
              </w:rPr>
              <w:t>[</w:t>
            </w:r>
            <w:r w:rsidRPr="00AD0CDA">
              <w:rPr>
                <w:sz w:val="28"/>
                <w:szCs w:val="28"/>
              </w:rPr>
              <w:t xml:space="preserve">As stated elsewhere, brand abuse is increasingly an enabling mechanism for cyber abuse. It should be clear that consumers can be harmed when what seems to be a branded pharmaceutical good is actually a low-quality </w:t>
            </w:r>
            <w:r w:rsidRPr="00AD0CDA">
              <w:rPr>
                <w:sz w:val="28"/>
                <w:szCs w:val="28"/>
              </w:rPr>
              <w:lastRenderedPageBreak/>
              <w:t>counterfeit, but many are not aware that fake branded digital goods may actually contain malware or connect to phishing sites which are used to harvest credentials or drop malicious payloads</w:t>
            </w:r>
            <w:r>
              <w:rPr>
                <w:sz w:val="28"/>
                <w:szCs w:val="28"/>
              </w:rPr>
              <w:t>.]</w:t>
            </w:r>
          </w:p>
          <w:p w14:paraId="235743A0" w14:textId="77777777" w:rsidR="00AD0CDA" w:rsidRDefault="00AD0CDA" w:rsidP="005439F2">
            <w:pPr>
              <w:rPr>
                <w:sz w:val="28"/>
                <w:szCs w:val="28"/>
              </w:rPr>
            </w:pPr>
          </w:p>
          <w:p w14:paraId="2C5D6401" w14:textId="6AFA14F9" w:rsidR="00AD0CDA" w:rsidRPr="00553485" w:rsidRDefault="00AD0CDA" w:rsidP="005439F2">
            <w:pPr>
              <w:rPr>
                <w:sz w:val="28"/>
                <w:szCs w:val="28"/>
              </w:rPr>
            </w:pPr>
            <w:r w:rsidRPr="00AD0CDA">
              <w:rPr>
                <w:sz w:val="28"/>
                <w:szCs w:val="28"/>
              </w:rPr>
              <w:t>At a bare minimum the team should commit to a time certain to complete this work, and no consensus policy superseding the Temporary Specification should be adopted without it</w:t>
            </w:r>
            <w:r>
              <w:rPr>
                <w:sz w:val="28"/>
                <w:szCs w:val="28"/>
              </w:rPr>
              <w:t>.</w:t>
            </w:r>
          </w:p>
        </w:tc>
        <w:tc>
          <w:tcPr>
            <w:tcW w:w="2970" w:type="dxa"/>
          </w:tcPr>
          <w:p w14:paraId="1F57A69E" w14:textId="570C0784" w:rsidR="00AD0CDA" w:rsidRDefault="00AD0CDA" w:rsidP="005439F2">
            <w:pPr>
              <w:rPr>
                <w:sz w:val="28"/>
                <w:szCs w:val="28"/>
              </w:rPr>
            </w:pPr>
            <w:r>
              <w:rPr>
                <w:sz w:val="28"/>
                <w:szCs w:val="28"/>
              </w:rPr>
              <w:lastRenderedPageBreak/>
              <w:t>6, 7, 8, 11, 12, 13, 14, 15, 17, 18</w:t>
            </w:r>
          </w:p>
          <w:p w14:paraId="15D23F9A" w14:textId="36ED194E" w:rsidR="00AD0CDA" w:rsidRDefault="00AD0CDA" w:rsidP="005439F2">
            <w:pPr>
              <w:rPr>
                <w:sz w:val="28"/>
                <w:szCs w:val="28"/>
              </w:rPr>
            </w:pPr>
            <w:r>
              <w:rPr>
                <w:sz w:val="28"/>
                <w:szCs w:val="28"/>
              </w:rPr>
              <w:t xml:space="preserve">(Disney, BC, </w:t>
            </w:r>
            <w:proofErr w:type="spellStart"/>
            <w:r>
              <w:rPr>
                <w:sz w:val="28"/>
                <w:szCs w:val="28"/>
              </w:rPr>
              <w:t>DomainTools</w:t>
            </w:r>
            <w:proofErr w:type="spellEnd"/>
            <w:r>
              <w:rPr>
                <w:sz w:val="28"/>
                <w:szCs w:val="28"/>
              </w:rPr>
              <w:t>, INTA, MarkMonitor, MPAA, Microsoft, VAP, IPC</w:t>
            </w:r>
          </w:p>
        </w:tc>
        <w:tc>
          <w:tcPr>
            <w:tcW w:w="2785" w:type="dxa"/>
          </w:tcPr>
          <w:p w14:paraId="3DDEA421" w14:textId="4362A24D" w:rsidR="00AD0CDA" w:rsidRDefault="00AD0CDA" w:rsidP="005439F2">
            <w:pPr>
              <w:rPr>
                <w:sz w:val="28"/>
                <w:szCs w:val="28"/>
              </w:rPr>
            </w:pPr>
            <w:r>
              <w:rPr>
                <w:sz w:val="28"/>
                <w:szCs w:val="28"/>
              </w:rPr>
              <w:t>Yes/No</w:t>
            </w:r>
          </w:p>
        </w:tc>
      </w:tr>
      <w:tr w:rsidR="00AD0CDA" w14:paraId="0F3BFB89" w14:textId="77777777" w:rsidTr="005439F2">
        <w:tc>
          <w:tcPr>
            <w:tcW w:w="8635" w:type="dxa"/>
          </w:tcPr>
          <w:p w14:paraId="298116ED" w14:textId="5828186A" w:rsidR="00AD0CDA" w:rsidRPr="00553485" w:rsidRDefault="00AD0CDA" w:rsidP="005439F2">
            <w:pPr>
              <w:rPr>
                <w:sz w:val="28"/>
                <w:szCs w:val="28"/>
              </w:rPr>
            </w:pPr>
            <w:r w:rsidRPr="00AD0CDA">
              <w:rPr>
                <w:sz w:val="28"/>
                <w:szCs w:val="28"/>
              </w:rPr>
              <w:t>The EPDP WG needs to state clearly in the report that it will not have the time to really consider this charter subject before it completes its final report.  Between now and the final report due date, the EPDP WG has to consider public comments, measure consensus levels, and more, and likely will not break new ground.</w:t>
            </w:r>
          </w:p>
        </w:tc>
        <w:tc>
          <w:tcPr>
            <w:tcW w:w="2970" w:type="dxa"/>
          </w:tcPr>
          <w:p w14:paraId="58593FB0" w14:textId="7280F446" w:rsidR="00AD0CDA" w:rsidRDefault="00AD0CDA" w:rsidP="005439F2">
            <w:pPr>
              <w:rPr>
                <w:sz w:val="28"/>
                <w:szCs w:val="28"/>
              </w:rPr>
            </w:pPr>
            <w:r>
              <w:rPr>
                <w:sz w:val="28"/>
                <w:szCs w:val="28"/>
              </w:rPr>
              <w:t xml:space="preserve">9, </w:t>
            </w:r>
            <w:proofErr w:type="spellStart"/>
            <w:r>
              <w:rPr>
                <w:sz w:val="28"/>
                <w:szCs w:val="28"/>
              </w:rPr>
              <w:t>iThreat</w:t>
            </w:r>
            <w:proofErr w:type="spellEnd"/>
            <w:r>
              <w:rPr>
                <w:sz w:val="28"/>
                <w:szCs w:val="28"/>
              </w:rPr>
              <w:t xml:space="preserve"> Security Group</w:t>
            </w:r>
          </w:p>
        </w:tc>
        <w:tc>
          <w:tcPr>
            <w:tcW w:w="2785" w:type="dxa"/>
          </w:tcPr>
          <w:p w14:paraId="72ED289D" w14:textId="3F8A07F5" w:rsidR="00AD0CDA" w:rsidRDefault="00AD0CDA" w:rsidP="005439F2">
            <w:pPr>
              <w:rPr>
                <w:sz w:val="28"/>
                <w:szCs w:val="28"/>
              </w:rPr>
            </w:pPr>
            <w:r>
              <w:rPr>
                <w:sz w:val="28"/>
                <w:szCs w:val="28"/>
              </w:rPr>
              <w:t>Yes/No</w:t>
            </w:r>
          </w:p>
        </w:tc>
      </w:tr>
      <w:tr w:rsidR="00AD0CDA" w14:paraId="50C85599" w14:textId="77777777" w:rsidTr="005439F2">
        <w:tc>
          <w:tcPr>
            <w:tcW w:w="8635" w:type="dxa"/>
          </w:tcPr>
          <w:p w14:paraId="2933C977" w14:textId="234E38C4" w:rsidR="00A51834" w:rsidRDefault="00AD0CDA" w:rsidP="005439F2">
            <w:pPr>
              <w:rPr>
                <w:sz w:val="28"/>
                <w:szCs w:val="28"/>
              </w:rPr>
            </w:pPr>
            <w:r w:rsidRPr="00AD0CDA">
              <w:rPr>
                <w:sz w:val="28"/>
                <w:szCs w:val="28"/>
              </w:rPr>
              <w:t xml:space="preserve">Registrars or registry operators should put in place a data disclosure process, which allows any third party that can evidence a legitimate right to a domain name to obtain the complete </w:t>
            </w:r>
            <w:r w:rsidR="00A51834" w:rsidRPr="00AD0CDA">
              <w:rPr>
                <w:sz w:val="28"/>
                <w:szCs w:val="28"/>
              </w:rPr>
              <w:t>Whois</w:t>
            </w:r>
            <w:r w:rsidRPr="00AD0CDA">
              <w:rPr>
                <w:sz w:val="28"/>
                <w:szCs w:val="28"/>
              </w:rPr>
              <w:t xml:space="preserve"> data of a domain name. The definition of "reasonable access" is vague and may be subject to interpretation.</w:t>
            </w:r>
          </w:p>
          <w:p w14:paraId="0E4E52F3" w14:textId="77777777" w:rsidR="00A51834" w:rsidRDefault="00A51834" w:rsidP="005439F2">
            <w:pPr>
              <w:rPr>
                <w:sz w:val="28"/>
                <w:szCs w:val="28"/>
              </w:rPr>
            </w:pPr>
          </w:p>
          <w:p w14:paraId="4D65B052" w14:textId="6F3D7213" w:rsidR="00AD0CDA" w:rsidRPr="00AD0CDA" w:rsidRDefault="00AD0CDA" w:rsidP="005439F2">
            <w:pPr>
              <w:rPr>
                <w:sz w:val="28"/>
                <w:szCs w:val="28"/>
              </w:rPr>
            </w:pPr>
            <w:r w:rsidRPr="00AD0CDA">
              <w:rPr>
                <w:sz w:val="28"/>
                <w:szCs w:val="28"/>
              </w:rPr>
              <w:t xml:space="preserve">A lot of ccTLD registry operators such as </w:t>
            </w:r>
            <w:proofErr w:type="spellStart"/>
            <w:r w:rsidRPr="00AD0CDA">
              <w:rPr>
                <w:sz w:val="28"/>
                <w:szCs w:val="28"/>
              </w:rPr>
              <w:t>EURid</w:t>
            </w:r>
            <w:proofErr w:type="spellEnd"/>
            <w:r w:rsidRPr="00AD0CDA">
              <w:rPr>
                <w:sz w:val="28"/>
                <w:szCs w:val="28"/>
              </w:rPr>
              <w:t xml:space="preserve"> have already put in place procedures where a third party that wants to obtain the complete </w:t>
            </w:r>
            <w:r w:rsidR="00A51834" w:rsidRPr="00AD0CDA">
              <w:rPr>
                <w:sz w:val="28"/>
                <w:szCs w:val="28"/>
              </w:rPr>
              <w:t>Whois</w:t>
            </w:r>
            <w:r w:rsidRPr="00AD0CDA">
              <w:rPr>
                <w:sz w:val="28"/>
                <w:szCs w:val="28"/>
              </w:rPr>
              <w:t xml:space="preserve"> data of a domain name have to submit a form duly</w:t>
            </w:r>
            <w:r w:rsidR="00A51834">
              <w:rPr>
                <w:sz w:val="28"/>
                <w:szCs w:val="28"/>
              </w:rPr>
              <w:t xml:space="preserve"> </w:t>
            </w:r>
            <w:r w:rsidRPr="00AD0CDA">
              <w:rPr>
                <w:sz w:val="28"/>
                <w:szCs w:val="28"/>
              </w:rPr>
              <w:t>completed, signed and stamped together with evidences of its legitimate right to the concerned domain name (e.g. trademark certificate, BRC...) to the registry operators.  Such procedures are compliant with the GDPR</w:t>
            </w:r>
          </w:p>
        </w:tc>
        <w:tc>
          <w:tcPr>
            <w:tcW w:w="2970" w:type="dxa"/>
          </w:tcPr>
          <w:p w14:paraId="512A1786" w14:textId="72D430E1" w:rsidR="00AD0CDA" w:rsidRDefault="00A51834" w:rsidP="005439F2">
            <w:pPr>
              <w:rPr>
                <w:sz w:val="28"/>
                <w:szCs w:val="28"/>
              </w:rPr>
            </w:pPr>
            <w:r>
              <w:rPr>
                <w:sz w:val="28"/>
                <w:szCs w:val="28"/>
              </w:rPr>
              <w:t xml:space="preserve">19, Steve </w:t>
            </w:r>
            <w:proofErr w:type="spellStart"/>
            <w:r>
              <w:rPr>
                <w:sz w:val="28"/>
                <w:szCs w:val="28"/>
              </w:rPr>
              <w:t>Gobin</w:t>
            </w:r>
            <w:proofErr w:type="spellEnd"/>
          </w:p>
        </w:tc>
        <w:tc>
          <w:tcPr>
            <w:tcW w:w="2785" w:type="dxa"/>
          </w:tcPr>
          <w:p w14:paraId="56D5526F" w14:textId="6033235C" w:rsidR="00AD0CDA" w:rsidRDefault="00A51834" w:rsidP="005439F2">
            <w:pPr>
              <w:rPr>
                <w:sz w:val="28"/>
                <w:szCs w:val="28"/>
              </w:rPr>
            </w:pPr>
            <w:r>
              <w:rPr>
                <w:sz w:val="28"/>
                <w:szCs w:val="28"/>
              </w:rPr>
              <w:t>Yes/No</w:t>
            </w:r>
          </w:p>
        </w:tc>
      </w:tr>
      <w:tr w:rsidR="00A51834" w14:paraId="6A6D15D0" w14:textId="77777777" w:rsidTr="005439F2">
        <w:tc>
          <w:tcPr>
            <w:tcW w:w="8635" w:type="dxa"/>
          </w:tcPr>
          <w:p w14:paraId="78F89F1C" w14:textId="1537E90B" w:rsidR="00A51834" w:rsidRPr="00AD0CDA" w:rsidRDefault="00A51834" w:rsidP="005439F2">
            <w:pPr>
              <w:rPr>
                <w:sz w:val="28"/>
                <w:szCs w:val="28"/>
              </w:rPr>
            </w:pPr>
            <w:r w:rsidRPr="00A51834">
              <w:rPr>
                <w:sz w:val="28"/>
                <w:szCs w:val="28"/>
              </w:rPr>
              <w:t>With six months of GDPR experience behind us, it is obvious that ICANN needs to turn its concerted attention to addressing the need for a unified/standardized system for reasonable access to non-public registrant data.</w:t>
            </w:r>
            <w:r>
              <w:rPr>
                <w:sz w:val="28"/>
                <w:szCs w:val="28"/>
              </w:rPr>
              <w:t xml:space="preserve"> </w:t>
            </w:r>
            <w:proofErr w:type="gramStart"/>
            <w:r w:rsidRPr="00A51834">
              <w:rPr>
                <w:sz w:val="28"/>
                <w:szCs w:val="28"/>
              </w:rPr>
              <w:t>Failure</w:t>
            </w:r>
            <w:proofErr w:type="gramEnd"/>
            <w:r w:rsidRPr="00A51834">
              <w:rPr>
                <w:sz w:val="28"/>
                <w:szCs w:val="28"/>
              </w:rPr>
              <w:t xml:space="preserve"> to provide a solution is harming a range of legitimate causes. We see no compelling reason why work on a unified/standardized system for reasonable access to non-public </w:t>
            </w:r>
            <w:r w:rsidRPr="00A51834">
              <w:rPr>
                <w:sz w:val="28"/>
                <w:szCs w:val="28"/>
              </w:rPr>
              <w:lastRenderedPageBreak/>
              <w:t>registrant data cannot commence immediately in parallel with the EPDP effor</w:t>
            </w:r>
            <w:r>
              <w:rPr>
                <w:sz w:val="28"/>
                <w:szCs w:val="28"/>
              </w:rPr>
              <w:t>t.</w:t>
            </w:r>
          </w:p>
        </w:tc>
        <w:tc>
          <w:tcPr>
            <w:tcW w:w="2970" w:type="dxa"/>
          </w:tcPr>
          <w:p w14:paraId="74FCE9FB" w14:textId="01590BEC" w:rsidR="00A51834" w:rsidRDefault="00A51834" w:rsidP="005439F2">
            <w:pPr>
              <w:rPr>
                <w:sz w:val="28"/>
                <w:szCs w:val="28"/>
              </w:rPr>
            </w:pPr>
            <w:r>
              <w:rPr>
                <w:sz w:val="28"/>
                <w:szCs w:val="28"/>
              </w:rPr>
              <w:lastRenderedPageBreak/>
              <w:t>20, WIPO</w:t>
            </w:r>
          </w:p>
        </w:tc>
        <w:tc>
          <w:tcPr>
            <w:tcW w:w="2785" w:type="dxa"/>
          </w:tcPr>
          <w:p w14:paraId="25A94948" w14:textId="39FC8CFD" w:rsidR="00A51834" w:rsidRDefault="00A51834" w:rsidP="005439F2">
            <w:pPr>
              <w:rPr>
                <w:sz w:val="28"/>
                <w:szCs w:val="28"/>
              </w:rPr>
            </w:pPr>
            <w:r>
              <w:rPr>
                <w:sz w:val="28"/>
                <w:szCs w:val="28"/>
              </w:rPr>
              <w:t>Yes/No</w:t>
            </w:r>
          </w:p>
        </w:tc>
      </w:tr>
      <w:tr w:rsidR="00A51834" w14:paraId="11FF2662" w14:textId="77777777" w:rsidTr="005439F2">
        <w:tc>
          <w:tcPr>
            <w:tcW w:w="8635" w:type="dxa"/>
          </w:tcPr>
          <w:p w14:paraId="557CE14A" w14:textId="6D2A86E4" w:rsidR="00A51834" w:rsidRPr="00AD0CDA" w:rsidRDefault="00A51834" w:rsidP="005439F2">
            <w:pPr>
              <w:rPr>
                <w:sz w:val="28"/>
                <w:szCs w:val="28"/>
              </w:rPr>
            </w:pPr>
            <w:r>
              <w:rPr>
                <w:sz w:val="28"/>
                <w:szCs w:val="28"/>
              </w:rPr>
              <w:t xml:space="preserve">Delete recommendation. </w:t>
            </w:r>
            <w:r w:rsidRPr="00A51834">
              <w:rPr>
                <w:sz w:val="28"/>
                <w:szCs w:val="28"/>
              </w:rPr>
              <w:t>The EPDP working group needs to answer the gating questions before addressing and making any "recommendations" about "access" to non-public Registration Data.</w:t>
            </w:r>
          </w:p>
        </w:tc>
        <w:tc>
          <w:tcPr>
            <w:tcW w:w="2970" w:type="dxa"/>
          </w:tcPr>
          <w:p w14:paraId="32DBAEEC" w14:textId="4C06BBBA" w:rsidR="00A51834" w:rsidRDefault="00A51834" w:rsidP="005439F2">
            <w:pPr>
              <w:rPr>
                <w:sz w:val="28"/>
                <w:szCs w:val="28"/>
              </w:rPr>
            </w:pPr>
            <w:r>
              <w:rPr>
                <w:sz w:val="28"/>
                <w:szCs w:val="28"/>
              </w:rPr>
              <w:t>21, John Poole</w:t>
            </w:r>
          </w:p>
        </w:tc>
        <w:tc>
          <w:tcPr>
            <w:tcW w:w="2785" w:type="dxa"/>
          </w:tcPr>
          <w:p w14:paraId="30D261D0" w14:textId="56DC4E1F" w:rsidR="00A51834" w:rsidRDefault="00A51834" w:rsidP="005439F2">
            <w:pPr>
              <w:rPr>
                <w:sz w:val="28"/>
                <w:szCs w:val="28"/>
              </w:rPr>
            </w:pPr>
            <w:r>
              <w:rPr>
                <w:sz w:val="28"/>
                <w:szCs w:val="28"/>
              </w:rPr>
              <w:t>Yes/No</w:t>
            </w:r>
          </w:p>
        </w:tc>
      </w:tr>
      <w:tr w:rsidR="00A51834" w14:paraId="2FA8296B" w14:textId="77777777" w:rsidTr="005439F2">
        <w:tc>
          <w:tcPr>
            <w:tcW w:w="8635" w:type="dxa"/>
          </w:tcPr>
          <w:p w14:paraId="79C5E699" w14:textId="2CC04209" w:rsidR="00A51834" w:rsidRDefault="00A51834" w:rsidP="005439F2">
            <w:pPr>
              <w:rPr>
                <w:sz w:val="28"/>
                <w:szCs w:val="28"/>
              </w:rPr>
            </w:pPr>
            <w:r>
              <w:rPr>
                <w:sz w:val="28"/>
                <w:szCs w:val="28"/>
              </w:rPr>
              <w:t xml:space="preserve">Delete recommendation. </w:t>
            </w:r>
            <w:r w:rsidRPr="00A51834">
              <w:rPr>
                <w:sz w:val="28"/>
                <w:szCs w:val="28"/>
              </w:rPr>
              <w:t>Disclosure of registration data to 3rd parties is not a "purpose" for its collection</w:t>
            </w:r>
            <w:r>
              <w:rPr>
                <w:sz w:val="28"/>
                <w:szCs w:val="28"/>
              </w:rPr>
              <w:t>.</w:t>
            </w:r>
          </w:p>
        </w:tc>
        <w:tc>
          <w:tcPr>
            <w:tcW w:w="2970" w:type="dxa"/>
          </w:tcPr>
          <w:p w14:paraId="382C7B1C" w14:textId="158B03A3" w:rsidR="00A51834" w:rsidRDefault="00A51834" w:rsidP="005439F2">
            <w:pPr>
              <w:rPr>
                <w:sz w:val="28"/>
                <w:szCs w:val="28"/>
              </w:rPr>
            </w:pPr>
            <w:r>
              <w:rPr>
                <w:sz w:val="28"/>
                <w:szCs w:val="28"/>
              </w:rPr>
              <w:t xml:space="preserve">22, </w:t>
            </w:r>
            <w:proofErr w:type="spellStart"/>
            <w:r>
              <w:rPr>
                <w:sz w:val="28"/>
                <w:szCs w:val="28"/>
              </w:rPr>
              <w:t>Blacknight</w:t>
            </w:r>
            <w:proofErr w:type="spellEnd"/>
          </w:p>
        </w:tc>
        <w:tc>
          <w:tcPr>
            <w:tcW w:w="2785" w:type="dxa"/>
          </w:tcPr>
          <w:p w14:paraId="1D7BC102" w14:textId="5CC32DAE" w:rsidR="00A51834" w:rsidRDefault="00A51834" w:rsidP="005439F2">
            <w:pPr>
              <w:rPr>
                <w:sz w:val="28"/>
                <w:szCs w:val="28"/>
              </w:rPr>
            </w:pPr>
            <w:r>
              <w:rPr>
                <w:sz w:val="28"/>
                <w:szCs w:val="28"/>
              </w:rPr>
              <w:t>Yes/No</w:t>
            </w:r>
          </w:p>
        </w:tc>
      </w:tr>
      <w:tr w:rsidR="00A51834" w14:paraId="5CB8B923" w14:textId="77777777" w:rsidTr="005439F2">
        <w:tc>
          <w:tcPr>
            <w:tcW w:w="8635" w:type="dxa"/>
          </w:tcPr>
          <w:p w14:paraId="053D334D" w14:textId="415E3051" w:rsidR="00A51834" w:rsidRDefault="00A51834" w:rsidP="005439F2">
            <w:pPr>
              <w:rPr>
                <w:sz w:val="28"/>
                <w:szCs w:val="28"/>
              </w:rPr>
            </w:pPr>
            <w:r>
              <w:rPr>
                <w:sz w:val="28"/>
                <w:szCs w:val="28"/>
              </w:rPr>
              <w:t xml:space="preserve">Delete recommendation. </w:t>
            </w:r>
            <w:r w:rsidRPr="00A51834">
              <w:rPr>
                <w:sz w:val="28"/>
                <w:szCs w:val="28"/>
              </w:rPr>
              <w:t>It is not a recommendation.  As such, it should</w:t>
            </w:r>
            <w:r>
              <w:rPr>
                <w:sz w:val="28"/>
                <w:szCs w:val="28"/>
              </w:rPr>
              <w:t xml:space="preserve"> </w:t>
            </w:r>
            <w:r w:rsidRPr="00A51834">
              <w:rPr>
                <w:sz w:val="28"/>
                <w:szCs w:val="28"/>
              </w:rPr>
              <w:t>be removed.  We welcome the opportunity to explore this topic further after the EPDP has concluded</w:t>
            </w:r>
            <w:r>
              <w:rPr>
                <w:sz w:val="28"/>
                <w:szCs w:val="28"/>
              </w:rPr>
              <w:t>.</w:t>
            </w:r>
            <w:bookmarkStart w:id="0" w:name="_GoBack"/>
            <w:bookmarkEnd w:id="0"/>
          </w:p>
        </w:tc>
        <w:tc>
          <w:tcPr>
            <w:tcW w:w="2970" w:type="dxa"/>
          </w:tcPr>
          <w:p w14:paraId="17E5C7E6" w14:textId="593A3FFF" w:rsidR="00A51834" w:rsidRDefault="00A51834" w:rsidP="005439F2">
            <w:pPr>
              <w:rPr>
                <w:sz w:val="28"/>
                <w:szCs w:val="28"/>
              </w:rPr>
            </w:pPr>
            <w:r>
              <w:rPr>
                <w:sz w:val="28"/>
                <w:szCs w:val="28"/>
              </w:rPr>
              <w:t>23, GoDaddy</w:t>
            </w:r>
          </w:p>
        </w:tc>
        <w:tc>
          <w:tcPr>
            <w:tcW w:w="2785" w:type="dxa"/>
          </w:tcPr>
          <w:p w14:paraId="65327B80" w14:textId="7853C94B" w:rsidR="00A51834" w:rsidRDefault="00A51834" w:rsidP="005439F2">
            <w:pPr>
              <w:rPr>
                <w:sz w:val="28"/>
                <w:szCs w:val="28"/>
              </w:rPr>
            </w:pPr>
            <w:r>
              <w:rPr>
                <w:sz w:val="28"/>
                <w:szCs w:val="28"/>
              </w:rPr>
              <w:t>Yes/No</w:t>
            </w:r>
          </w:p>
        </w:tc>
      </w:tr>
    </w:tbl>
    <w:p w14:paraId="47DDCFF4" w14:textId="77777777" w:rsidR="00553485" w:rsidRDefault="00553485" w:rsidP="00553485">
      <w:pPr>
        <w:rPr>
          <w:b/>
          <w:sz w:val="28"/>
          <w:szCs w:val="28"/>
        </w:rPr>
      </w:pPr>
    </w:p>
    <w:p w14:paraId="237FA4F9" w14:textId="77777777" w:rsidR="00553485" w:rsidRDefault="00553485" w:rsidP="00553485">
      <w:pPr>
        <w:rPr>
          <w:b/>
          <w:sz w:val="28"/>
          <w:szCs w:val="28"/>
        </w:rPr>
      </w:pPr>
    </w:p>
    <w:p w14:paraId="72E8BC6C" w14:textId="77777777" w:rsidR="00553485" w:rsidRPr="001A4D87" w:rsidRDefault="00553485" w:rsidP="00553485">
      <w:pPr>
        <w:rPr>
          <w:b/>
          <w:sz w:val="28"/>
          <w:szCs w:val="28"/>
        </w:rPr>
      </w:pPr>
    </w:p>
    <w:p w14:paraId="65915E83" w14:textId="77777777" w:rsidR="00553485" w:rsidRDefault="00553485" w:rsidP="00553485"/>
    <w:p w14:paraId="14E3BB5B" w14:textId="77777777" w:rsidR="00553485" w:rsidRDefault="00553485" w:rsidP="00553485"/>
    <w:p w14:paraId="7F975DE2"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485"/>
    <w:rsid w:val="00404709"/>
    <w:rsid w:val="004076B0"/>
    <w:rsid w:val="00440B65"/>
    <w:rsid w:val="00553485"/>
    <w:rsid w:val="00A51834"/>
    <w:rsid w:val="00AD0CDA"/>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DFA929"/>
  <w15:chartTrackingRefBased/>
  <w15:docId w15:val="{D3BBB625-477C-6A43-99BD-207FF024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3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34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534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34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27877">
      <w:bodyDiv w:val="1"/>
      <w:marLeft w:val="0"/>
      <w:marRight w:val="0"/>
      <w:marTop w:val="0"/>
      <w:marBottom w:val="0"/>
      <w:divBdr>
        <w:top w:val="none" w:sz="0" w:space="0" w:color="auto"/>
        <w:left w:val="none" w:sz="0" w:space="0" w:color="auto"/>
        <w:bottom w:val="none" w:sz="0" w:space="0" w:color="auto"/>
        <w:right w:val="none" w:sz="0" w:space="0" w:color="auto"/>
      </w:divBdr>
    </w:div>
    <w:div w:id="209265638">
      <w:bodyDiv w:val="1"/>
      <w:marLeft w:val="0"/>
      <w:marRight w:val="0"/>
      <w:marTop w:val="0"/>
      <w:marBottom w:val="0"/>
      <w:divBdr>
        <w:top w:val="none" w:sz="0" w:space="0" w:color="auto"/>
        <w:left w:val="none" w:sz="0" w:space="0" w:color="auto"/>
        <w:bottom w:val="none" w:sz="0" w:space="0" w:color="auto"/>
        <w:right w:val="none" w:sz="0" w:space="0" w:color="auto"/>
      </w:divBdr>
    </w:div>
    <w:div w:id="371272033">
      <w:bodyDiv w:val="1"/>
      <w:marLeft w:val="0"/>
      <w:marRight w:val="0"/>
      <w:marTop w:val="0"/>
      <w:marBottom w:val="0"/>
      <w:divBdr>
        <w:top w:val="none" w:sz="0" w:space="0" w:color="auto"/>
        <w:left w:val="none" w:sz="0" w:space="0" w:color="auto"/>
        <w:bottom w:val="none" w:sz="0" w:space="0" w:color="auto"/>
        <w:right w:val="none" w:sz="0" w:space="0" w:color="auto"/>
      </w:divBdr>
    </w:div>
    <w:div w:id="790901404">
      <w:bodyDiv w:val="1"/>
      <w:marLeft w:val="0"/>
      <w:marRight w:val="0"/>
      <w:marTop w:val="0"/>
      <w:marBottom w:val="0"/>
      <w:divBdr>
        <w:top w:val="none" w:sz="0" w:space="0" w:color="auto"/>
        <w:left w:val="none" w:sz="0" w:space="0" w:color="auto"/>
        <w:bottom w:val="none" w:sz="0" w:space="0" w:color="auto"/>
        <w:right w:val="none" w:sz="0" w:space="0" w:color="auto"/>
      </w:divBdr>
    </w:div>
    <w:div w:id="877934762">
      <w:bodyDiv w:val="1"/>
      <w:marLeft w:val="0"/>
      <w:marRight w:val="0"/>
      <w:marTop w:val="0"/>
      <w:marBottom w:val="0"/>
      <w:divBdr>
        <w:top w:val="none" w:sz="0" w:space="0" w:color="auto"/>
        <w:left w:val="none" w:sz="0" w:space="0" w:color="auto"/>
        <w:bottom w:val="none" w:sz="0" w:space="0" w:color="auto"/>
        <w:right w:val="none" w:sz="0" w:space="0" w:color="auto"/>
      </w:divBdr>
    </w:div>
    <w:div w:id="907181401">
      <w:bodyDiv w:val="1"/>
      <w:marLeft w:val="0"/>
      <w:marRight w:val="0"/>
      <w:marTop w:val="0"/>
      <w:marBottom w:val="0"/>
      <w:divBdr>
        <w:top w:val="none" w:sz="0" w:space="0" w:color="auto"/>
        <w:left w:val="none" w:sz="0" w:space="0" w:color="auto"/>
        <w:bottom w:val="none" w:sz="0" w:space="0" w:color="auto"/>
        <w:right w:val="none" w:sz="0" w:space="0" w:color="auto"/>
      </w:divBdr>
    </w:div>
    <w:div w:id="916670892">
      <w:bodyDiv w:val="1"/>
      <w:marLeft w:val="0"/>
      <w:marRight w:val="0"/>
      <w:marTop w:val="0"/>
      <w:marBottom w:val="0"/>
      <w:divBdr>
        <w:top w:val="none" w:sz="0" w:space="0" w:color="auto"/>
        <w:left w:val="none" w:sz="0" w:space="0" w:color="auto"/>
        <w:bottom w:val="none" w:sz="0" w:space="0" w:color="auto"/>
        <w:right w:val="none" w:sz="0" w:space="0" w:color="auto"/>
      </w:divBdr>
    </w:div>
    <w:div w:id="996881778">
      <w:bodyDiv w:val="1"/>
      <w:marLeft w:val="0"/>
      <w:marRight w:val="0"/>
      <w:marTop w:val="0"/>
      <w:marBottom w:val="0"/>
      <w:divBdr>
        <w:top w:val="none" w:sz="0" w:space="0" w:color="auto"/>
        <w:left w:val="none" w:sz="0" w:space="0" w:color="auto"/>
        <w:bottom w:val="none" w:sz="0" w:space="0" w:color="auto"/>
        <w:right w:val="none" w:sz="0" w:space="0" w:color="auto"/>
      </w:divBdr>
    </w:div>
    <w:div w:id="1037705936">
      <w:bodyDiv w:val="1"/>
      <w:marLeft w:val="0"/>
      <w:marRight w:val="0"/>
      <w:marTop w:val="0"/>
      <w:marBottom w:val="0"/>
      <w:divBdr>
        <w:top w:val="none" w:sz="0" w:space="0" w:color="auto"/>
        <w:left w:val="none" w:sz="0" w:space="0" w:color="auto"/>
        <w:bottom w:val="none" w:sz="0" w:space="0" w:color="auto"/>
        <w:right w:val="none" w:sz="0" w:space="0" w:color="auto"/>
      </w:divBdr>
    </w:div>
    <w:div w:id="1092359440">
      <w:bodyDiv w:val="1"/>
      <w:marLeft w:val="0"/>
      <w:marRight w:val="0"/>
      <w:marTop w:val="0"/>
      <w:marBottom w:val="0"/>
      <w:divBdr>
        <w:top w:val="none" w:sz="0" w:space="0" w:color="auto"/>
        <w:left w:val="none" w:sz="0" w:space="0" w:color="auto"/>
        <w:bottom w:val="none" w:sz="0" w:space="0" w:color="auto"/>
        <w:right w:val="none" w:sz="0" w:space="0" w:color="auto"/>
      </w:divBdr>
    </w:div>
    <w:div w:id="1277716913">
      <w:bodyDiv w:val="1"/>
      <w:marLeft w:val="0"/>
      <w:marRight w:val="0"/>
      <w:marTop w:val="0"/>
      <w:marBottom w:val="0"/>
      <w:divBdr>
        <w:top w:val="none" w:sz="0" w:space="0" w:color="auto"/>
        <w:left w:val="none" w:sz="0" w:space="0" w:color="auto"/>
        <w:bottom w:val="none" w:sz="0" w:space="0" w:color="auto"/>
        <w:right w:val="none" w:sz="0" w:space="0" w:color="auto"/>
      </w:divBdr>
    </w:div>
    <w:div w:id="1424836542">
      <w:bodyDiv w:val="1"/>
      <w:marLeft w:val="0"/>
      <w:marRight w:val="0"/>
      <w:marTop w:val="0"/>
      <w:marBottom w:val="0"/>
      <w:divBdr>
        <w:top w:val="none" w:sz="0" w:space="0" w:color="auto"/>
        <w:left w:val="none" w:sz="0" w:space="0" w:color="auto"/>
        <w:bottom w:val="none" w:sz="0" w:space="0" w:color="auto"/>
        <w:right w:val="none" w:sz="0" w:space="0" w:color="auto"/>
      </w:divBdr>
    </w:div>
    <w:div w:id="1445689319">
      <w:bodyDiv w:val="1"/>
      <w:marLeft w:val="0"/>
      <w:marRight w:val="0"/>
      <w:marTop w:val="0"/>
      <w:marBottom w:val="0"/>
      <w:divBdr>
        <w:top w:val="none" w:sz="0" w:space="0" w:color="auto"/>
        <w:left w:val="none" w:sz="0" w:space="0" w:color="auto"/>
        <w:bottom w:val="none" w:sz="0" w:space="0" w:color="auto"/>
        <w:right w:val="none" w:sz="0" w:space="0" w:color="auto"/>
      </w:divBdr>
    </w:div>
    <w:div w:id="1500610262">
      <w:bodyDiv w:val="1"/>
      <w:marLeft w:val="0"/>
      <w:marRight w:val="0"/>
      <w:marTop w:val="0"/>
      <w:marBottom w:val="0"/>
      <w:divBdr>
        <w:top w:val="none" w:sz="0" w:space="0" w:color="auto"/>
        <w:left w:val="none" w:sz="0" w:space="0" w:color="auto"/>
        <w:bottom w:val="none" w:sz="0" w:space="0" w:color="auto"/>
        <w:right w:val="none" w:sz="0" w:space="0" w:color="auto"/>
      </w:divBdr>
    </w:div>
    <w:div w:id="1617177606">
      <w:bodyDiv w:val="1"/>
      <w:marLeft w:val="0"/>
      <w:marRight w:val="0"/>
      <w:marTop w:val="0"/>
      <w:marBottom w:val="0"/>
      <w:divBdr>
        <w:top w:val="none" w:sz="0" w:space="0" w:color="auto"/>
        <w:left w:val="none" w:sz="0" w:space="0" w:color="auto"/>
        <w:bottom w:val="none" w:sz="0" w:space="0" w:color="auto"/>
        <w:right w:val="none" w:sz="0" w:space="0" w:color="auto"/>
      </w:divBdr>
    </w:div>
    <w:div w:id="1814784963">
      <w:bodyDiv w:val="1"/>
      <w:marLeft w:val="0"/>
      <w:marRight w:val="0"/>
      <w:marTop w:val="0"/>
      <w:marBottom w:val="0"/>
      <w:divBdr>
        <w:top w:val="none" w:sz="0" w:space="0" w:color="auto"/>
        <w:left w:val="none" w:sz="0" w:space="0" w:color="auto"/>
        <w:bottom w:val="none" w:sz="0" w:space="0" w:color="auto"/>
        <w:right w:val="none" w:sz="0" w:space="0" w:color="auto"/>
      </w:divBdr>
    </w:div>
    <w:div w:id="1851020113">
      <w:bodyDiv w:val="1"/>
      <w:marLeft w:val="0"/>
      <w:marRight w:val="0"/>
      <w:marTop w:val="0"/>
      <w:marBottom w:val="0"/>
      <w:divBdr>
        <w:top w:val="none" w:sz="0" w:space="0" w:color="auto"/>
        <w:left w:val="none" w:sz="0" w:space="0" w:color="auto"/>
        <w:bottom w:val="none" w:sz="0" w:space="0" w:color="auto"/>
        <w:right w:val="none" w:sz="0" w:space="0" w:color="auto"/>
      </w:divBdr>
    </w:div>
    <w:div w:id="1885360227">
      <w:bodyDiv w:val="1"/>
      <w:marLeft w:val="0"/>
      <w:marRight w:val="0"/>
      <w:marTop w:val="0"/>
      <w:marBottom w:val="0"/>
      <w:divBdr>
        <w:top w:val="none" w:sz="0" w:space="0" w:color="auto"/>
        <w:left w:val="none" w:sz="0" w:space="0" w:color="auto"/>
        <w:bottom w:val="none" w:sz="0" w:space="0" w:color="auto"/>
        <w:right w:val="none" w:sz="0" w:space="0" w:color="auto"/>
      </w:divBdr>
    </w:div>
    <w:div w:id="1960837723">
      <w:bodyDiv w:val="1"/>
      <w:marLeft w:val="0"/>
      <w:marRight w:val="0"/>
      <w:marTop w:val="0"/>
      <w:marBottom w:val="0"/>
      <w:divBdr>
        <w:top w:val="none" w:sz="0" w:space="0" w:color="auto"/>
        <w:left w:val="none" w:sz="0" w:space="0" w:color="auto"/>
        <w:bottom w:val="none" w:sz="0" w:space="0" w:color="auto"/>
        <w:right w:val="none" w:sz="0" w:space="0" w:color="auto"/>
      </w:divBdr>
    </w:div>
    <w:div w:id="20030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1</cp:revision>
  <cp:lastPrinted>2019-01-13T16:52:00Z</cp:lastPrinted>
  <dcterms:created xsi:type="dcterms:W3CDTF">2019-01-13T16:45:00Z</dcterms:created>
  <dcterms:modified xsi:type="dcterms:W3CDTF">2019-01-13T17:14:00Z</dcterms:modified>
</cp:coreProperties>
</file>