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B8E28A" w14:textId="24A8190F" w:rsidR="00FE691B" w:rsidRDefault="00FE691B" w:rsidP="00FE691B">
      <w:pPr>
        <w:rPr>
          <w:b/>
          <w:sz w:val="32"/>
          <w:szCs w:val="32"/>
        </w:rPr>
      </w:pPr>
      <w:bookmarkStart w:id="0" w:name="_GoBack"/>
      <w:bookmarkEnd w:id="0"/>
      <w:r>
        <w:rPr>
          <w:b/>
          <w:sz w:val="32"/>
          <w:szCs w:val="32"/>
        </w:rPr>
        <w:t>RECOMMENDATION 17</w:t>
      </w:r>
    </w:p>
    <w:p w14:paraId="20D7849A" w14:textId="77777777" w:rsidR="00FE691B" w:rsidRDefault="00FE691B" w:rsidP="00FE691B">
      <w:pPr>
        <w:rPr>
          <w:b/>
          <w:sz w:val="32"/>
          <w:szCs w:val="32"/>
        </w:rPr>
      </w:pPr>
    </w:p>
    <w:p w14:paraId="2BAC693D" w14:textId="16AFDD02" w:rsidR="00FE691B" w:rsidRPr="00974C5E" w:rsidRDefault="00FE691B" w:rsidP="00FE691B">
      <w:pPr>
        <w:pBdr>
          <w:top w:val="single" w:sz="4" w:space="1" w:color="auto"/>
          <w:left w:val="single" w:sz="4" w:space="4" w:color="auto"/>
          <w:bottom w:val="single" w:sz="4" w:space="1" w:color="auto"/>
          <w:right w:val="single" w:sz="4" w:space="4" w:color="auto"/>
        </w:pBdr>
        <w:rPr>
          <w:sz w:val="28"/>
          <w:szCs w:val="28"/>
        </w:rPr>
      </w:pPr>
      <w:r w:rsidRPr="00FE691B">
        <w:rPr>
          <w:sz w:val="28"/>
          <w:szCs w:val="28"/>
        </w:rPr>
        <w:t>The EPDP Team requests that when the EPDP Team commences its deliberations on a</w:t>
      </w:r>
      <w:r>
        <w:rPr>
          <w:sz w:val="28"/>
          <w:szCs w:val="28"/>
        </w:rPr>
        <w:t xml:space="preserve"> </w:t>
      </w:r>
      <w:r w:rsidRPr="00FE691B">
        <w:rPr>
          <w:sz w:val="28"/>
          <w:szCs w:val="28"/>
        </w:rPr>
        <w:t>standardized access framework, a representative of the RPMs PDP WG shall provide an</w:t>
      </w:r>
      <w:r>
        <w:rPr>
          <w:sz w:val="28"/>
          <w:szCs w:val="28"/>
        </w:rPr>
        <w:t xml:space="preserve"> </w:t>
      </w:r>
      <w:r w:rsidRPr="00FE691B">
        <w:rPr>
          <w:sz w:val="28"/>
          <w:szCs w:val="28"/>
        </w:rPr>
        <w:t>update on the current status of deliberations so that the EPDP Team may determine</w:t>
      </w:r>
      <w:r>
        <w:rPr>
          <w:sz w:val="28"/>
          <w:szCs w:val="28"/>
        </w:rPr>
        <w:t xml:space="preserve"> </w:t>
      </w:r>
      <w:r w:rsidRPr="00FE691B">
        <w:rPr>
          <w:sz w:val="28"/>
          <w:szCs w:val="28"/>
        </w:rPr>
        <w:t>if/how the WG’s recommendations may affect consideration of the URS and UDRP in</w:t>
      </w:r>
      <w:r>
        <w:rPr>
          <w:sz w:val="28"/>
          <w:szCs w:val="28"/>
        </w:rPr>
        <w:t xml:space="preserve"> </w:t>
      </w:r>
      <w:r w:rsidRPr="00FE691B">
        <w:rPr>
          <w:sz w:val="28"/>
          <w:szCs w:val="28"/>
        </w:rPr>
        <w:t>the context of the standardized access framework deliberations.</w:t>
      </w:r>
    </w:p>
    <w:p w14:paraId="104E1DFB" w14:textId="30C2666A" w:rsidR="00FE691B" w:rsidRDefault="00FE691B" w:rsidP="00FE691B"/>
    <w:p w14:paraId="2CDFB1EC" w14:textId="09F74C36" w:rsidR="00F07AAB" w:rsidRPr="00F07AAB" w:rsidRDefault="00F07AAB" w:rsidP="00FE691B">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1FE0F157" w14:textId="77777777" w:rsidR="00FE691B" w:rsidRDefault="00FE691B" w:rsidP="00FE691B">
      <w:pPr>
        <w:rPr>
          <w:b/>
          <w:sz w:val="28"/>
          <w:szCs w:val="28"/>
        </w:rPr>
      </w:pPr>
    </w:p>
    <w:p w14:paraId="13975134" w14:textId="77777777" w:rsidR="00FE691B" w:rsidRDefault="00FE691B" w:rsidP="00FE691B">
      <w:pPr>
        <w:rPr>
          <w:b/>
          <w:sz w:val="28"/>
          <w:szCs w:val="28"/>
        </w:rPr>
      </w:pPr>
      <w:r>
        <w:rPr>
          <w:b/>
          <w:sz w:val="28"/>
          <w:szCs w:val="28"/>
        </w:rPr>
        <w:t>Noted Concerns</w:t>
      </w:r>
    </w:p>
    <w:p w14:paraId="2F12ED04" w14:textId="77777777" w:rsidR="00FE691B" w:rsidRDefault="00FE691B" w:rsidP="00FE691B">
      <w:pPr>
        <w:rPr>
          <w:b/>
          <w:sz w:val="28"/>
          <w:szCs w:val="28"/>
        </w:rPr>
      </w:pPr>
    </w:p>
    <w:tbl>
      <w:tblPr>
        <w:tblStyle w:val="TableGrid"/>
        <w:tblW w:w="0" w:type="auto"/>
        <w:tblLook w:val="04A0" w:firstRow="1" w:lastRow="0" w:firstColumn="1" w:lastColumn="0" w:noHBand="0" w:noVBand="1"/>
      </w:tblPr>
      <w:tblGrid>
        <w:gridCol w:w="8635"/>
        <w:gridCol w:w="2970"/>
        <w:gridCol w:w="2785"/>
      </w:tblGrid>
      <w:tr w:rsidR="00FE691B" w14:paraId="280BCA8F" w14:textId="77777777" w:rsidTr="00FF746D">
        <w:tc>
          <w:tcPr>
            <w:tcW w:w="8635" w:type="dxa"/>
            <w:shd w:val="clear" w:color="auto" w:fill="F7CAAC" w:themeFill="accent2" w:themeFillTint="66"/>
          </w:tcPr>
          <w:p w14:paraId="041B83FB" w14:textId="77777777" w:rsidR="00FE691B" w:rsidRDefault="00FE691B" w:rsidP="00FF746D">
            <w:pPr>
              <w:rPr>
                <w:b/>
                <w:sz w:val="28"/>
                <w:szCs w:val="28"/>
              </w:rPr>
            </w:pPr>
            <w:r>
              <w:rPr>
                <w:b/>
                <w:sz w:val="28"/>
                <w:szCs w:val="28"/>
              </w:rPr>
              <w:t>Concern</w:t>
            </w:r>
          </w:p>
        </w:tc>
        <w:tc>
          <w:tcPr>
            <w:tcW w:w="2970" w:type="dxa"/>
            <w:shd w:val="clear" w:color="auto" w:fill="F7CAAC" w:themeFill="accent2" w:themeFillTint="66"/>
          </w:tcPr>
          <w:p w14:paraId="2EA2D946" w14:textId="77777777" w:rsidR="00FE691B" w:rsidRDefault="00FE691B" w:rsidP="00FF746D">
            <w:pPr>
              <w:rPr>
                <w:b/>
                <w:sz w:val="28"/>
                <w:szCs w:val="28"/>
              </w:rPr>
            </w:pPr>
            <w:r>
              <w:rPr>
                <w:b/>
                <w:sz w:val="28"/>
                <w:szCs w:val="28"/>
              </w:rPr>
              <w:t>Corresponding PCRT Comment #</w:t>
            </w:r>
          </w:p>
        </w:tc>
        <w:tc>
          <w:tcPr>
            <w:tcW w:w="2785" w:type="dxa"/>
            <w:shd w:val="clear" w:color="auto" w:fill="F7CAAC" w:themeFill="accent2" w:themeFillTint="66"/>
          </w:tcPr>
          <w:p w14:paraId="387628E6" w14:textId="77777777" w:rsidR="00FE691B" w:rsidRDefault="00FE691B" w:rsidP="00FF746D">
            <w:pPr>
              <w:rPr>
                <w:b/>
                <w:sz w:val="28"/>
                <w:szCs w:val="28"/>
              </w:rPr>
            </w:pPr>
            <w:r>
              <w:rPr>
                <w:b/>
                <w:sz w:val="28"/>
                <w:szCs w:val="28"/>
              </w:rPr>
              <w:t>Further Discussion Required?</w:t>
            </w:r>
          </w:p>
        </w:tc>
      </w:tr>
      <w:tr w:rsidR="00FE691B" w14:paraId="4D31DA18" w14:textId="77777777" w:rsidTr="00FF746D">
        <w:tc>
          <w:tcPr>
            <w:tcW w:w="8635" w:type="dxa"/>
          </w:tcPr>
          <w:p w14:paraId="6766A2F8" w14:textId="71E3847C" w:rsidR="00FE691B" w:rsidRPr="007950A5" w:rsidRDefault="00FE691B" w:rsidP="00FF746D">
            <w:pPr>
              <w:rPr>
                <w:sz w:val="28"/>
                <w:szCs w:val="28"/>
              </w:rPr>
            </w:pPr>
            <w:r>
              <w:rPr>
                <w:sz w:val="28"/>
                <w:szCs w:val="28"/>
              </w:rPr>
              <w:t>In</w:t>
            </w:r>
            <w:r w:rsidRPr="00FE691B">
              <w:rPr>
                <w:sz w:val="28"/>
                <w:szCs w:val="28"/>
              </w:rPr>
              <w:t xml:space="preserve"> lieu of or in addition to a representative of the RPM WG, a UDRP provider should be included as a representative in any update to the EPDP team to properly assess the potential impact of the EPDP work on UDRP case administration.</w:t>
            </w:r>
          </w:p>
        </w:tc>
        <w:tc>
          <w:tcPr>
            <w:tcW w:w="2970" w:type="dxa"/>
          </w:tcPr>
          <w:p w14:paraId="6786E7D2" w14:textId="6E85B49A" w:rsidR="00FE691B" w:rsidRPr="00362929" w:rsidRDefault="00FE691B" w:rsidP="00FF746D">
            <w:pPr>
              <w:rPr>
                <w:sz w:val="28"/>
                <w:szCs w:val="28"/>
              </w:rPr>
            </w:pPr>
            <w:r>
              <w:rPr>
                <w:sz w:val="28"/>
                <w:szCs w:val="28"/>
              </w:rPr>
              <w:t>4, 6</w:t>
            </w:r>
            <w:r w:rsidR="00F07AAB">
              <w:rPr>
                <w:sz w:val="28"/>
                <w:szCs w:val="28"/>
              </w:rPr>
              <w:t xml:space="preserve"> (WIPO, Forum)</w:t>
            </w:r>
          </w:p>
        </w:tc>
        <w:tc>
          <w:tcPr>
            <w:tcW w:w="2785" w:type="dxa"/>
          </w:tcPr>
          <w:p w14:paraId="3D785A6D" w14:textId="77777777" w:rsidR="00FE691B" w:rsidRPr="00362929" w:rsidRDefault="00FE691B" w:rsidP="00FF746D">
            <w:pPr>
              <w:rPr>
                <w:sz w:val="28"/>
                <w:szCs w:val="28"/>
              </w:rPr>
            </w:pPr>
            <w:r>
              <w:rPr>
                <w:sz w:val="28"/>
                <w:szCs w:val="28"/>
              </w:rPr>
              <w:t>Yes/No</w:t>
            </w:r>
          </w:p>
        </w:tc>
      </w:tr>
      <w:tr w:rsidR="00FE691B" w14:paraId="17341B44" w14:textId="77777777" w:rsidTr="00FF746D">
        <w:tc>
          <w:tcPr>
            <w:tcW w:w="8635" w:type="dxa"/>
          </w:tcPr>
          <w:p w14:paraId="62F2DF49" w14:textId="79EF6C5E" w:rsidR="00FE691B" w:rsidRDefault="00FE691B" w:rsidP="00FF746D">
            <w:pPr>
              <w:rPr>
                <w:sz w:val="28"/>
                <w:szCs w:val="28"/>
              </w:rPr>
            </w:pPr>
            <w:r w:rsidRPr="00FE691B">
              <w:rPr>
                <w:sz w:val="28"/>
                <w:szCs w:val="28"/>
              </w:rPr>
              <w:t>While the BC supports the concept of a representative of the RMPs PDP WG providing such an update, we reiterate here that the gating questions have been substantially answered and deliberations should commence on standardized access.  We also recommend that a representative of a UDRP and URS dispute resolution provider be available to the team in order to give perspective on the use of data in conducting resolutions.</w:t>
            </w:r>
          </w:p>
        </w:tc>
        <w:tc>
          <w:tcPr>
            <w:tcW w:w="2970" w:type="dxa"/>
          </w:tcPr>
          <w:p w14:paraId="1A6CE69D" w14:textId="6BCD374A" w:rsidR="00FE691B" w:rsidRDefault="00FE691B" w:rsidP="00FF746D">
            <w:pPr>
              <w:rPr>
                <w:sz w:val="28"/>
                <w:szCs w:val="28"/>
              </w:rPr>
            </w:pPr>
            <w:r>
              <w:rPr>
                <w:sz w:val="28"/>
                <w:szCs w:val="28"/>
              </w:rPr>
              <w:t>5</w:t>
            </w:r>
            <w:r w:rsidR="00F07AAB">
              <w:rPr>
                <w:sz w:val="28"/>
                <w:szCs w:val="28"/>
              </w:rPr>
              <w:t xml:space="preserve"> (BC)</w:t>
            </w:r>
          </w:p>
        </w:tc>
        <w:tc>
          <w:tcPr>
            <w:tcW w:w="2785" w:type="dxa"/>
          </w:tcPr>
          <w:p w14:paraId="5ED7C882" w14:textId="23D0BE89" w:rsidR="00FE691B" w:rsidRDefault="00FE691B" w:rsidP="00FF746D">
            <w:pPr>
              <w:rPr>
                <w:sz w:val="28"/>
                <w:szCs w:val="28"/>
              </w:rPr>
            </w:pPr>
            <w:r>
              <w:rPr>
                <w:sz w:val="28"/>
                <w:szCs w:val="28"/>
              </w:rPr>
              <w:t>Yes/No</w:t>
            </w:r>
          </w:p>
        </w:tc>
      </w:tr>
      <w:tr w:rsidR="00FE691B" w14:paraId="14063A98" w14:textId="77777777" w:rsidTr="00FF746D">
        <w:tc>
          <w:tcPr>
            <w:tcW w:w="8635" w:type="dxa"/>
          </w:tcPr>
          <w:p w14:paraId="2E6ACA49" w14:textId="5F1D9383" w:rsidR="00FE691B" w:rsidRDefault="00FE691B" w:rsidP="00FF746D">
            <w:pPr>
              <w:rPr>
                <w:sz w:val="28"/>
                <w:szCs w:val="28"/>
              </w:rPr>
            </w:pPr>
            <w:r>
              <w:rPr>
                <w:sz w:val="28"/>
                <w:szCs w:val="28"/>
              </w:rPr>
              <w:t>T</w:t>
            </w:r>
            <w:r w:rsidRPr="00FE691B">
              <w:rPr>
                <w:sz w:val="28"/>
                <w:szCs w:val="28"/>
              </w:rPr>
              <w:t>his is an action item but not a recommendation for policy</w:t>
            </w:r>
          </w:p>
        </w:tc>
        <w:tc>
          <w:tcPr>
            <w:tcW w:w="2970" w:type="dxa"/>
          </w:tcPr>
          <w:p w14:paraId="51DF0D30" w14:textId="0DAD9AD5" w:rsidR="00FE691B" w:rsidRDefault="00FE691B" w:rsidP="00FF746D">
            <w:pPr>
              <w:rPr>
                <w:sz w:val="28"/>
                <w:szCs w:val="28"/>
              </w:rPr>
            </w:pPr>
            <w:r>
              <w:rPr>
                <w:sz w:val="28"/>
                <w:szCs w:val="28"/>
              </w:rPr>
              <w:t>7</w:t>
            </w:r>
            <w:r w:rsidR="00F07AAB">
              <w:rPr>
                <w:sz w:val="28"/>
                <w:szCs w:val="28"/>
              </w:rPr>
              <w:t xml:space="preserve"> (GoDaddy)</w:t>
            </w:r>
          </w:p>
        </w:tc>
        <w:tc>
          <w:tcPr>
            <w:tcW w:w="2785" w:type="dxa"/>
          </w:tcPr>
          <w:p w14:paraId="7509CCE4" w14:textId="4E7858B1" w:rsidR="00FE691B" w:rsidRDefault="00FE691B" w:rsidP="00FF746D">
            <w:pPr>
              <w:rPr>
                <w:sz w:val="28"/>
                <w:szCs w:val="28"/>
              </w:rPr>
            </w:pPr>
            <w:r>
              <w:rPr>
                <w:sz w:val="28"/>
                <w:szCs w:val="28"/>
              </w:rPr>
              <w:t>Yes/No</w:t>
            </w:r>
          </w:p>
        </w:tc>
      </w:tr>
    </w:tbl>
    <w:p w14:paraId="07CC2797" w14:textId="77777777" w:rsidR="00FE691B" w:rsidRDefault="00FE691B" w:rsidP="00FE691B"/>
    <w:p w14:paraId="3E177F7B" w14:textId="77777777" w:rsidR="00FE691B" w:rsidRDefault="00FE691B" w:rsidP="00FE691B"/>
    <w:p w14:paraId="2682714B"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91B"/>
    <w:rsid w:val="00404709"/>
    <w:rsid w:val="004076B0"/>
    <w:rsid w:val="00440B65"/>
    <w:rsid w:val="00D759E2"/>
    <w:rsid w:val="00DC58CE"/>
    <w:rsid w:val="00F07AAB"/>
    <w:rsid w:val="00FE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A32D6"/>
  <w15:chartTrackingRefBased/>
  <w15:docId w15:val="{6980AE9F-AC6D-2346-B5C1-D71184A75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E69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6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007799">
      <w:bodyDiv w:val="1"/>
      <w:marLeft w:val="0"/>
      <w:marRight w:val="0"/>
      <w:marTop w:val="0"/>
      <w:marBottom w:val="0"/>
      <w:divBdr>
        <w:top w:val="none" w:sz="0" w:space="0" w:color="auto"/>
        <w:left w:val="none" w:sz="0" w:space="0" w:color="auto"/>
        <w:bottom w:val="none" w:sz="0" w:space="0" w:color="auto"/>
        <w:right w:val="none" w:sz="0" w:space="0" w:color="auto"/>
      </w:divBdr>
    </w:div>
    <w:div w:id="936985961">
      <w:bodyDiv w:val="1"/>
      <w:marLeft w:val="0"/>
      <w:marRight w:val="0"/>
      <w:marTop w:val="0"/>
      <w:marBottom w:val="0"/>
      <w:divBdr>
        <w:top w:val="none" w:sz="0" w:space="0" w:color="auto"/>
        <w:left w:val="none" w:sz="0" w:space="0" w:color="auto"/>
        <w:bottom w:val="none" w:sz="0" w:space="0" w:color="auto"/>
        <w:right w:val="none" w:sz="0" w:space="0" w:color="auto"/>
      </w:divBdr>
    </w:div>
    <w:div w:id="1443576922">
      <w:bodyDiv w:val="1"/>
      <w:marLeft w:val="0"/>
      <w:marRight w:val="0"/>
      <w:marTop w:val="0"/>
      <w:marBottom w:val="0"/>
      <w:divBdr>
        <w:top w:val="none" w:sz="0" w:space="0" w:color="auto"/>
        <w:left w:val="none" w:sz="0" w:space="0" w:color="auto"/>
        <w:bottom w:val="none" w:sz="0" w:space="0" w:color="auto"/>
        <w:right w:val="none" w:sz="0" w:space="0" w:color="auto"/>
      </w:divBdr>
    </w:div>
    <w:div w:id="147930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2019-01-08T02:05:00Z</dcterms:created>
  <dcterms:modified xsi:type="dcterms:W3CDTF">2019-01-08T02:05:00Z</dcterms:modified>
</cp:coreProperties>
</file>