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198E5" w14:textId="6B141D4E" w:rsidR="001F54C2" w:rsidRPr="001A4D87" w:rsidRDefault="001F54C2" w:rsidP="001F54C2">
      <w:pPr>
        <w:rPr>
          <w:b/>
          <w:sz w:val="32"/>
          <w:szCs w:val="32"/>
        </w:rPr>
      </w:pPr>
      <w:r>
        <w:rPr>
          <w:b/>
          <w:sz w:val="32"/>
          <w:szCs w:val="32"/>
        </w:rPr>
        <w:t>RECOMMENDATION 15</w:t>
      </w:r>
    </w:p>
    <w:p w14:paraId="2053770A" w14:textId="77777777" w:rsidR="001F54C2" w:rsidRDefault="001F54C2" w:rsidP="001F54C2"/>
    <w:p w14:paraId="463A9D44" w14:textId="5FA46AFE" w:rsidR="001F54C2" w:rsidRPr="001F54C2" w:rsidRDefault="001F54C2" w:rsidP="001F54C2">
      <w:pPr>
        <w:pBdr>
          <w:top w:val="single" w:sz="4" w:space="1" w:color="auto"/>
          <w:left w:val="single" w:sz="4" w:space="4" w:color="auto"/>
          <w:bottom w:val="single" w:sz="4" w:space="1" w:color="auto"/>
          <w:right w:val="single" w:sz="4" w:space="4" w:color="auto"/>
        </w:pBdr>
        <w:rPr>
          <w:sz w:val="28"/>
          <w:szCs w:val="28"/>
        </w:rPr>
      </w:pPr>
      <w:r w:rsidRPr="001F54C2">
        <w:rPr>
          <w:sz w:val="28"/>
          <w:szCs w:val="28"/>
        </w:rPr>
        <w:t>The EPDP Team recommends that for the new policy on gTLD registration data, the</w:t>
      </w:r>
      <w:r>
        <w:rPr>
          <w:sz w:val="28"/>
          <w:szCs w:val="28"/>
        </w:rPr>
        <w:t xml:space="preserve"> </w:t>
      </w:r>
      <w:r w:rsidRPr="001F54C2">
        <w:rPr>
          <w:sz w:val="28"/>
          <w:szCs w:val="28"/>
        </w:rPr>
        <w:t>requirements of the Temporary Specification are maintained in relation to URS and</w:t>
      </w:r>
      <w:r>
        <w:rPr>
          <w:sz w:val="28"/>
          <w:szCs w:val="28"/>
        </w:rPr>
        <w:t xml:space="preserve"> </w:t>
      </w:r>
      <w:r w:rsidRPr="001F54C2">
        <w:rPr>
          <w:sz w:val="28"/>
          <w:szCs w:val="28"/>
        </w:rPr>
        <w:t>UDRP until such time as these are superseded by recommendations from the RPMs PDP</w:t>
      </w:r>
      <w:r>
        <w:rPr>
          <w:sz w:val="28"/>
          <w:szCs w:val="28"/>
        </w:rPr>
        <w:t xml:space="preserve"> </w:t>
      </w:r>
      <w:r w:rsidRPr="001F54C2">
        <w:rPr>
          <w:sz w:val="28"/>
          <w:szCs w:val="28"/>
        </w:rPr>
        <w:t>WG (if any).</w:t>
      </w:r>
    </w:p>
    <w:p w14:paraId="1FFDD429" w14:textId="4135BD11" w:rsidR="001F54C2" w:rsidRDefault="001F54C2" w:rsidP="001F54C2">
      <w:pPr>
        <w:rPr>
          <w:b/>
          <w:sz w:val="28"/>
          <w:szCs w:val="28"/>
        </w:rPr>
      </w:pPr>
    </w:p>
    <w:p w14:paraId="45A2FBE8" w14:textId="397C001B" w:rsidR="00DD66D2" w:rsidRPr="00DD66D2" w:rsidRDefault="00DD66D2" w:rsidP="001F54C2">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54C9D0E5" w14:textId="77777777" w:rsidR="00DD66D2" w:rsidRDefault="00DD66D2" w:rsidP="001F54C2">
      <w:pPr>
        <w:rPr>
          <w:b/>
          <w:sz w:val="28"/>
          <w:szCs w:val="28"/>
        </w:rPr>
      </w:pPr>
    </w:p>
    <w:p w14:paraId="51B01F88" w14:textId="41A9891C" w:rsidR="001F54C2" w:rsidRDefault="001F54C2" w:rsidP="001F54C2">
      <w:pPr>
        <w:rPr>
          <w:b/>
          <w:sz w:val="28"/>
          <w:szCs w:val="28"/>
        </w:rPr>
      </w:pPr>
      <w:r>
        <w:rPr>
          <w:b/>
          <w:sz w:val="28"/>
          <w:szCs w:val="28"/>
        </w:rPr>
        <w:t>Noted Concerns</w:t>
      </w:r>
    </w:p>
    <w:p w14:paraId="6CB67879" w14:textId="77777777" w:rsidR="001F54C2" w:rsidRDefault="001F54C2" w:rsidP="001F54C2">
      <w:pPr>
        <w:rPr>
          <w:b/>
          <w:sz w:val="28"/>
          <w:szCs w:val="28"/>
        </w:rPr>
      </w:pPr>
    </w:p>
    <w:tbl>
      <w:tblPr>
        <w:tblStyle w:val="TableGrid"/>
        <w:tblW w:w="0" w:type="auto"/>
        <w:tblLook w:val="04A0" w:firstRow="1" w:lastRow="0" w:firstColumn="1" w:lastColumn="0" w:noHBand="0" w:noVBand="1"/>
      </w:tblPr>
      <w:tblGrid>
        <w:gridCol w:w="8635"/>
        <w:gridCol w:w="2970"/>
        <w:gridCol w:w="2785"/>
      </w:tblGrid>
      <w:tr w:rsidR="001F54C2" w14:paraId="0D625B9D" w14:textId="77777777" w:rsidTr="00FF746D">
        <w:tc>
          <w:tcPr>
            <w:tcW w:w="8635" w:type="dxa"/>
            <w:shd w:val="clear" w:color="auto" w:fill="F7CAAC" w:themeFill="accent2" w:themeFillTint="66"/>
          </w:tcPr>
          <w:p w14:paraId="2F38B285" w14:textId="77777777" w:rsidR="001F54C2" w:rsidRDefault="001F54C2" w:rsidP="00FF746D">
            <w:pPr>
              <w:rPr>
                <w:b/>
                <w:sz w:val="28"/>
                <w:szCs w:val="28"/>
              </w:rPr>
            </w:pPr>
            <w:r>
              <w:rPr>
                <w:b/>
                <w:sz w:val="28"/>
                <w:szCs w:val="28"/>
              </w:rPr>
              <w:t>Concern</w:t>
            </w:r>
          </w:p>
        </w:tc>
        <w:tc>
          <w:tcPr>
            <w:tcW w:w="2970" w:type="dxa"/>
            <w:shd w:val="clear" w:color="auto" w:fill="F7CAAC" w:themeFill="accent2" w:themeFillTint="66"/>
          </w:tcPr>
          <w:p w14:paraId="2D2555D6" w14:textId="77777777" w:rsidR="001F54C2" w:rsidRDefault="001F54C2" w:rsidP="00FF746D">
            <w:pPr>
              <w:rPr>
                <w:b/>
                <w:sz w:val="28"/>
                <w:szCs w:val="28"/>
              </w:rPr>
            </w:pPr>
            <w:r>
              <w:rPr>
                <w:b/>
                <w:sz w:val="28"/>
                <w:szCs w:val="28"/>
              </w:rPr>
              <w:t>Corresponding PCRT Comment #</w:t>
            </w:r>
          </w:p>
        </w:tc>
        <w:tc>
          <w:tcPr>
            <w:tcW w:w="2785" w:type="dxa"/>
            <w:shd w:val="clear" w:color="auto" w:fill="F7CAAC" w:themeFill="accent2" w:themeFillTint="66"/>
          </w:tcPr>
          <w:p w14:paraId="0C5AAB17" w14:textId="77777777" w:rsidR="001F54C2" w:rsidRDefault="001F54C2" w:rsidP="00FF746D">
            <w:pPr>
              <w:rPr>
                <w:b/>
                <w:sz w:val="28"/>
                <w:szCs w:val="28"/>
              </w:rPr>
            </w:pPr>
            <w:r>
              <w:rPr>
                <w:b/>
                <w:sz w:val="28"/>
                <w:szCs w:val="28"/>
              </w:rPr>
              <w:t>Further Discussion Required?</w:t>
            </w:r>
          </w:p>
        </w:tc>
      </w:tr>
      <w:tr w:rsidR="001F54C2" w14:paraId="735FF3C4" w14:textId="77777777" w:rsidTr="00FF746D">
        <w:tc>
          <w:tcPr>
            <w:tcW w:w="8635" w:type="dxa"/>
          </w:tcPr>
          <w:p w14:paraId="116149BD" w14:textId="020FE99C" w:rsidR="001F54C2" w:rsidRPr="007950A5" w:rsidRDefault="001F54C2" w:rsidP="00FF746D">
            <w:pPr>
              <w:rPr>
                <w:sz w:val="28"/>
                <w:szCs w:val="28"/>
              </w:rPr>
            </w:pPr>
            <w:r>
              <w:rPr>
                <w:sz w:val="28"/>
                <w:szCs w:val="28"/>
              </w:rPr>
              <w:t xml:space="preserve">Support purpose, but do not support </w:t>
            </w:r>
            <w:r w:rsidRPr="001F54C2">
              <w:rPr>
                <w:sz w:val="28"/>
                <w:szCs w:val="28"/>
              </w:rPr>
              <w:t xml:space="preserve">the idea of disclosure of RNH data prior to the filing of a UDRP dispute. </w:t>
            </w:r>
          </w:p>
        </w:tc>
        <w:tc>
          <w:tcPr>
            <w:tcW w:w="2970" w:type="dxa"/>
          </w:tcPr>
          <w:p w14:paraId="5C5697DF" w14:textId="51C5C5FA" w:rsidR="001F54C2" w:rsidRPr="00362929" w:rsidRDefault="001F54C2" w:rsidP="00FF746D">
            <w:pPr>
              <w:rPr>
                <w:sz w:val="28"/>
                <w:szCs w:val="28"/>
              </w:rPr>
            </w:pPr>
            <w:r>
              <w:rPr>
                <w:sz w:val="28"/>
                <w:szCs w:val="28"/>
              </w:rPr>
              <w:t>2</w:t>
            </w:r>
            <w:r w:rsidR="00DD66D2">
              <w:rPr>
                <w:sz w:val="28"/>
                <w:szCs w:val="28"/>
              </w:rPr>
              <w:t xml:space="preserve"> (Tucows)</w:t>
            </w:r>
          </w:p>
        </w:tc>
        <w:tc>
          <w:tcPr>
            <w:tcW w:w="2785" w:type="dxa"/>
          </w:tcPr>
          <w:p w14:paraId="010D3968" w14:textId="364F09B2" w:rsidR="001F54C2" w:rsidRPr="00362929" w:rsidRDefault="001F54C2" w:rsidP="00FF746D">
            <w:pPr>
              <w:rPr>
                <w:sz w:val="28"/>
                <w:szCs w:val="28"/>
              </w:rPr>
            </w:pPr>
            <w:r>
              <w:rPr>
                <w:sz w:val="28"/>
                <w:szCs w:val="28"/>
              </w:rPr>
              <w:t>Yes/No</w:t>
            </w:r>
          </w:p>
        </w:tc>
      </w:tr>
      <w:tr w:rsidR="001F54C2" w14:paraId="7E1E9363" w14:textId="77777777" w:rsidTr="00FF746D">
        <w:tc>
          <w:tcPr>
            <w:tcW w:w="8635" w:type="dxa"/>
          </w:tcPr>
          <w:p w14:paraId="60260D44" w14:textId="20BFE3C5" w:rsidR="001F54C2" w:rsidRDefault="001F54C2" w:rsidP="00FF746D">
            <w:pPr>
              <w:rPr>
                <w:sz w:val="28"/>
                <w:szCs w:val="28"/>
              </w:rPr>
            </w:pPr>
            <w:r>
              <w:rPr>
                <w:sz w:val="28"/>
                <w:szCs w:val="28"/>
              </w:rPr>
              <w:t xml:space="preserve">Support purpose, but the URS/UDRP has become more onerous. </w:t>
            </w:r>
            <w:r w:rsidRPr="001F54C2">
              <w:rPr>
                <w:sz w:val="28"/>
                <w:szCs w:val="28"/>
              </w:rPr>
              <w:t xml:space="preserve">It would be exceedingly useful if, as part of a UDRP or URS filing, registries or registrars could somehow provide a list of all domains registered to that same respondent as part of the registrant information disclosure process, to solve the reverse WHOIS problem. This would not disclose any more personal data than has already been disclosed about the </w:t>
            </w:r>
            <w:proofErr w:type="gramStart"/>
            <w:r w:rsidRPr="001F54C2">
              <w:rPr>
                <w:sz w:val="28"/>
                <w:szCs w:val="28"/>
              </w:rPr>
              <w:t>registrant, but</w:t>
            </w:r>
            <w:proofErr w:type="gramEnd"/>
            <w:r w:rsidRPr="001F54C2">
              <w:rPr>
                <w:sz w:val="28"/>
                <w:szCs w:val="28"/>
              </w:rPr>
              <w:t xml:space="preserve"> could present other ch</w:t>
            </w:r>
            <w:bookmarkStart w:id="0" w:name="_GoBack"/>
            <w:bookmarkEnd w:id="0"/>
            <w:r w:rsidRPr="001F54C2">
              <w:rPr>
                <w:sz w:val="28"/>
                <w:szCs w:val="28"/>
              </w:rPr>
              <w:t>allenges – we suggest this approach be further considered within the EPDP and/or the RPM Review PDP</w:t>
            </w:r>
            <w:r>
              <w:rPr>
                <w:sz w:val="28"/>
                <w:szCs w:val="28"/>
              </w:rPr>
              <w:t>.</w:t>
            </w:r>
          </w:p>
        </w:tc>
        <w:tc>
          <w:tcPr>
            <w:tcW w:w="2970" w:type="dxa"/>
          </w:tcPr>
          <w:p w14:paraId="2ED7CEEF" w14:textId="1BBCF6AF" w:rsidR="001F54C2" w:rsidRDefault="001F54C2" w:rsidP="00FF746D">
            <w:pPr>
              <w:rPr>
                <w:sz w:val="28"/>
                <w:szCs w:val="28"/>
              </w:rPr>
            </w:pPr>
            <w:r>
              <w:rPr>
                <w:sz w:val="28"/>
                <w:szCs w:val="28"/>
              </w:rPr>
              <w:t>3, 5, 8, 11</w:t>
            </w:r>
            <w:r w:rsidR="00DD66D2">
              <w:rPr>
                <w:sz w:val="28"/>
                <w:szCs w:val="28"/>
              </w:rPr>
              <w:t xml:space="preserve"> (IPC, MarkMonitor, INTA, Microsoft, BC)</w:t>
            </w:r>
          </w:p>
        </w:tc>
        <w:tc>
          <w:tcPr>
            <w:tcW w:w="2785" w:type="dxa"/>
          </w:tcPr>
          <w:p w14:paraId="282A6983" w14:textId="5AAF381D" w:rsidR="001F54C2" w:rsidRDefault="001F54C2" w:rsidP="00FF746D">
            <w:pPr>
              <w:rPr>
                <w:sz w:val="28"/>
                <w:szCs w:val="28"/>
              </w:rPr>
            </w:pPr>
            <w:r>
              <w:rPr>
                <w:sz w:val="28"/>
                <w:szCs w:val="28"/>
              </w:rPr>
              <w:t>Yes/No</w:t>
            </w:r>
          </w:p>
        </w:tc>
      </w:tr>
      <w:tr w:rsidR="001F54C2" w14:paraId="7CF1770C" w14:textId="77777777" w:rsidTr="00FF746D">
        <w:tc>
          <w:tcPr>
            <w:tcW w:w="8635" w:type="dxa"/>
          </w:tcPr>
          <w:p w14:paraId="7D52082A" w14:textId="2C699B0C" w:rsidR="001F54C2" w:rsidRDefault="001F54C2" w:rsidP="00FF746D">
            <w:pPr>
              <w:rPr>
                <w:sz w:val="28"/>
                <w:szCs w:val="28"/>
              </w:rPr>
            </w:pPr>
            <w:r w:rsidRPr="001F54C2">
              <w:rPr>
                <w:sz w:val="28"/>
                <w:szCs w:val="28"/>
              </w:rPr>
              <w:t>Rather than trying to modify additional policies via the EPDP, we should leave the temporary specification in place and allow the GNSO’s Rights Protection Mechanism PDP to take up the other issues. The extent to which these policies are addressed here should be limited to the extent to which</w:t>
            </w:r>
            <w:r>
              <w:rPr>
                <w:sz w:val="28"/>
                <w:szCs w:val="28"/>
              </w:rPr>
              <w:t xml:space="preserve"> </w:t>
            </w:r>
            <w:r w:rsidRPr="001F54C2">
              <w:rPr>
                <w:sz w:val="28"/>
                <w:szCs w:val="28"/>
              </w:rPr>
              <w:t>gTLD Registration Data is processed within the context of DRP proceedings.</w:t>
            </w:r>
          </w:p>
        </w:tc>
        <w:tc>
          <w:tcPr>
            <w:tcW w:w="2970" w:type="dxa"/>
          </w:tcPr>
          <w:p w14:paraId="4F103303" w14:textId="0620F6F7" w:rsidR="001F54C2" w:rsidRPr="001F54C2" w:rsidRDefault="001F54C2" w:rsidP="001F54C2">
            <w:pPr>
              <w:tabs>
                <w:tab w:val="left" w:pos="920"/>
              </w:tabs>
              <w:rPr>
                <w:sz w:val="28"/>
                <w:szCs w:val="28"/>
              </w:rPr>
            </w:pPr>
            <w:r>
              <w:rPr>
                <w:sz w:val="28"/>
                <w:szCs w:val="28"/>
              </w:rPr>
              <w:t>4, 6</w:t>
            </w:r>
            <w:r w:rsidR="00DD66D2">
              <w:rPr>
                <w:sz w:val="28"/>
                <w:szCs w:val="28"/>
              </w:rPr>
              <w:t xml:space="preserve"> (NCSG, Internet Governance Project)</w:t>
            </w:r>
          </w:p>
        </w:tc>
        <w:tc>
          <w:tcPr>
            <w:tcW w:w="2785" w:type="dxa"/>
          </w:tcPr>
          <w:p w14:paraId="3B81C864" w14:textId="6DE1E5EA" w:rsidR="001F54C2" w:rsidRDefault="001F54C2" w:rsidP="00FF746D">
            <w:pPr>
              <w:rPr>
                <w:sz w:val="28"/>
                <w:szCs w:val="28"/>
              </w:rPr>
            </w:pPr>
            <w:r>
              <w:rPr>
                <w:sz w:val="28"/>
                <w:szCs w:val="28"/>
              </w:rPr>
              <w:t>Yes/No</w:t>
            </w:r>
          </w:p>
        </w:tc>
      </w:tr>
      <w:tr w:rsidR="001F54C2" w14:paraId="05C3E326" w14:textId="77777777" w:rsidTr="00FF746D">
        <w:tc>
          <w:tcPr>
            <w:tcW w:w="8635" w:type="dxa"/>
          </w:tcPr>
          <w:p w14:paraId="26B61AA4" w14:textId="65461DE7" w:rsidR="001F54C2" w:rsidRDefault="001F54C2" w:rsidP="00FF746D">
            <w:pPr>
              <w:rPr>
                <w:sz w:val="28"/>
                <w:szCs w:val="28"/>
              </w:rPr>
            </w:pPr>
            <w:r w:rsidRPr="001F54C2">
              <w:rPr>
                <w:sz w:val="28"/>
                <w:szCs w:val="28"/>
              </w:rPr>
              <w:lastRenderedPageBreak/>
              <w:t>Necessary data processing agreements must be in place before data is transferred to the dispute resolution providers.</w:t>
            </w:r>
          </w:p>
        </w:tc>
        <w:tc>
          <w:tcPr>
            <w:tcW w:w="2970" w:type="dxa"/>
          </w:tcPr>
          <w:p w14:paraId="3328D2E8" w14:textId="6D6AB186" w:rsidR="001F54C2" w:rsidRDefault="001F54C2" w:rsidP="00FF746D">
            <w:pPr>
              <w:rPr>
                <w:sz w:val="28"/>
                <w:szCs w:val="28"/>
              </w:rPr>
            </w:pPr>
            <w:r>
              <w:rPr>
                <w:sz w:val="28"/>
                <w:szCs w:val="28"/>
              </w:rPr>
              <w:t>7</w:t>
            </w:r>
            <w:r w:rsidR="00DD66D2">
              <w:rPr>
                <w:sz w:val="28"/>
                <w:szCs w:val="28"/>
              </w:rPr>
              <w:t xml:space="preserve"> (RySG)</w:t>
            </w:r>
          </w:p>
        </w:tc>
        <w:tc>
          <w:tcPr>
            <w:tcW w:w="2785" w:type="dxa"/>
          </w:tcPr>
          <w:p w14:paraId="402FD324" w14:textId="386F205A" w:rsidR="001F54C2" w:rsidRDefault="001F54C2" w:rsidP="00FF746D">
            <w:pPr>
              <w:rPr>
                <w:sz w:val="28"/>
                <w:szCs w:val="28"/>
              </w:rPr>
            </w:pPr>
            <w:r>
              <w:rPr>
                <w:sz w:val="28"/>
                <w:szCs w:val="28"/>
              </w:rPr>
              <w:t>Yes/No</w:t>
            </w:r>
          </w:p>
        </w:tc>
      </w:tr>
      <w:tr w:rsidR="001F54C2" w14:paraId="7157E228" w14:textId="77777777" w:rsidTr="00FF746D">
        <w:tc>
          <w:tcPr>
            <w:tcW w:w="8635" w:type="dxa"/>
          </w:tcPr>
          <w:p w14:paraId="3AED67EB" w14:textId="011E9C73" w:rsidR="001F54C2" w:rsidRPr="001F54C2" w:rsidRDefault="001F54C2" w:rsidP="00FF746D">
            <w:pPr>
              <w:rPr>
                <w:sz w:val="28"/>
                <w:szCs w:val="28"/>
              </w:rPr>
            </w:pPr>
            <w:r>
              <w:rPr>
                <w:sz w:val="28"/>
                <w:szCs w:val="28"/>
              </w:rPr>
              <w:t>The URS Rules require amendment, e.g., “examiner” should be “provider”.</w:t>
            </w:r>
          </w:p>
        </w:tc>
        <w:tc>
          <w:tcPr>
            <w:tcW w:w="2970" w:type="dxa"/>
          </w:tcPr>
          <w:p w14:paraId="40B8777D" w14:textId="1626E948" w:rsidR="001F54C2" w:rsidRDefault="001F54C2" w:rsidP="00FF746D">
            <w:pPr>
              <w:rPr>
                <w:sz w:val="28"/>
                <w:szCs w:val="28"/>
              </w:rPr>
            </w:pPr>
            <w:r>
              <w:rPr>
                <w:sz w:val="28"/>
                <w:szCs w:val="28"/>
              </w:rPr>
              <w:t>9</w:t>
            </w:r>
            <w:r w:rsidR="00DD66D2">
              <w:rPr>
                <w:sz w:val="28"/>
                <w:szCs w:val="28"/>
              </w:rPr>
              <w:t xml:space="preserve"> (MFSD)</w:t>
            </w:r>
          </w:p>
        </w:tc>
        <w:tc>
          <w:tcPr>
            <w:tcW w:w="2785" w:type="dxa"/>
          </w:tcPr>
          <w:p w14:paraId="7FCCDD6F" w14:textId="1E527844" w:rsidR="001F54C2" w:rsidRDefault="001F54C2" w:rsidP="00FF746D">
            <w:pPr>
              <w:rPr>
                <w:sz w:val="28"/>
                <w:szCs w:val="28"/>
              </w:rPr>
            </w:pPr>
            <w:r>
              <w:rPr>
                <w:sz w:val="28"/>
                <w:szCs w:val="28"/>
              </w:rPr>
              <w:t>Yes/No</w:t>
            </w:r>
          </w:p>
        </w:tc>
      </w:tr>
    </w:tbl>
    <w:p w14:paraId="75304BAF" w14:textId="77777777" w:rsidR="00404709" w:rsidRDefault="00404709" w:rsidP="00214BCC"/>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4C2"/>
    <w:rsid w:val="001F54C2"/>
    <w:rsid w:val="00214BCC"/>
    <w:rsid w:val="00404709"/>
    <w:rsid w:val="004076B0"/>
    <w:rsid w:val="00440B65"/>
    <w:rsid w:val="00AC2811"/>
    <w:rsid w:val="00DC58CE"/>
    <w:rsid w:val="00DD6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9FE80"/>
  <w15:chartTrackingRefBased/>
  <w15:docId w15:val="{19F0FE3C-5F10-0E49-B4C0-CF9DFB94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54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5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28571">
      <w:bodyDiv w:val="1"/>
      <w:marLeft w:val="0"/>
      <w:marRight w:val="0"/>
      <w:marTop w:val="0"/>
      <w:marBottom w:val="0"/>
      <w:divBdr>
        <w:top w:val="none" w:sz="0" w:space="0" w:color="auto"/>
        <w:left w:val="none" w:sz="0" w:space="0" w:color="auto"/>
        <w:bottom w:val="none" w:sz="0" w:space="0" w:color="auto"/>
        <w:right w:val="none" w:sz="0" w:space="0" w:color="auto"/>
      </w:divBdr>
    </w:div>
    <w:div w:id="898630039">
      <w:bodyDiv w:val="1"/>
      <w:marLeft w:val="0"/>
      <w:marRight w:val="0"/>
      <w:marTop w:val="0"/>
      <w:marBottom w:val="0"/>
      <w:divBdr>
        <w:top w:val="none" w:sz="0" w:space="0" w:color="auto"/>
        <w:left w:val="none" w:sz="0" w:space="0" w:color="auto"/>
        <w:bottom w:val="none" w:sz="0" w:space="0" w:color="auto"/>
        <w:right w:val="none" w:sz="0" w:space="0" w:color="auto"/>
      </w:divBdr>
    </w:div>
    <w:div w:id="1199197558">
      <w:bodyDiv w:val="1"/>
      <w:marLeft w:val="0"/>
      <w:marRight w:val="0"/>
      <w:marTop w:val="0"/>
      <w:marBottom w:val="0"/>
      <w:divBdr>
        <w:top w:val="none" w:sz="0" w:space="0" w:color="auto"/>
        <w:left w:val="none" w:sz="0" w:space="0" w:color="auto"/>
        <w:bottom w:val="none" w:sz="0" w:space="0" w:color="auto"/>
        <w:right w:val="none" w:sz="0" w:space="0" w:color="auto"/>
      </w:divBdr>
    </w:div>
    <w:div w:id="1468864315">
      <w:bodyDiv w:val="1"/>
      <w:marLeft w:val="0"/>
      <w:marRight w:val="0"/>
      <w:marTop w:val="0"/>
      <w:marBottom w:val="0"/>
      <w:divBdr>
        <w:top w:val="none" w:sz="0" w:space="0" w:color="auto"/>
        <w:left w:val="none" w:sz="0" w:space="0" w:color="auto"/>
        <w:bottom w:val="none" w:sz="0" w:space="0" w:color="auto"/>
        <w:right w:val="none" w:sz="0" w:space="0" w:color="auto"/>
      </w:divBdr>
    </w:div>
    <w:div w:id="1479303169">
      <w:bodyDiv w:val="1"/>
      <w:marLeft w:val="0"/>
      <w:marRight w:val="0"/>
      <w:marTop w:val="0"/>
      <w:marBottom w:val="0"/>
      <w:divBdr>
        <w:top w:val="none" w:sz="0" w:space="0" w:color="auto"/>
        <w:left w:val="none" w:sz="0" w:space="0" w:color="auto"/>
        <w:bottom w:val="none" w:sz="0" w:space="0" w:color="auto"/>
        <w:right w:val="none" w:sz="0" w:space="0" w:color="auto"/>
      </w:divBdr>
    </w:div>
    <w:div w:id="197586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2019-01-08T02:07:00Z</dcterms:created>
  <dcterms:modified xsi:type="dcterms:W3CDTF">2019-01-08T02:07:00Z</dcterms:modified>
</cp:coreProperties>
</file>