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6C076" w14:textId="41B1D386" w:rsidR="00D2128E" w:rsidRDefault="00D2128E" w:rsidP="00D2128E">
      <w:pPr>
        <w:rPr>
          <w:b/>
          <w:sz w:val="32"/>
          <w:szCs w:val="32"/>
        </w:rPr>
      </w:pPr>
      <w:bookmarkStart w:id="0" w:name="_GoBack"/>
      <w:bookmarkEnd w:id="0"/>
      <w:r>
        <w:rPr>
          <w:b/>
          <w:sz w:val="32"/>
          <w:szCs w:val="32"/>
        </w:rPr>
        <w:t>RECOMMENDATION 12</w:t>
      </w:r>
    </w:p>
    <w:p w14:paraId="73825C42" w14:textId="77777777" w:rsidR="00D2128E" w:rsidRDefault="00D2128E" w:rsidP="00D2128E">
      <w:pPr>
        <w:rPr>
          <w:b/>
          <w:sz w:val="32"/>
          <w:szCs w:val="32"/>
        </w:rPr>
      </w:pPr>
    </w:p>
    <w:p w14:paraId="28603DE2" w14:textId="51F9E186" w:rsidR="00D2128E" w:rsidRPr="00D2128E" w:rsidRDefault="00D2128E" w:rsidP="00D2128E">
      <w:pPr>
        <w:pBdr>
          <w:top w:val="single" w:sz="4" w:space="1" w:color="auto"/>
          <w:left w:val="single" w:sz="4" w:space="4" w:color="auto"/>
          <w:bottom w:val="single" w:sz="4" w:space="1" w:color="auto"/>
          <w:right w:val="single" w:sz="4" w:space="4" w:color="auto"/>
        </w:pBdr>
        <w:rPr>
          <w:sz w:val="28"/>
          <w:szCs w:val="28"/>
        </w:rPr>
      </w:pPr>
      <w:r w:rsidRPr="00D2128E">
        <w:rPr>
          <w:sz w:val="28"/>
          <w:szCs w:val="28"/>
        </w:rPr>
        <w:t>The EPDP Team recommends that the current requirements in the Temporary</w:t>
      </w:r>
      <w:r>
        <w:rPr>
          <w:sz w:val="28"/>
          <w:szCs w:val="28"/>
        </w:rPr>
        <w:t xml:space="preserve"> </w:t>
      </w:r>
      <w:r w:rsidRPr="00D2128E">
        <w:rPr>
          <w:sz w:val="28"/>
          <w:szCs w:val="28"/>
        </w:rPr>
        <w:t>Specification in relation to reasonable access remain in place until work on a system for</w:t>
      </w:r>
      <w:r>
        <w:rPr>
          <w:sz w:val="28"/>
          <w:szCs w:val="28"/>
        </w:rPr>
        <w:t xml:space="preserve"> </w:t>
      </w:r>
      <w:r w:rsidRPr="00D2128E">
        <w:rPr>
          <w:sz w:val="28"/>
          <w:szCs w:val="28"/>
        </w:rPr>
        <w:t>Standardized Access to Non-Public Registration Data has been completed, noting that</w:t>
      </w:r>
      <w:r>
        <w:rPr>
          <w:sz w:val="28"/>
          <w:szCs w:val="28"/>
        </w:rPr>
        <w:t xml:space="preserve"> </w:t>
      </w:r>
      <w:r w:rsidRPr="00D2128E">
        <w:rPr>
          <w:sz w:val="28"/>
          <w:szCs w:val="28"/>
        </w:rPr>
        <w:t>the term should be modified to refer to “parameters for responding to lawful disclosure</w:t>
      </w:r>
      <w:r>
        <w:rPr>
          <w:sz w:val="28"/>
          <w:szCs w:val="28"/>
        </w:rPr>
        <w:t xml:space="preserve"> </w:t>
      </w:r>
      <w:r w:rsidRPr="00D2128E">
        <w:rPr>
          <w:sz w:val="28"/>
          <w:szCs w:val="28"/>
        </w:rPr>
        <w:t>requests.” Furthermore, the EPDP Team recommends that criteria around the term</w:t>
      </w:r>
      <w:r>
        <w:rPr>
          <w:sz w:val="28"/>
          <w:szCs w:val="28"/>
        </w:rPr>
        <w:t xml:space="preserve"> </w:t>
      </w:r>
      <w:r w:rsidRPr="00D2128E">
        <w:rPr>
          <w:sz w:val="28"/>
          <w:szCs w:val="28"/>
        </w:rPr>
        <w:t>“reasonable” are further explored as part of the implementation of these policy</w:t>
      </w:r>
      <w:r>
        <w:rPr>
          <w:sz w:val="28"/>
          <w:szCs w:val="28"/>
        </w:rPr>
        <w:t xml:space="preserve"> </w:t>
      </w:r>
      <w:r w:rsidRPr="00D2128E">
        <w:rPr>
          <w:sz w:val="28"/>
          <w:szCs w:val="28"/>
        </w:rPr>
        <w:t>recommendations addressing:</w:t>
      </w:r>
    </w:p>
    <w:p w14:paraId="375C137A" w14:textId="77777777" w:rsidR="00D2128E" w:rsidRDefault="00D2128E" w:rsidP="00D2128E">
      <w:pPr>
        <w:pBdr>
          <w:top w:val="single" w:sz="4" w:space="1" w:color="auto"/>
          <w:left w:val="single" w:sz="4" w:space="4" w:color="auto"/>
          <w:bottom w:val="single" w:sz="4" w:space="1" w:color="auto"/>
          <w:right w:val="single" w:sz="4" w:space="4" w:color="auto"/>
        </w:pBdr>
        <w:rPr>
          <w:sz w:val="28"/>
          <w:szCs w:val="28"/>
        </w:rPr>
      </w:pPr>
    </w:p>
    <w:p w14:paraId="0F32D422" w14:textId="61E2A9A2" w:rsidR="00D2128E" w:rsidRPr="00D2128E" w:rsidRDefault="00D2128E" w:rsidP="00D2128E">
      <w:pPr>
        <w:pStyle w:val="ListParagraph"/>
        <w:numPr>
          <w:ilvl w:val="0"/>
          <w:numId w:val="2"/>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[Practicable]* timelines criteria for responses to be provided by</w:t>
      </w:r>
    </w:p>
    <w:p w14:paraId="2C00C557" w14:textId="77777777"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Contracted Parties;</w:t>
      </w:r>
    </w:p>
    <w:p w14:paraId="349F5BCB" w14:textId="52574E2B"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Format by which requests should be made and responses are provided;</w:t>
      </w:r>
    </w:p>
    <w:p w14:paraId="609155A2" w14:textId="097FEAA7"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Communication/Instructions around how and where requests should be</w:t>
      </w:r>
    </w:p>
    <w:p w14:paraId="428F0E5B" w14:textId="77777777"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submitted;</w:t>
      </w:r>
    </w:p>
    <w:p w14:paraId="05267F1F" w14:textId="0AF7F834"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Requirements for what information responses should include (for</w:t>
      </w:r>
    </w:p>
    <w:p w14:paraId="30E7755F" w14:textId="77777777"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example, auto-acknowledgement of requests and rationale for rejection</w:t>
      </w:r>
    </w:p>
    <w:p w14:paraId="3A8E7E53" w14:textId="77777777"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of request);</w:t>
      </w:r>
    </w:p>
    <w:p w14:paraId="109EC415" w14:textId="64271662" w:rsidR="00D2128E" w:rsidRPr="00D2128E" w:rsidRDefault="00D2128E" w:rsidP="00D2128E">
      <w:pPr>
        <w:pStyle w:val="ListParagraph"/>
        <w:numPr>
          <w:ilvl w:val="0"/>
          <w:numId w:val="1"/>
        </w:numPr>
        <w:pBdr>
          <w:top w:val="single" w:sz="4" w:space="1" w:color="auto"/>
          <w:left w:val="single" w:sz="4" w:space="4" w:color="auto"/>
          <w:bottom w:val="single" w:sz="4" w:space="1" w:color="auto"/>
          <w:right w:val="single" w:sz="4" w:space="4" w:color="auto"/>
        </w:pBdr>
        <w:ind w:left="360"/>
        <w:rPr>
          <w:sz w:val="28"/>
          <w:szCs w:val="28"/>
        </w:rPr>
      </w:pPr>
      <w:r w:rsidRPr="00D2128E">
        <w:rPr>
          <w:sz w:val="28"/>
          <w:szCs w:val="28"/>
        </w:rPr>
        <w:t>Logging of requests.</w:t>
      </w:r>
    </w:p>
    <w:p w14:paraId="49EBB067" w14:textId="77777777" w:rsidR="00D2128E" w:rsidRDefault="00D2128E" w:rsidP="00D2128E">
      <w:pPr>
        <w:pBdr>
          <w:top w:val="single" w:sz="4" w:space="1" w:color="auto"/>
          <w:left w:val="single" w:sz="4" w:space="4" w:color="auto"/>
          <w:bottom w:val="single" w:sz="4" w:space="1" w:color="auto"/>
          <w:right w:val="single" w:sz="4" w:space="4" w:color="auto"/>
        </w:pBdr>
        <w:rPr>
          <w:sz w:val="28"/>
          <w:szCs w:val="28"/>
        </w:rPr>
      </w:pPr>
    </w:p>
    <w:p w14:paraId="6CA23986" w14:textId="01D74EA9" w:rsidR="00D2128E" w:rsidRPr="00D2128E" w:rsidRDefault="00D2128E" w:rsidP="00D2128E">
      <w:pPr>
        <w:pBdr>
          <w:top w:val="single" w:sz="4" w:space="1" w:color="auto"/>
          <w:left w:val="single" w:sz="4" w:space="4" w:color="auto"/>
          <w:bottom w:val="single" w:sz="4" w:space="1" w:color="auto"/>
          <w:right w:val="single" w:sz="4" w:space="4" w:color="auto"/>
        </w:pBdr>
        <w:rPr>
          <w:sz w:val="28"/>
          <w:szCs w:val="28"/>
        </w:rPr>
      </w:pPr>
      <w:r w:rsidRPr="00D2128E">
        <w:rPr>
          <w:sz w:val="28"/>
          <w:szCs w:val="28"/>
        </w:rPr>
        <w:t>[*Some concern expressed that timeliness that should not be translated into</w:t>
      </w:r>
      <w:r>
        <w:rPr>
          <w:sz w:val="28"/>
          <w:szCs w:val="28"/>
        </w:rPr>
        <w:t xml:space="preserve"> </w:t>
      </w:r>
      <w:r w:rsidRPr="00D2128E">
        <w:rPr>
          <w:sz w:val="28"/>
          <w:szCs w:val="28"/>
        </w:rPr>
        <w:t>requirements that are impractical for contracted parties].</w:t>
      </w:r>
    </w:p>
    <w:p w14:paraId="2685B401" w14:textId="38E80677" w:rsidR="00D2128E" w:rsidRDefault="00D2128E" w:rsidP="00D2128E">
      <w:pPr>
        <w:rPr>
          <w:b/>
          <w:sz w:val="28"/>
          <w:szCs w:val="28"/>
        </w:rPr>
      </w:pPr>
    </w:p>
    <w:p w14:paraId="384CE28A" w14:textId="3AEB1FBC" w:rsidR="004B60B8" w:rsidRPr="004B60B8" w:rsidRDefault="004B60B8" w:rsidP="00D2128E">
      <w:pPr>
        <w:rPr>
          <w:b/>
          <w:i/>
          <w:sz w:val="28"/>
          <w:szCs w:val="28"/>
        </w:rPr>
      </w:pPr>
      <w:r>
        <w:rPr>
          <w:b/>
          <w:i/>
          <w:sz w:val="28"/>
          <w:szCs w:val="28"/>
        </w:rPr>
        <w:t xml:space="preserve">Disclaimer: </w:t>
      </w:r>
      <w:r w:rsidRPr="00A40CD0">
        <w:rPr>
          <w:i/>
          <w:sz w:val="28"/>
          <w:szCs w:val="28"/>
        </w:rPr>
        <w:t xml:space="preserve">This overview has been developed to facilitate the EPDP Team’s consideration of the concerns expressed and possible updates to the recommendations. However, this does not replace the EPDP Team’s obligation to review all input received in full </w:t>
      </w:r>
      <w:r w:rsidR="00A40CD0">
        <w:rPr>
          <w:i/>
          <w:sz w:val="28"/>
          <w:szCs w:val="28"/>
        </w:rPr>
        <w:t>and</w:t>
      </w:r>
      <w:r w:rsidRPr="00A40CD0">
        <w:rPr>
          <w:i/>
          <w:sz w:val="28"/>
          <w:szCs w:val="28"/>
        </w:rPr>
        <w:t xml:space="preserve"> to</w:t>
      </w:r>
      <w:r w:rsidR="00A40CD0" w:rsidRPr="00A40CD0">
        <w:rPr>
          <w:i/>
          <w:sz w:val="28"/>
          <w:szCs w:val="28"/>
        </w:rPr>
        <w:t xml:space="preserve"> </w:t>
      </w:r>
      <w:r w:rsidR="00A40CD0">
        <w:rPr>
          <w:i/>
          <w:sz w:val="28"/>
          <w:szCs w:val="28"/>
        </w:rPr>
        <w:t>indicate</w:t>
      </w:r>
      <w:r w:rsidR="00A40CD0" w:rsidRPr="00A40CD0">
        <w:rPr>
          <w:i/>
          <w:sz w:val="28"/>
          <w:szCs w:val="28"/>
        </w:rPr>
        <w:t xml:space="preserve"> if any concerns</w:t>
      </w:r>
      <w:r w:rsidR="00A40CD0">
        <w:rPr>
          <w:i/>
          <w:sz w:val="28"/>
          <w:szCs w:val="28"/>
        </w:rPr>
        <w:t xml:space="preserve"> in this overview</w:t>
      </w:r>
      <w:r w:rsidR="00A40CD0" w:rsidRPr="00A40CD0">
        <w:rPr>
          <w:i/>
          <w:sz w:val="28"/>
          <w:szCs w:val="28"/>
        </w:rPr>
        <w:t xml:space="preserve"> </w:t>
      </w:r>
      <w:r w:rsidR="00A40CD0">
        <w:rPr>
          <w:i/>
          <w:sz w:val="28"/>
          <w:szCs w:val="28"/>
        </w:rPr>
        <w:t xml:space="preserve">have </w:t>
      </w:r>
      <w:r w:rsidR="00A40CD0" w:rsidRPr="00A40CD0">
        <w:rPr>
          <w:i/>
          <w:sz w:val="28"/>
          <w:szCs w:val="28"/>
        </w:rPr>
        <w:t>inadvertently been mischaracterized.</w:t>
      </w:r>
      <w:r w:rsidR="00A40CD0">
        <w:rPr>
          <w:b/>
          <w:i/>
          <w:sz w:val="28"/>
          <w:szCs w:val="28"/>
        </w:rPr>
        <w:t xml:space="preserve"> </w:t>
      </w:r>
    </w:p>
    <w:p w14:paraId="05E69C07" w14:textId="692D37FA" w:rsidR="004B60B8" w:rsidRDefault="004B60B8" w:rsidP="00D2128E">
      <w:pPr>
        <w:rPr>
          <w:b/>
          <w:sz w:val="28"/>
          <w:szCs w:val="28"/>
        </w:rPr>
      </w:pPr>
    </w:p>
    <w:p w14:paraId="06C95302" w14:textId="74821764" w:rsidR="00A40CD0" w:rsidRDefault="00A40CD0" w:rsidP="00D2128E">
      <w:pPr>
        <w:rPr>
          <w:b/>
          <w:sz w:val="28"/>
          <w:szCs w:val="28"/>
        </w:rPr>
      </w:pPr>
    </w:p>
    <w:p w14:paraId="3DC842DA" w14:textId="46B971D9" w:rsidR="00A40CD0" w:rsidRDefault="00A40CD0" w:rsidP="00D2128E">
      <w:pPr>
        <w:rPr>
          <w:b/>
          <w:sz w:val="28"/>
          <w:szCs w:val="28"/>
        </w:rPr>
      </w:pPr>
    </w:p>
    <w:p w14:paraId="535164B4" w14:textId="7491232E" w:rsidR="00A40CD0" w:rsidRDefault="00A40CD0" w:rsidP="00D2128E">
      <w:pPr>
        <w:rPr>
          <w:b/>
          <w:sz w:val="28"/>
          <w:szCs w:val="28"/>
        </w:rPr>
      </w:pPr>
    </w:p>
    <w:p w14:paraId="7EFF9B16" w14:textId="2EED931B" w:rsidR="00A40CD0" w:rsidRDefault="00A40CD0" w:rsidP="00D2128E">
      <w:pPr>
        <w:rPr>
          <w:b/>
          <w:sz w:val="28"/>
          <w:szCs w:val="28"/>
        </w:rPr>
      </w:pPr>
    </w:p>
    <w:p w14:paraId="6B312CE0" w14:textId="77777777" w:rsidR="00A40CD0" w:rsidRDefault="00A40CD0" w:rsidP="00D2128E">
      <w:pPr>
        <w:rPr>
          <w:b/>
          <w:sz w:val="28"/>
          <w:szCs w:val="28"/>
        </w:rPr>
      </w:pPr>
    </w:p>
    <w:p w14:paraId="72575A9C" w14:textId="77777777" w:rsidR="00D2128E" w:rsidRDefault="00D2128E" w:rsidP="00D2128E">
      <w:pPr>
        <w:rPr>
          <w:b/>
          <w:sz w:val="28"/>
          <w:szCs w:val="28"/>
        </w:rPr>
      </w:pPr>
      <w:r>
        <w:rPr>
          <w:b/>
          <w:sz w:val="28"/>
          <w:szCs w:val="28"/>
        </w:rPr>
        <w:lastRenderedPageBreak/>
        <w:t>Noted Concerns</w:t>
      </w:r>
    </w:p>
    <w:p w14:paraId="1C3C011E" w14:textId="77777777" w:rsidR="00D2128E" w:rsidRDefault="00D2128E" w:rsidP="00D2128E">
      <w:pPr>
        <w:rPr>
          <w:b/>
          <w:sz w:val="28"/>
          <w:szCs w:val="28"/>
        </w:rPr>
      </w:pPr>
    </w:p>
    <w:tbl>
      <w:tblPr>
        <w:tblStyle w:val="TableGrid"/>
        <w:tblW w:w="0" w:type="auto"/>
        <w:tblLook w:val="04A0" w:firstRow="1" w:lastRow="0" w:firstColumn="1" w:lastColumn="0" w:noHBand="0" w:noVBand="1"/>
      </w:tblPr>
      <w:tblGrid>
        <w:gridCol w:w="8635"/>
        <w:gridCol w:w="2970"/>
        <w:gridCol w:w="2785"/>
      </w:tblGrid>
      <w:tr w:rsidR="00D2128E" w14:paraId="08A91588" w14:textId="77777777" w:rsidTr="00FF746D">
        <w:tc>
          <w:tcPr>
            <w:tcW w:w="8635" w:type="dxa"/>
            <w:shd w:val="clear" w:color="auto" w:fill="F7CAAC" w:themeFill="accent2" w:themeFillTint="66"/>
          </w:tcPr>
          <w:p w14:paraId="4503ABD9" w14:textId="77777777" w:rsidR="00D2128E" w:rsidRDefault="00D2128E" w:rsidP="00FF746D">
            <w:pPr>
              <w:rPr>
                <w:b/>
                <w:sz w:val="28"/>
                <w:szCs w:val="28"/>
              </w:rPr>
            </w:pPr>
            <w:r>
              <w:rPr>
                <w:b/>
                <w:sz w:val="28"/>
                <w:szCs w:val="28"/>
              </w:rPr>
              <w:t>Concern</w:t>
            </w:r>
          </w:p>
        </w:tc>
        <w:tc>
          <w:tcPr>
            <w:tcW w:w="2970" w:type="dxa"/>
            <w:shd w:val="clear" w:color="auto" w:fill="F7CAAC" w:themeFill="accent2" w:themeFillTint="66"/>
          </w:tcPr>
          <w:p w14:paraId="38E47667" w14:textId="77777777" w:rsidR="00D2128E" w:rsidRDefault="00D2128E" w:rsidP="00FF746D">
            <w:pPr>
              <w:rPr>
                <w:b/>
                <w:sz w:val="28"/>
                <w:szCs w:val="28"/>
              </w:rPr>
            </w:pPr>
            <w:r>
              <w:rPr>
                <w:b/>
                <w:sz w:val="28"/>
                <w:szCs w:val="28"/>
              </w:rPr>
              <w:t>Corresponding PCRT Comment #</w:t>
            </w:r>
          </w:p>
        </w:tc>
        <w:tc>
          <w:tcPr>
            <w:tcW w:w="2785" w:type="dxa"/>
            <w:shd w:val="clear" w:color="auto" w:fill="F7CAAC" w:themeFill="accent2" w:themeFillTint="66"/>
          </w:tcPr>
          <w:p w14:paraId="2F9F2DB4" w14:textId="77777777" w:rsidR="00D2128E" w:rsidRDefault="00D2128E" w:rsidP="00FF746D">
            <w:pPr>
              <w:rPr>
                <w:b/>
                <w:sz w:val="28"/>
                <w:szCs w:val="28"/>
              </w:rPr>
            </w:pPr>
            <w:r>
              <w:rPr>
                <w:b/>
                <w:sz w:val="28"/>
                <w:szCs w:val="28"/>
              </w:rPr>
              <w:t>Further Discussion Required?</w:t>
            </w:r>
          </w:p>
        </w:tc>
      </w:tr>
      <w:tr w:rsidR="00D2128E" w14:paraId="17BE3F10" w14:textId="77777777" w:rsidTr="00FF746D">
        <w:tc>
          <w:tcPr>
            <w:tcW w:w="8635" w:type="dxa"/>
          </w:tcPr>
          <w:p w14:paraId="4D2EB17A" w14:textId="77777777" w:rsidR="00D2128E" w:rsidRDefault="00D2128E" w:rsidP="00FF746D">
            <w:pPr>
              <w:rPr>
                <w:sz w:val="28"/>
                <w:szCs w:val="28"/>
              </w:rPr>
            </w:pPr>
            <w:r w:rsidRPr="00D2128E">
              <w:rPr>
                <w:sz w:val="28"/>
                <w:szCs w:val="28"/>
              </w:rPr>
              <w:t>The EPDP Team’s work is incomplete until the issue of setting parameters and recommending a process for responding to lawful disclosure requests to redacted data has been resolved.</w:t>
            </w:r>
          </w:p>
          <w:p w14:paraId="355CCE39" w14:textId="77777777" w:rsidR="00D2128E" w:rsidRDefault="00D2128E" w:rsidP="00FF746D">
            <w:pPr>
              <w:rPr>
                <w:sz w:val="28"/>
                <w:szCs w:val="28"/>
              </w:rPr>
            </w:pPr>
          </w:p>
          <w:p w14:paraId="6BFA715B" w14:textId="77777777" w:rsidR="00D2128E" w:rsidRDefault="00D2128E" w:rsidP="00FF746D">
            <w:pPr>
              <w:rPr>
                <w:sz w:val="28"/>
                <w:szCs w:val="28"/>
              </w:rPr>
            </w:pPr>
            <w:r w:rsidRPr="00D2128E">
              <w:rPr>
                <w:sz w:val="28"/>
                <w:szCs w:val="28"/>
              </w:rPr>
              <w:t>the EPDP Team should now also define and develop simple processes around “reasonable access” and make sure that implementation details of these processes are completed within this EPDP and not delayed until future discussions regarding implementation.</w:t>
            </w:r>
          </w:p>
          <w:p w14:paraId="6179495E" w14:textId="77777777" w:rsidR="00D2128E" w:rsidRDefault="00D2128E" w:rsidP="00FF746D">
            <w:pPr>
              <w:rPr>
                <w:sz w:val="28"/>
                <w:szCs w:val="28"/>
              </w:rPr>
            </w:pPr>
          </w:p>
          <w:p w14:paraId="59ABAC4A" w14:textId="51E1EC8E" w:rsidR="00D2128E" w:rsidRPr="007950A5" w:rsidRDefault="00D2128E" w:rsidP="00FF746D">
            <w:pPr>
              <w:rPr>
                <w:sz w:val="28"/>
                <w:szCs w:val="28"/>
              </w:rPr>
            </w:pPr>
            <w:r w:rsidRPr="00D2128E">
              <w:rPr>
                <w:sz w:val="28"/>
                <w:szCs w:val="28"/>
              </w:rPr>
              <w:t>“Reasonable access” must be defined in a complete and holistic fashion</w:t>
            </w:r>
            <w:r>
              <w:rPr>
                <w:sz w:val="28"/>
                <w:szCs w:val="28"/>
              </w:rPr>
              <w:t xml:space="preserve">. </w:t>
            </w:r>
            <w:r w:rsidRPr="00D2128E">
              <w:rPr>
                <w:sz w:val="28"/>
                <w:szCs w:val="28"/>
              </w:rPr>
              <w:t>In the absence of a definition, every registrar must define their own standard of reasonableness, and this has generally resulted in no access at all.</w:t>
            </w:r>
          </w:p>
        </w:tc>
        <w:tc>
          <w:tcPr>
            <w:tcW w:w="2970" w:type="dxa"/>
          </w:tcPr>
          <w:p w14:paraId="29FD8154" w14:textId="1ED5ACD4" w:rsidR="00D2128E" w:rsidRPr="00D2128E" w:rsidRDefault="00D2128E" w:rsidP="00D2128E">
            <w:pPr>
              <w:rPr>
                <w:sz w:val="28"/>
                <w:szCs w:val="28"/>
              </w:rPr>
            </w:pPr>
            <w:r>
              <w:rPr>
                <w:sz w:val="28"/>
                <w:szCs w:val="28"/>
              </w:rPr>
              <w:t>5, 6, 9, 10, 11, 14</w:t>
            </w:r>
            <w:r w:rsidR="000027B2">
              <w:rPr>
                <w:sz w:val="28"/>
                <w:szCs w:val="28"/>
              </w:rPr>
              <w:t>, 15, 19</w:t>
            </w:r>
            <w:r w:rsidR="00D76C53">
              <w:rPr>
                <w:sz w:val="28"/>
                <w:szCs w:val="28"/>
              </w:rPr>
              <w:t xml:space="preserve"> (Coalition for Online Accountability, INTA, BC, Microsoft, IPC, MPAA, Walt Disney Company, MarkMonitor)</w:t>
            </w:r>
          </w:p>
        </w:tc>
        <w:tc>
          <w:tcPr>
            <w:tcW w:w="2785" w:type="dxa"/>
          </w:tcPr>
          <w:p w14:paraId="7D574350" w14:textId="77777777" w:rsidR="00D2128E" w:rsidRPr="00362929" w:rsidRDefault="00D2128E" w:rsidP="00FF746D">
            <w:pPr>
              <w:rPr>
                <w:sz w:val="28"/>
                <w:szCs w:val="28"/>
              </w:rPr>
            </w:pPr>
            <w:r>
              <w:rPr>
                <w:sz w:val="28"/>
                <w:szCs w:val="28"/>
              </w:rPr>
              <w:t>Yes/No</w:t>
            </w:r>
          </w:p>
        </w:tc>
      </w:tr>
      <w:tr w:rsidR="00D2128E" w14:paraId="57082653" w14:textId="77777777" w:rsidTr="00FF746D">
        <w:tc>
          <w:tcPr>
            <w:tcW w:w="8635" w:type="dxa"/>
          </w:tcPr>
          <w:p w14:paraId="5F5487CE" w14:textId="5926D7F9" w:rsidR="00D2128E" w:rsidRPr="00D2128E" w:rsidRDefault="00D2128E" w:rsidP="00FF746D">
            <w:pPr>
              <w:rPr>
                <w:sz w:val="28"/>
                <w:szCs w:val="28"/>
              </w:rPr>
            </w:pPr>
            <w:r w:rsidRPr="00D2128E">
              <w:rPr>
                <w:sz w:val="28"/>
                <w:szCs w:val="28"/>
              </w:rPr>
              <w:t>It is simply not the case that a party’s status is sufficient to be provided with full access to all personal data. Each request for access must include justification and be reviewed individually, understanding the balance between the right of the requestor for access to personal data where appropriate and the natural person’s right to privacy. This is a balancing test and will, necessarily, be different in each case</w:t>
            </w:r>
            <w:r>
              <w:rPr>
                <w:sz w:val="28"/>
                <w:szCs w:val="28"/>
              </w:rPr>
              <w:t>.</w:t>
            </w:r>
          </w:p>
        </w:tc>
        <w:tc>
          <w:tcPr>
            <w:tcW w:w="2970" w:type="dxa"/>
          </w:tcPr>
          <w:p w14:paraId="48EAD462" w14:textId="2DAF61E6" w:rsidR="00D2128E" w:rsidRDefault="00D2128E" w:rsidP="00D2128E">
            <w:pPr>
              <w:rPr>
                <w:sz w:val="28"/>
                <w:szCs w:val="28"/>
              </w:rPr>
            </w:pPr>
            <w:r>
              <w:rPr>
                <w:sz w:val="28"/>
                <w:szCs w:val="28"/>
              </w:rPr>
              <w:t>7</w:t>
            </w:r>
            <w:r w:rsidR="00D76C53">
              <w:rPr>
                <w:sz w:val="28"/>
                <w:szCs w:val="28"/>
              </w:rPr>
              <w:t xml:space="preserve"> (Tucows)</w:t>
            </w:r>
          </w:p>
        </w:tc>
        <w:tc>
          <w:tcPr>
            <w:tcW w:w="2785" w:type="dxa"/>
          </w:tcPr>
          <w:p w14:paraId="73E298AD" w14:textId="13545160" w:rsidR="00D2128E" w:rsidRDefault="00D2128E" w:rsidP="00FF746D">
            <w:pPr>
              <w:rPr>
                <w:sz w:val="28"/>
                <w:szCs w:val="28"/>
              </w:rPr>
            </w:pPr>
            <w:r>
              <w:rPr>
                <w:sz w:val="28"/>
                <w:szCs w:val="28"/>
              </w:rPr>
              <w:t>Yes/No</w:t>
            </w:r>
          </w:p>
        </w:tc>
      </w:tr>
      <w:tr w:rsidR="00D2128E" w14:paraId="25D664E8" w14:textId="77777777" w:rsidTr="00FF746D">
        <w:tc>
          <w:tcPr>
            <w:tcW w:w="8635" w:type="dxa"/>
          </w:tcPr>
          <w:p w14:paraId="45B6D653" w14:textId="7FF9946B" w:rsidR="00D2128E" w:rsidRPr="00D2128E" w:rsidRDefault="00D2128E" w:rsidP="00FF746D">
            <w:pPr>
              <w:rPr>
                <w:sz w:val="28"/>
                <w:szCs w:val="28"/>
              </w:rPr>
            </w:pPr>
            <w:r>
              <w:rPr>
                <w:sz w:val="28"/>
                <w:szCs w:val="28"/>
              </w:rPr>
              <w:t>I</w:t>
            </w:r>
            <w:r w:rsidRPr="00D2128E">
              <w:rPr>
                <w:sz w:val="28"/>
                <w:szCs w:val="28"/>
              </w:rPr>
              <w:t>t it is important to provide a means</w:t>
            </w:r>
            <w:r>
              <w:rPr>
                <w:sz w:val="28"/>
                <w:szCs w:val="28"/>
              </w:rPr>
              <w:t xml:space="preserve"> </w:t>
            </w:r>
            <w:r w:rsidRPr="00D2128E">
              <w:rPr>
                <w:sz w:val="28"/>
                <w:szCs w:val="28"/>
              </w:rPr>
              <w:t>for multiple queries, particularly when pivoting off fields in an investigation, and reverse Whois, which is critical for cybersecurity investigations. Moreover, there should be a means for expedient access in certain circumstances, such as a global cybersecurity attack. To the extent queries are logged, there should be guidance for how this will work, what would be included in the logs, and permitted uses of</w:t>
            </w:r>
            <w:r>
              <w:rPr>
                <w:sz w:val="28"/>
                <w:szCs w:val="28"/>
              </w:rPr>
              <w:t xml:space="preserve"> </w:t>
            </w:r>
            <w:r w:rsidRPr="00D2128E">
              <w:rPr>
                <w:sz w:val="28"/>
                <w:szCs w:val="28"/>
              </w:rPr>
              <w:t>the logs</w:t>
            </w:r>
            <w:r>
              <w:rPr>
                <w:sz w:val="28"/>
                <w:szCs w:val="28"/>
              </w:rPr>
              <w:t>.</w:t>
            </w:r>
          </w:p>
        </w:tc>
        <w:tc>
          <w:tcPr>
            <w:tcW w:w="2970" w:type="dxa"/>
          </w:tcPr>
          <w:p w14:paraId="1249133C" w14:textId="607DE350" w:rsidR="00D2128E" w:rsidRDefault="00D2128E" w:rsidP="00D2128E">
            <w:pPr>
              <w:rPr>
                <w:sz w:val="28"/>
                <w:szCs w:val="28"/>
              </w:rPr>
            </w:pPr>
            <w:r>
              <w:rPr>
                <w:sz w:val="28"/>
                <w:szCs w:val="28"/>
              </w:rPr>
              <w:t>8</w:t>
            </w:r>
            <w:r w:rsidR="00D76C53">
              <w:rPr>
                <w:sz w:val="28"/>
                <w:szCs w:val="28"/>
              </w:rPr>
              <w:t xml:space="preserve"> (Europol AGIS)</w:t>
            </w:r>
          </w:p>
        </w:tc>
        <w:tc>
          <w:tcPr>
            <w:tcW w:w="2785" w:type="dxa"/>
          </w:tcPr>
          <w:p w14:paraId="1873998D" w14:textId="1F84E470" w:rsidR="00D2128E" w:rsidRDefault="00D2128E" w:rsidP="00FF746D">
            <w:pPr>
              <w:rPr>
                <w:sz w:val="28"/>
                <w:szCs w:val="28"/>
              </w:rPr>
            </w:pPr>
            <w:r>
              <w:rPr>
                <w:sz w:val="28"/>
                <w:szCs w:val="28"/>
              </w:rPr>
              <w:t>Yes/No</w:t>
            </w:r>
          </w:p>
        </w:tc>
      </w:tr>
      <w:tr w:rsidR="00D2128E" w14:paraId="366F7287" w14:textId="77777777" w:rsidTr="00FF746D">
        <w:tc>
          <w:tcPr>
            <w:tcW w:w="8635" w:type="dxa"/>
          </w:tcPr>
          <w:p w14:paraId="01FC53FE" w14:textId="77777777" w:rsidR="00D2128E" w:rsidRDefault="00D2128E" w:rsidP="00FF746D">
            <w:pPr>
              <w:rPr>
                <w:sz w:val="28"/>
                <w:szCs w:val="28"/>
              </w:rPr>
            </w:pPr>
            <w:r w:rsidRPr="00D2128E">
              <w:rPr>
                <w:sz w:val="28"/>
                <w:szCs w:val="28"/>
              </w:rPr>
              <w:lastRenderedPageBreak/>
              <w:t>Premature to be discussing "Access recommendations" until the gating questions have been answered</w:t>
            </w:r>
            <w:r>
              <w:rPr>
                <w:sz w:val="28"/>
                <w:szCs w:val="28"/>
              </w:rPr>
              <w:t>.</w:t>
            </w:r>
          </w:p>
          <w:p w14:paraId="483BD897" w14:textId="77777777" w:rsidR="00FD3920" w:rsidRDefault="00FD3920" w:rsidP="00FF746D">
            <w:pPr>
              <w:rPr>
                <w:sz w:val="28"/>
                <w:szCs w:val="28"/>
              </w:rPr>
            </w:pPr>
          </w:p>
          <w:p w14:paraId="17AF1501" w14:textId="591EAB5B" w:rsidR="00FD3920" w:rsidRDefault="00FD3920" w:rsidP="00FF746D">
            <w:pPr>
              <w:rPr>
                <w:sz w:val="28"/>
                <w:szCs w:val="28"/>
              </w:rPr>
            </w:pPr>
            <w:r>
              <w:rPr>
                <w:sz w:val="28"/>
                <w:szCs w:val="28"/>
              </w:rPr>
              <w:t>R</w:t>
            </w:r>
            <w:r w:rsidRPr="00FD3920">
              <w:rPr>
                <w:sz w:val="28"/>
                <w:szCs w:val="28"/>
              </w:rPr>
              <w:t>epeated efforts by some EPDP Team members to focus on access to, and/or disclosure of, data in the initial phases of the EPDP’s work has significantly hampered the group’s ability to make progress on the core issues of defining purposes for data collection and the roles and responsibilities of parties. The Charter explicitly states that data access questions are to be addressed in the second phase of the EPDP. Therefore, inclusion of this recommendation, as written, is premature and serves to predetermine the issue to be discusse</w:t>
            </w:r>
            <w:r w:rsidR="00AA55C4">
              <w:rPr>
                <w:sz w:val="28"/>
                <w:szCs w:val="28"/>
              </w:rPr>
              <w:t>d.</w:t>
            </w:r>
          </w:p>
        </w:tc>
        <w:tc>
          <w:tcPr>
            <w:tcW w:w="2970" w:type="dxa"/>
          </w:tcPr>
          <w:p w14:paraId="32C57DB0" w14:textId="001D9148" w:rsidR="00D2128E" w:rsidRDefault="00D2128E" w:rsidP="00D2128E">
            <w:pPr>
              <w:rPr>
                <w:sz w:val="28"/>
                <w:szCs w:val="28"/>
              </w:rPr>
            </w:pPr>
            <w:r>
              <w:rPr>
                <w:sz w:val="28"/>
                <w:szCs w:val="28"/>
              </w:rPr>
              <w:t>12</w:t>
            </w:r>
            <w:r w:rsidR="00FD3920">
              <w:rPr>
                <w:sz w:val="28"/>
                <w:szCs w:val="28"/>
              </w:rPr>
              <w:t>, 24</w:t>
            </w:r>
            <w:r w:rsidR="00D76C53">
              <w:rPr>
                <w:sz w:val="28"/>
                <w:szCs w:val="28"/>
              </w:rPr>
              <w:t xml:space="preserve"> (John Poole, RySG)</w:t>
            </w:r>
          </w:p>
        </w:tc>
        <w:tc>
          <w:tcPr>
            <w:tcW w:w="2785" w:type="dxa"/>
          </w:tcPr>
          <w:p w14:paraId="5D7396DD" w14:textId="6D54339A" w:rsidR="00D2128E" w:rsidRDefault="00D2128E" w:rsidP="00FF746D">
            <w:pPr>
              <w:rPr>
                <w:sz w:val="28"/>
                <w:szCs w:val="28"/>
              </w:rPr>
            </w:pPr>
            <w:r>
              <w:rPr>
                <w:sz w:val="28"/>
                <w:szCs w:val="28"/>
              </w:rPr>
              <w:t>Yes/No</w:t>
            </w:r>
          </w:p>
        </w:tc>
      </w:tr>
      <w:tr w:rsidR="00D2128E" w14:paraId="4CB2994E" w14:textId="77777777" w:rsidTr="00FF746D">
        <w:tc>
          <w:tcPr>
            <w:tcW w:w="8635" w:type="dxa"/>
          </w:tcPr>
          <w:p w14:paraId="59FC290F" w14:textId="3A1834D2" w:rsidR="00D2128E" w:rsidRPr="00D2128E" w:rsidRDefault="00D2128E" w:rsidP="00FF746D">
            <w:pPr>
              <w:rPr>
                <w:sz w:val="28"/>
                <w:szCs w:val="28"/>
              </w:rPr>
            </w:pPr>
            <w:r>
              <w:rPr>
                <w:sz w:val="28"/>
                <w:szCs w:val="28"/>
              </w:rPr>
              <w:t>The</w:t>
            </w:r>
            <w:r w:rsidRPr="00D2128E">
              <w:rPr>
                <w:sz w:val="28"/>
                <w:szCs w:val="28"/>
              </w:rPr>
              <w:t xml:space="preserve"> criteria provide much needed predictability and clarity around the obligation of “reasonable access” including what the process and expectations for requesting and providing access need to be.  </w:t>
            </w:r>
          </w:p>
        </w:tc>
        <w:tc>
          <w:tcPr>
            <w:tcW w:w="2970" w:type="dxa"/>
          </w:tcPr>
          <w:p w14:paraId="39BFFE10" w14:textId="4B0000EF" w:rsidR="00D2128E" w:rsidRDefault="00D2128E" w:rsidP="00D2128E">
            <w:pPr>
              <w:rPr>
                <w:sz w:val="28"/>
                <w:szCs w:val="28"/>
              </w:rPr>
            </w:pPr>
            <w:r>
              <w:rPr>
                <w:sz w:val="28"/>
                <w:szCs w:val="28"/>
              </w:rPr>
              <w:t>13</w:t>
            </w:r>
            <w:r w:rsidR="00D76C53">
              <w:rPr>
                <w:sz w:val="28"/>
                <w:szCs w:val="28"/>
              </w:rPr>
              <w:t xml:space="preserve"> (NTIA)</w:t>
            </w:r>
          </w:p>
        </w:tc>
        <w:tc>
          <w:tcPr>
            <w:tcW w:w="2785" w:type="dxa"/>
          </w:tcPr>
          <w:p w14:paraId="15828EF2" w14:textId="0B4A1831" w:rsidR="00D2128E" w:rsidRDefault="00D2128E" w:rsidP="00FF746D">
            <w:pPr>
              <w:rPr>
                <w:sz w:val="28"/>
                <w:szCs w:val="28"/>
              </w:rPr>
            </w:pPr>
            <w:r>
              <w:rPr>
                <w:sz w:val="28"/>
                <w:szCs w:val="28"/>
              </w:rPr>
              <w:t>Yes/No</w:t>
            </w:r>
          </w:p>
        </w:tc>
      </w:tr>
      <w:tr w:rsidR="000027B2" w14:paraId="54060DD3" w14:textId="77777777" w:rsidTr="00FF746D">
        <w:tc>
          <w:tcPr>
            <w:tcW w:w="8635" w:type="dxa"/>
          </w:tcPr>
          <w:p w14:paraId="4EA1D5AB" w14:textId="08A0B4ED" w:rsidR="000027B2" w:rsidRDefault="000027B2" w:rsidP="00FF746D">
            <w:pPr>
              <w:rPr>
                <w:sz w:val="28"/>
                <w:szCs w:val="28"/>
              </w:rPr>
            </w:pPr>
            <w:r w:rsidRPr="000027B2">
              <w:rPr>
                <w:sz w:val="28"/>
                <w:szCs w:val="28"/>
              </w:rPr>
              <w:t>The current "requirements" are so vague as to be unworkable and unenforceable.  there do need to be more specific, measurable, enforceable requirements of the kinds contemplated in Rec 12.  At</w:t>
            </w:r>
            <w:r>
              <w:rPr>
                <w:sz w:val="28"/>
                <w:szCs w:val="28"/>
              </w:rPr>
              <w:t xml:space="preserve"> </w:t>
            </w:r>
            <w:r w:rsidRPr="000027B2">
              <w:rPr>
                <w:sz w:val="28"/>
                <w:szCs w:val="28"/>
              </w:rPr>
              <w:t>minimum, the following are easy to implement immediately: 1) Links and instructions for data requests must be placed on registrar and registry operator web sites 9just like they are required to have abuse links and contacts on home pages per the ICANN contracts.)   2)  Contracted party must provide</w:t>
            </w:r>
            <w:r>
              <w:rPr>
                <w:sz w:val="28"/>
                <w:szCs w:val="28"/>
              </w:rPr>
              <w:t xml:space="preserve"> </w:t>
            </w:r>
            <w:r w:rsidRPr="000027B2">
              <w:rPr>
                <w:sz w:val="28"/>
                <w:szCs w:val="28"/>
              </w:rPr>
              <w:t>written acknowledgement of receipt of the request, and 3) must return a written response with either the data or the reason for the rejection, within three days</w:t>
            </w:r>
            <w:r>
              <w:rPr>
                <w:sz w:val="28"/>
                <w:szCs w:val="28"/>
              </w:rPr>
              <w:t>.</w:t>
            </w:r>
          </w:p>
        </w:tc>
        <w:tc>
          <w:tcPr>
            <w:tcW w:w="2970" w:type="dxa"/>
          </w:tcPr>
          <w:p w14:paraId="38A2E3CF" w14:textId="77777777" w:rsidR="00D76C53" w:rsidRPr="00D76C53" w:rsidRDefault="000027B2" w:rsidP="00D76C53">
            <w:pPr>
              <w:rPr>
                <w:sz w:val="28"/>
                <w:szCs w:val="28"/>
              </w:rPr>
            </w:pPr>
            <w:r>
              <w:rPr>
                <w:sz w:val="28"/>
                <w:szCs w:val="28"/>
              </w:rPr>
              <w:t>16</w:t>
            </w:r>
            <w:r w:rsidR="00D76C53">
              <w:rPr>
                <w:sz w:val="28"/>
                <w:szCs w:val="28"/>
              </w:rPr>
              <w:t xml:space="preserve"> (</w:t>
            </w:r>
            <w:proofErr w:type="spellStart"/>
            <w:r w:rsidR="00D76C53" w:rsidRPr="00D76C53">
              <w:rPr>
                <w:sz w:val="28"/>
                <w:szCs w:val="28"/>
              </w:rPr>
              <w:t>iThreat</w:t>
            </w:r>
            <w:proofErr w:type="spellEnd"/>
            <w:r w:rsidR="00D76C53" w:rsidRPr="00D76C53">
              <w:rPr>
                <w:sz w:val="28"/>
                <w:szCs w:val="28"/>
              </w:rPr>
              <w:t xml:space="preserve"> Cyber </w:t>
            </w:r>
          </w:p>
          <w:p w14:paraId="5C0A48B3" w14:textId="5826B7BE" w:rsidR="00D76C53" w:rsidRPr="00D76C53" w:rsidRDefault="00D76C53" w:rsidP="00D76C53">
            <w:pPr>
              <w:rPr>
                <w:sz w:val="28"/>
                <w:szCs w:val="28"/>
              </w:rPr>
            </w:pPr>
            <w:r w:rsidRPr="00D76C53">
              <w:rPr>
                <w:sz w:val="28"/>
                <w:szCs w:val="28"/>
              </w:rPr>
              <w:t>Group</w:t>
            </w:r>
            <w:r>
              <w:rPr>
                <w:sz w:val="28"/>
                <w:szCs w:val="28"/>
              </w:rPr>
              <w:t>)</w:t>
            </w:r>
          </w:p>
          <w:p w14:paraId="318EEA2C" w14:textId="15E82643" w:rsidR="000027B2" w:rsidRDefault="000027B2" w:rsidP="00D2128E">
            <w:pPr>
              <w:rPr>
                <w:sz w:val="28"/>
                <w:szCs w:val="28"/>
              </w:rPr>
            </w:pPr>
          </w:p>
        </w:tc>
        <w:tc>
          <w:tcPr>
            <w:tcW w:w="2785" w:type="dxa"/>
          </w:tcPr>
          <w:p w14:paraId="52BA66C9" w14:textId="3A953C61" w:rsidR="000027B2" w:rsidRDefault="000027B2" w:rsidP="00FF746D">
            <w:pPr>
              <w:rPr>
                <w:sz w:val="28"/>
                <w:szCs w:val="28"/>
              </w:rPr>
            </w:pPr>
            <w:r>
              <w:rPr>
                <w:sz w:val="28"/>
                <w:szCs w:val="28"/>
              </w:rPr>
              <w:t>Yes/No</w:t>
            </w:r>
          </w:p>
        </w:tc>
      </w:tr>
      <w:tr w:rsidR="000027B2" w14:paraId="252EF11E" w14:textId="77777777" w:rsidTr="00FF746D">
        <w:tc>
          <w:tcPr>
            <w:tcW w:w="8635" w:type="dxa"/>
          </w:tcPr>
          <w:p w14:paraId="27B0722D" w14:textId="3C66B73D" w:rsidR="000027B2" w:rsidRPr="000027B2" w:rsidRDefault="000027B2" w:rsidP="00FF746D">
            <w:pPr>
              <w:rPr>
                <w:sz w:val="28"/>
                <w:szCs w:val="28"/>
              </w:rPr>
            </w:pPr>
            <w:r w:rsidRPr="000027B2">
              <w:rPr>
                <w:sz w:val="28"/>
                <w:szCs w:val="28"/>
              </w:rPr>
              <w:t>Timelines should also be made for allowing opt-in by registrants to public WHOIS.</w:t>
            </w:r>
          </w:p>
        </w:tc>
        <w:tc>
          <w:tcPr>
            <w:tcW w:w="2970" w:type="dxa"/>
          </w:tcPr>
          <w:p w14:paraId="3718F41A" w14:textId="6E8F9643" w:rsidR="000027B2" w:rsidRDefault="000027B2" w:rsidP="00D2128E">
            <w:pPr>
              <w:rPr>
                <w:sz w:val="28"/>
                <w:szCs w:val="28"/>
              </w:rPr>
            </w:pPr>
            <w:r>
              <w:rPr>
                <w:sz w:val="28"/>
                <w:szCs w:val="28"/>
              </w:rPr>
              <w:t>17</w:t>
            </w:r>
            <w:r w:rsidR="00D76C53">
              <w:rPr>
                <w:sz w:val="28"/>
                <w:szCs w:val="28"/>
              </w:rPr>
              <w:t xml:space="preserve"> (George </w:t>
            </w:r>
            <w:proofErr w:type="spellStart"/>
            <w:r w:rsidR="00D76C53">
              <w:rPr>
                <w:sz w:val="28"/>
                <w:szCs w:val="28"/>
              </w:rPr>
              <w:t>Kirikos</w:t>
            </w:r>
            <w:proofErr w:type="spellEnd"/>
            <w:r w:rsidR="00D76C53">
              <w:rPr>
                <w:sz w:val="28"/>
                <w:szCs w:val="28"/>
              </w:rPr>
              <w:t>)</w:t>
            </w:r>
          </w:p>
        </w:tc>
        <w:tc>
          <w:tcPr>
            <w:tcW w:w="2785" w:type="dxa"/>
          </w:tcPr>
          <w:p w14:paraId="5359556C" w14:textId="05C36360" w:rsidR="000027B2" w:rsidRDefault="000027B2" w:rsidP="00FF746D">
            <w:pPr>
              <w:rPr>
                <w:sz w:val="28"/>
                <w:szCs w:val="28"/>
              </w:rPr>
            </w:pPr>
            <w:r>
              <w:rPr>
                <w:sz w:val="28"/>
                <w:szCs w:val="28"/>
              </w:rPr>
              <w:t>Yes/No</w:t>
            </w:r>
          </w:p>
        </w:tc>
      </w:tr>
      <w:tr w:rsidR="000027B2" w14:paraId="4908A40B" w14:textId="77777777" w:rsidTr="00FF746D">
        <w:tc>
          <w:tcPr>
            <w:tcW w:w="8635" w:type="dxa"/>
          </w:tcPr>
          <w:p w14:paraId="009DCA06" w14:textId="33B691E2" w:rsidR="000027B2" w:rsidRPr="000027B2" w:rsidRDefault="000027B2" w:rsidP="00FF746D">
            <w:pPr>
              <w:rPr>
                <w:sz w:val="28"/>
                <w:szCs w:val="28"/>
              </w:rPr>
            </w:pPr>
            <w:r w:rsidRPr="000027B2">
              <w:rPr>
                <w:sz w:val="28"/>
                <w:szCs w:val="28"/>
              </w:rPr>
              <w:t xml:space="preserve">It is unclear what the ALTERNATIVE is to </w:t>
            </w:r>
            <w:proofErr w:type="gramStart"/>
            <w:r w:rsidRPr="000027B2">
              <w:rPr>
                <w:sz w:val="28"/>
                <w:szCs w:val="28"/>
              </w:rPr>
              <w:t>continuing</w:t>
            </w:r>
            <w:proofErr w:type="gramEnd"/>
            <w:r w:rsidRPr="000027B2">
              <w:rPr>
                <w:sz w:val="28"/>
                <w:szCs w:val="28"/>
              </w:rPr>
              <w:t xml:space="preserve"> to use the current methodology</w:t>
            </w:r>
            <w:r>
              <w:rPr>
                <w:sz w:val="28"/>
                <w:szCs w:val="28"/>
              </w:rPr>
              <w:t>.</w:t>
            </w:r>
          </w:p>
        </w:tc>
        <w:tc>
          <w:tcPr>
            <w:tcW w:w="2970" w:type="dxa"/>
          </w:tcPr>
          <w:p w14:paraId="405C06C8" w14:textId="3EA0DA0C" w:rsidR="000027B2" w:rsidRDefault="000027B2" w:rsidP="00D2128E">
            <w:pPr>
              <w:rPr>
                <w:sz w:val="28"/>
                <w:szCs w:val="28"/>
              </w:rPr>
            </w:pPr>
            <w:r>
              <w:rPr>
                <w:sz w:val="28"/>
                <w:szCs w:val="28"/>
              </w:rPr>
              <w:t>18</w:t>
            </w:r>
            <w:r w:rsidR="00D76C53">
              <w:rPr>
                <w:sz w:val="28"/>
                <w:szCs w:val="28"/>
              </w:rPr>
              <w:t xml:space="preserve"> (ALAC)</w:t>
            </w:r>
          </w:p>
        </w:tc>
        <w:tc>
          <w:tcPr>
            <w:tcW w:w="2785" w:type="dxa"/>
          </w:tcPr>
          <w:p w14:paraId="257D0A80" w14:textId="0F8C2DFB" w:rsidR="000027B2" w:rsidRDefault="000027B2" w:rsidP="00FF746D">
            <w:pPr>
              <w:rPr>
                <w:sz w:val="28"/>
                <w:szCs w:val="28"/>
              </w:rPr>
            </w:pPr>
            <w:r>
              <w:rPr>
                <w:sz w:val="28"/>
                <w:szCs w:val="28"/>
              </w:rPr>
              <w:t>Yes/No</w:t>
            </w:r>
          </w:p>
        </w:tc>
      </w:tr>
      <w:tr w:rsidR="000027B2" w14:paraId="19DA3893" w14:textId="77777777" w:rsidTr="00FF746D">
        <w:tc>
          <w:tcPr>
            <w:tcW w:w="8635" w:type="dxa"/>
          </w:tcPr>
          <w:p w14:paraId="72DCDB8A" w14:textId="63568975" w:rsidR="000027B2" w:rsidRPr="000027B2" w:rsidRDefault="000027B2" w:rsidP="00FF746D">
            <w:pPr>
              <w:rPr>
                <w:sz w:val="28"/>
                <w:szCs w:val="28"/>
              </w:rPr>
            </w:pPr>
            <w:r w:rsidRPr="000027B2">
              <w:rPr>
                <w:sz w:val="28"/>
                <w:szCs w:val="28"/>
              </w:rPr>
              <w:t>This recommendation should be rewritten to make the distinguish between law enforcement requests,</w:t>
            </w:r>
            <w:r>
              <w:rPr>
                <w:sz w:val="28"/>
                <w:szCs w:val="28"/>
              </w:rPr>
              <w:t xml:space="preserve"> </w:t>
            </w:r>
            <w:r w:rsidRPr="000027B2">
              <w:rPr>
                <w:sz w:val="28"/>
                <w:szCs w:val="28"/>
              </w:rPr>
              <w:t>private party disclosure requests, and pseudonymized access for research purposes.</w:t>
            </w:r>
            <w:r>
              <w:rPr>
                <w:sz w:val="28"/>
                <w:szCs w:val="28"/>
              </w:rPr>
              <w:t xml:space="preserve"> </w:t>
            </w:r>
            <w:r w:rsidRPr="000027B2">
              <w:rPr>
                <w:sz w:val="28"/>
                <w:szCs w:val="28"/>
              </w:rPr>
              <w:t xml:space="preserve">The legal bases for </w:t>
            </w:r>
            <w:r w:rsidRPr="000027B2">
              <w:rPr>
                <w:sz w:val="28"/>
                <w:szCs w:val="28"/>
              </w:rPr>
              <w:lastRenderedPageBreak/>
              <w:t>these three use cases are different.  Also, this approach will also be driving by</w:t>
            </w:r>
            <w:r>
              <w:rPr>
                <w:sz w:val="28"/>
                <w:szCs w:val="28"/>
              </w:rPr>
              <w:t xml:space="preserve"> </w:t>
            </w:r>
            <w:r w:rsidRPr="000027B2">
              <w:rPr>
                <w:sz w:val="28"/>
                <w:szCs w:val="28"/>
              </w:rPr>
              <w:t>whether ICANN or contracted parties will be required to fulfill disclosure requests.</w:t>
            </w:r>
            <w:r>
              <w:rPr>
                <w:sz w:val="28"/>
                <w:szCs w:val="28"/>
              </w:rPr>
              <w:t xml:space="preserve"> </w:t>
            </w:r>
            <w:r w:rsidRPr="000027B2">
              <w:rPr>
                <w:sz w:val="28"/>
                <w:szCs w:val="28"/>
              </w:rPr>
              <w:t>Additionally, it is important to note and emphasize that “reasonableness” does not refer to the ease of access, but rather must take into consideration whether such access is lawful, because nothing is reasonable if it creates legal liability for the Contracted Parties.</w:t>
            </w:r>
          </w:p>
        </w:tc>
        <w:tc>
          <w:tcPr>
            <w:tcW w:w="2970" w:type="dxa"/>
          </w:tcPr>
          <w:p w14:paraId="1DDF2942" w14:textId="0F03ECAA" w:rsidR="000027B2" w:rsidRDefault="000027B2" w:rsidP="00D2128E">
            <w:pPr>
              <w:rPr>
                <w:sz w:val="28"/>
                <w:szCs w:val="28"/>
              </w:rPr>
            </w:pPr>
            <w:r>
              <w:rPr>
                <w:sz w:val="28"/>
                <w:szCs w:val="28"/>
              </w:rPr>
              <w:lastRenderedPageBreak/>
              <w:t>20</w:t>
            </w:r>
            <w:r w:rsidR="00D76C53">
              <w:rPr>
                <w:sz w:val="28"/>
                <w:szCs w:val="28"/>
              </w:rPr>
              <w:t xml:space="preserve"> (GoDaddy)</w:t>
            </w:r>
          </w:p>
        </w:tc>
        <w:tc>
          <w:tcPr>
            <w:tcW w:w="2785" w:type="dxa"/>
          </w:tcPr>
          <w:p w14:paraId="153E80A7" w14:textId="5F12894C" w:rsidR="000027B2" w:rsidRDefault="000027B2" w:rsidP="00FF746D">
            <w:pPr>
              <w:rPr>
                <w:sz w:val="28"/>
                <w:szCs w:val="28"/>
              </w:rPr>
            </w:pPr>
            <w:r>
              <w:rPr>
                <w:sz w:val="28"/>
                <w:szCs w:val="28"/>
              </w:rPr>
              <w:t>Yes/No</w:t>
            </w:r>
          </w:p>
        </w:tc>
      </w:tr>
      <w:tr w:rsidR="00E804E0" w14:paraId="77DD0B65" w14:textId="77777777" w:rsidTr="00FF746D">
        <w:tc>
          <w:tcPr>
            <w:tcW w:w="8635" w:type="dxa"/>
          </w:tcPr>
          <w:p w14:paraId="50BFB2E8" w14:textId="16C7ACEB" w:rsidR="00E804E0" w:rsidRPr="00E804E0" w:rsidRDefault="00E804E0" w:rsidP="00E804E0">
            <w:pPr>
              <w:shd w:val="clear" w:color="auto" w:fill="FFFFFF"/>
              <w:rPr>
                <w:sz w:val="28"/>
                <w:szCs w:val="28"/>
              </w:rPr>
            </w:pPr>
            <w:r w:rsidRPr="00E804E0">
              <w:rPr>
                <w:sz w:val="28"/>
                <w:szCs w:val="28"/>
              </w:rPr>
              <w:t>Each registry</w:t>
            </w:r>
            <w:r>
              <w:rPr>
                <w:sz w:val="28"/>
                <w:szCs w:val="28"/>
              </w:rPr>
              <w:t xml:space="preserve"> </w:t>
            </w:r>
            <w:r w:rsidRPr="00E804E0">
              <w:rPr>
                <w:sz w:val="28"/>
                <w:szCs w:val="28"/>
              </w:rPr>
              <w:t>and registrar should</w:t>
            </w:r>
            <w:r>
              <w:rPr>
                <w:sz w:val="28"/>
                <w:szCs w:val="28"/>
              </w:rPr>
              <w:t xml:space="preserve"> </w:t>
            </w:r>
            <w:r w:rsidRPr="00E804E0">
              <w:rPr>
                <w:sz w:val="28"/>
                <w:szCs w:val="28"/>
              </w:rPr>
              <w:t>be able to</w:t>
            </w:r>
            <w:r>
              <w:rPr>
                <w:sz w:val="28"/>
                <w:szCs w:val="28"/>
              </w:rPr>
              <w:t xml:space="preserve"> </w:t>
            </w:r>
            <w:r w:rsidRPr="00E804E0">
              <w:rPr>
                <w:sz w:val="28"/>
                <w:szCs w:val="28"/>
              </w:rPr>
              <w:t>evaluate to whom</w:t>
            </w:r>
            <w:r>
              <w:rPr>
                <w:sz w:val="28"/>
                <w:szCs w:val="28"/>
              </w:rPr>
              <w:t xml:space="preserve"> </w:t>
            </w:r>
            <w:r w:rsidRPr="00E804E0">
              <w:rPr>
                <w:sz w:val="28"/>
                <w:szCs w:val="28"/>
              </w:rPr>
              <w:t>they may</w:t>
            </w:r>
            <w:r>
              <w:rPr>
                <w:sz w:val="28"/>
                <w:szCs w:val="28"/>
              </w:rPr>
              <w:t xml:space="preserve"> </w:t>
            </w:r>
            <w:r w:rsidRPr="00E804E0">
              <w:rPr>
                <w:sz w:val="28"/>
                <w:szCs w:val="28"/>
              </w:rPr>
              <w:t>disclose</w:t>
            </w:r>
            <w:r>
              <w:rPr>
                <w:sz w:val="28"/>
                <w:szCs w:val="28"/>
              </w:rPr>
              <w:t xml:space="preserve"> </w:t>
            </w:r>
            <w:r w:rsidRPr="00E804E0">
              <w:rPr>
                <w:sz w:val="28"/>
                <w:szCs w:val="28"/>
              </w:rPr>
              <w:t>personal</w:t>
            </w:r>
            <w:r>
              <w:rPr>
                <w:sz w:val="28"/>
                <w:szCs w:val="28"/>
              </w:rPr>
              <w:t xml:space="preserve"> </w:t>
            </w:r>
            <w:r w:rsidRPr="00E804E0">
              <w:rPr>
                <w:sz w:val="28"/>
                <w:szCs w:val="28"/>
              </w:rPr>
              <w:t>data.</w:t>
            </w:r>
            <w:r>
              <w:rPr>
                <w:sz w:val="28"/>
                <w:szCs w:val="28"/>
              </w:rPr>
              <w:t xml:space="preserve"> </w:t>
            </w:r>
            <w:r w:rsidRPr="00E804E0">
              <w:rPr>
                <w:sz w:val="28"/>
                <w:szCs w:val="28"/>
              </w:rPr>
              <w:t>There are local</w:t>
            </w:r>
            <w:r>
              <w:rPr>
                <w:sz w:val="28"/>
                <w:szCs w:val="28"/>
              </w:rPr>
              <w:t xml:space="preserve"> </w:t>
            </w:r>
            <w:r w:rsidRPr="00E804E0">
              <w:rPr>
                <w:sz w:val="28"/>
                <w:szCs w:val="28"/>
              </w:rPr>
              <w:t>laws to take into</w:t>
            </w:r>
            <w:r>
              <w:rPr>
                <w:sz w:val="28"/>
                <w:szCs w:val="28"/>
              </w:rPr>
              <w:t xml:space="preserve"> </w:t>
            </w:r>
            <w:r w:rsidRPr="00E804E0">
              <w:rPr>
                <w:sz w:val="28"/>
                <w:szCs w:val="28"/>
              </w:rPr>
              <w:t>consideration, as well as any data privacy legislation. It would be impossible to have a blanket</w:t>
            </w:r>
            <w:r>
              <w:rPr>
                <w:sz w:val="28"/>
                <w:szCs w:val="28"/>
              </w:rPr>
              <w:t xml:space="preserve"> </w:t>
            </w:r>
            <w:r w:rsidRPr="00E804E0">
              <w:rPr>
                <w:sz w:val="28"/>
                <w:szCs w:val="28"/>
              </w:rPr>
              <w:t xml:space="preserve">order to disclose </w:t>
            </w:r>
            <w:r>
              <w:rPr>
                <w:sz w:val="28"/>
                <w:szCs w:val="28"/>
              </w:rPr>
              <w:t>p</w:t>
            </w:r>
            <w:r w:rsidRPr="00E804E0">
              <w:rPr>
                <w:sz w:val="28"/>
                <w:szCs w:val="28"/>
              </w:rPr>
              <w:t>ersonal</w:t>
            </w:r>
            <w:r>
              <w:rPr>
                <w:sz w:val="28"/>
                <w:szCs w:val="28"/>
              </w:rPr>
              <w:t xml:space="preserve"> </w:t>
            </w:r>
            <w:r w:rsidRPr="00E804E0">
              <w:rPr>
                <w:sz w:val="28"/>
                <w:szCs w:val="28"/>
              </w:rPr>
              <w:t>data as it would</w:t>
            </w:r>
            <w:r>
              <w:rPr>
                <w:sz w:val="28"/>
                <w:szCs w:val="28"/>
              </w:rPr>
              <w:t xml:space="preserve"> </w:t>
            </w:r>
            <w:r w:rsidRPr="00E804E0">
              <w:rPr>
                <w:sz w:val="28"/>
                <w:szCs w:val="28"/>
              </w:rPr>
              <w:t>depend on the</w:t>
            </w:r>
          </w:p>
          <w:p w14:paraId="653F4BFA" w14:textId="05416C52" w:rsidR="00E804E0" w:rsidRPr="00E804E0" w:rsidRDefault="00E804E0" w:rsidP="00E804E0">
            <w:pPr>
              <w:shd w:val="clear" w:color="auto" w:fill="FFFFFF"/>
              <w:rPr>
                <w:sz w:val="28"/>
                <w:szCs w:val="28"/>
              </w:rPr>
            </w:pPr>
            <w:r w:rsidRPr="00E804E0">
              <w:rPr>
                <w:sz w:val="28"/>
                <w:szCs w:val="28"/>
              </w:rPr>
              <w:t>requestor.</w:t>
            </w:r>
          </w:p>
          <w:p w14:paraId="4852A850" w14:textId="77777777" w:rsidR="00E804E0" w:rsidRPr="00E804E0" w:rsidRDefault="00E804E0" w:rsidP="00E804E0">
            <w:pPr>
              <w:rPr>
                <w:sz w:val="28"/>
                <w:szCs w:val="28"/>
              </w:rPr>
            </w:pPr>
          </w:p>
          <w:p w14:paraId="3D2207F5" w14:textId="77777777" w:rsidR="00E804E0" w:rsidRPr="000027B2" w:rsidRDefault="00E804E0" w:rsidP="00E804E0">
            <w:pPr>
              <w:rPr>
                <w:sz w:val="28"/>
                <w:szCs w:val="28"/>
              </w:rPr>
            </w:pPr>
          </w:p>
        </w:tc>
        <w:tc>
          <w:tcPr>
            <w:tcW w:w="2970" w:type="dxa"/>
          </w:tcPr>
          <w:p w14:paraId="5D980F8E" w14:textId="42EF184B" w:rsidR="00E804E0" w:rsidRDefault="00E804E0" w:rsidP="00D2128E">
            <w:pPr>
              <w:rPr>
                <w:sz w:val="28"/>
                <w:szCs w:val="28"/>
              </w:rPr>
            </w:pPr>
            <w:r>
              <w:rPr>
                <w:sz w:val="28"/>
                <w:szCs w:val="28"/>
              </w:rPr>
              <w:t>21</w:t>
            </w:r>
            <w:r w:rsidR="00D76C53">
              <w:rPr>
                <w:sz w:val="28"/>
                <w:szCs w:val="28"/>
              </w:rPr>
              <w:t xml:space="preserve"> (</w:t>
            </w:r>
            <w:proofErr w:type="spellStart"/>
            <w:r w:rsidR="00D76C53">
              <w:rPr>
                <w:sz w:val="28"/>
                <w:szCs w:val="28"/>
              </w:rPr>
              <w:t>RrSG</w:t>
            </w:r>
            <w:proofErr w:type="spellEnd"/>
            <w:r w:rsidR="00D76C53">
              <w:rPr>
                <w:sz w:val="28"/>
                <w:szCs w:val="28"/>
              </w:rPr>
              <w:t xml:space="preserve">, Volker </w:t>
            </w:r>
            <w:proofErr w:type="spellStart"/>
            <w:r w:rsidR="00D76C53">
              <w:rPr>
                <w:sz w:val="28"/>
                <w:szCs w:val="28"/>
              </w:rPr>
              <w:t>Greimann</w:t>
            </w:r>
            <w:proofErr w:type="spellEnd"/>
            <w:r w:rsidR="00D76C53">
              <w:rPr>
                <w:sz w:val="28"/>
                <w:szCs w:val="28"/>
              </w:rPr>
              <w:t>, Michele Neylon)</w:t>
            </w:r>
          </w:p>
        </w:tc>
        <w:tc>
          <w:tcPr>
            <w:tcW w:w="2785" w:type="dxa"/>
          </w:tcPr>
          <w:p w14:paraId="2D99945A" w14:textId="7692D649" w:rsidR="00E804E0" w:rsidRDefault="00E804E0" w:rsidP="00FF746D">
            <w:pPr>
              <w:rPr>
                <w:sz w:val="28"/>
                <w:szCs w:val="28"/>
              </w:rPr>
            </w:pPr>
            <w:r>
              <w:rPr>
                <w:sz w:val="28"/>
                <w:szCs w:val="28"/>
              </w:rPr>
              <w:t>Yes/No</w:t>
            </w:r>
          </w:p>
        </w:tc>
      </w:tr>
      <w:tr w:rsidR="00FD3920" w14:paraId="756D5BF5" w14:textId="77777777" w:rsidTr="00FF746D">
        <w:tc>
          <w:tcPr>
            <w:tcW w:w="8635" w:type="dxa"/>
          </w:tcPr>
          <w:p w14:paraId="6FBFF1A3" w14:textId="72C2605A" w:rsidR="00FD3920" w:rsidRPr="00E804E0" w:rsidRDefault="00FD3920" w:rsidP="00E804E0">
            <w:pPr>
              <w:shd w:val="clear" w:color="auto" w:fill="FFFFFF"/>
              <w:rPr>
                <w:sz w:val="28"/>
                <w:szCs w:val="28"/>
              </w:rPr>
            </w:pPr>
            <w:r>
              <w:rPr>
                <w:sz w:val="28"/>
                <w:szCs w:val="28"/>
              </w:rPr>
              <w:t>R</w:t>
            </w:r>
            <w:r w:rsidRPr="00FD3920">
              <w:rPr>
                <w:sz w:val="28"/>
                <w:szCs w:val="28"/>
              </w:rPr>
              <w:t>eplac</w:t>
            </w:r>
            <w:r>
              <w:rPr>
                <w:sz w:val="28"/>
                <w:szCs w:val="28"/>
              </w:rPr>
              <w:t>e</w:t>
            </w:r>
            <w:r w:rsidRPr="00FD3920">
              <w:rPr>
                <w:sz w:val="28"/>
                <w:szCs w:val="28"/>
              </w:rPr>
              <w:t xml:space="preserve"> “Standardized Access to Non-Public Registration Data” with “parameters for requesting lawful disclosure requests,” as that more accurately describes the objective.</w:t>
            </w:r>
            <w:r>
              <w:rPr>
                <w:sz w:val="28"/>
                <w:szCs w:val="28"/>
              </w:rPr>
              <w:t xml:space="preserve"> </w:t>
            </w:r>
            <w:r w:rsidRPr="00FD3920">
              <w:rPr>
                <w:sz w:val="28"/>
                <w:szCs w:val="28"/>
              </w:rPr>
              <w:t>It will simply be insufficient to state a mere category of request for data, e.g., “intellectual property allegation” or “law enforcement need.”  The requirements of GDPR dictate that prior to revealing the personal and sensitive data of registrants, there is an evaluation that must take place.</w:t>
            </w:r>
          </w:p>
        </w:tc>
        <w:tc>
          <w:tcPr>
            <w:tcW w:w="2970" w:type="dxa"/>
          </w:tcPr>
          <w:p w14:paraId="31A5EF67" w14:textId="2252FED1" w:rsidR="00FD3920" w:rsidRDefault="00FD3920" w:rsidP="00D2128E">
            <w:pPr>
              <w:rPr>
                <w:sz w:val="28"/>
                <w:szCs w:val="28"/>
              </w:rPr>
            </w:pPr>
            <w:r>
              <w:rPr>
                <w:sz w:val="28"/>
                <w:szCs w:val="28"/>
              </w:rPr>
              <w:t>23</w:t>
            </w:r>
            <w:r w:rsidR="00AA55C4">
              <w:rPr>
                <w:sz w:val="28"/>
                <w:szCs w:val="28"/>
              </w:rPr>
              <w:t>, 26</w:t>
            </w:r>
            <w:r w:rsidR="00D76C53">
              <w:rPr>
                <w:sz w:val="28"/>
                <w:szCs w:val="28"/>
              </w:rPr>
              <w:t xml:space="preserve"> (Domain Name Rights Coalition, NCSG)</w:t>
            </w:r>
          </w:p>
        </w:tc>
        <w:tc>
          <w:tcPr>
            <w:tcW w:w="2785" w:type="dxa"/>
          </w:tcPr>
          <w:p w14:paraId="45DE1F8E" w14:textId="7E502C57" w:rsidR="00FD3920" w:rsidRDefault="00FD3920" w:rsidP="00FF746D">
            <w:pPr>
              <w:rPr>
                <w:sz w:val="28"/>
                <w:szCs w:val="28"/>
              </w:rPr>
            </w:pPr>
            <w:r>
              <w:rPr>
                <w:sz w:val="28"/>
                <w:szCs w:val="28"/>
              </w:rPr>
              <w:t>Yes/No</w:t>
            </w:r>
          </w:p>
        </w:tc>
      </w:tr>
      <w:tr w:rsidR="00FD3920" w14:paraId="1685B32F" w14:textId="77777777" w:rsidTr="00FF746D">
        <w:tc>
          <w:tcPr>
            <w:tcW w:w="8635" w:type="dxa"/>
          </w:tcPr>
          <w:p w14:paraId="7F755FBF" w14:textId="0CF45CE2" w:rsidR="00FD3920" w:rsidRPr="00E804E0" w:rsidRDefault="00AA55C4" w:rsidP="00E804E0">
            <w:pPr>
              <w:shd w:val="clear" w:color="auto" w:fill="FFFFFF"/>
              <w:rPr>
                <w:sz w:val="28"/>
                <w:szCs w:val="28"/>
              </w:rPr>
            </w:pPr>
            <w:r w:rsidRPr="00AA55C4">
              <w:rPr>
                <w:sz w:val="28"/>
                <w:szCs w:val="28"/>
              </w:rPr>
              <w:t>Internet infrastructure providers have a gateway function - there is an imbalance of informational</w:t>
            </w:r>
            <w:r>
              <w:rPr>
                <w:sz w:val="28"/>
                <w:szCs w:val="28"/>
              </w:rPr>
              <w:t xml:space="preserve"> </w:t>
            </w:r>
            <w:r w:rsidRPr="00AA55C4">
              <w:rPr>
                <w:sz w:val="28"/>
                <w:szCs w:val="28"/>
              </w:rPr>
              <w:t>power that must be rectified by transparency and due diligence by the providers.</w:t>
            </w:r>
            <w:r>
              <w:rPr>
                <w:sz w:val="28"/>
                <w:szCs w:val="28"/>
              </w:rPr>
              <w:t xml:space="preserve"> </w:t>
            </w:r>
            <w:r w:rsidRPr="00AA55C4">
              <w:rPr>
                <w:sz w:val="28"/>
                <w:szCs w:val="28"/>
              </w:rPr>
              <w:t xml:space="preserve">From the viewpoint of a </w:t>
            </w:r>
            <w:r>
              <w:rPr>
                <w:sz w:val="28"/>
                <w:szCs w:val="28"/>
              </w:rPr>
              <w:t>t</w:t>
            </w:r>
            <w:r w:rsidRPr="00AA55C4">
              <w:rPr>
                <w:sz w:val="28"/>
                <w:szCs w:val="28"/>
              </w:rPr>
              <w:t>hird party with legitimate requests, there should also be the possibility to object to decisions by infrastructure providers not to provide requested information. These decisions are often haphazard and inconsistent with transparency recommendations.</w:t>
            </w:r>
          </w:p>
        </w:tc>
        <w:tc>
          <w:tcPr>
            <w:tcW w:w="2970" w:type="dxa"/>
          </w:tcPr>
          <w:p w14:paraId="54E72B94" w14:textId="5B84690A" w:rsidR="00FD3920" w:rsidRDefault="00AA55C4" w:rsidP="00D2128E">
            <w:pPr>
              <w:rPr>
                <w:sz w:val="28"/>
                <w:szCs w:val="28"/>
              </w:rPr>
            </w:pPr>
            <w:r>
              <w:rPr>
                <w:sz w:val="28"/>
                <w:szCs w:val="28"/>
              </w:rPr>
              <w:t>25</w:t>
            </w:r>
            <w:r w:rsidR="00D76C53">
              <w:rPr>
                <w:sz w:val="28"/>
                <w:szCs w:val="28"/>
              </w:rPr>
              <w:t xml:space="preserve"> (VAP)</w:t>
            </w:r>
          </w:p>
        </w:tc>
        <w:tc>
          <w:tcPr>
            <w:tcW w:w="2785" w:type="dxa"/>
          </w:tcPr>
          <w:p w14:paraId="437FBD15" w14:textId="591FA822" w:rsidR="00FD3920" w:rsidRDefault="00AA55C4" w:rsidP="00FF746D">
            <w:pPr>
              <w:rPr>
                <w:sz w:val="28"/>
                <w:szCs w:val="28"/>
              </w:rPr>
            </w:pPr>
            <w:r>
              <w:rPr>
                <w:sz w:val="28"/>
                <w:szCs w:val="28"/>
              </w:rPr>
              <w:t>Yes/No</w:t>
            </w:r>
          </w:p>
        </w:tc>
      </w:tr>
      <w:tr w:rsidR="00AA55C4" w14:paraId="5CEF507F" w14:textId="77777777" w:rsidTr="00FF746D">
        <w:tc>
          <w:tcPr>
            <w:tcW w:w="8635" w:type="dxa"/>
          </w:tcPr>
          <w:p w14:paraId="00DDCADD" w14:textId="2C7902EE" w:rsidR="00AA55C4" w:rsidRPr="00AA55C4" w:rsidRDefault="00AA55C4" w:rsidP="00E804E0">
            <w:pPr>
              <w:shd w:val="clear" w:color="auto" w:fill="FFFFFF"/>
              <w:rPr>
                <w:sz w:val="28"/>
                <w:szCs w:val="28"/>
              </w:rPr>
            </w:pPr>
            <w:r w:rsidRPr="00AA55C4">
              <w:rPr>
                <w:sz w:val="28"/>
                <w:szCs w:val="28"/>
              </w:rPr>
              <w:t xml:space="preserve">The timeline criteria provided by contracted parties may differ from one contracted party to another based on each party's data infrastructure and overall organizational factors. Instead the timeline criteria could be provided by ICANN which could act as a single contact point for access </w:t>
            </w:r>
            <w:r w:rsidRPr="00AA55C4">
              <w:rPr>
                <w:sz w:val="28"/>
                <w:szCs w:val="28"/>
              </w:rPr>
              <w:lastRenderedPageBreak/>
              <w:t>requests which it could process in accordance with the policy that it is developing by its multi-stakeholder global process.</w:t>
            </w:r>
            <w:r>
              <w:rPr>
                <w:sz w:val="28"/>
                <w:szCs w:val="28"/>
              </w:rPr>
              <w:t xml:space="preserve"> </w:t>
            </w:r>
            <w:r w:rsidRPr="00AA55C4">
              <w:rPr>
                <w:sz w:val="28"/>
                <w:szCs w:val="28"/>
              </w:rPr>
              <w:t>Even the data access could be granted from ICANN Compliance database / escrow , by  privilege levels as determined by the class of requester and the nature of request. Such a process may remarkably reduce the burden on Registries and Registrars and would also considerably</w:t>
            </w:r>
            <w:r>
              <w:rPr>
                <w:sz w:val="28"/>
                <w:szCs w:val="28"/>
              </w:rPr>
              <w:t xml:space="preserve"> </w:t>
            </w:r>
            <w:r w:rsidRPr="00AA55C4">
              <w:rPr>
                <w:sz w:val="28"/>
                <w:szCs w:val="28"/>
              </w:rPr>
              <w:t>ease the processes for the Requester who would otherwise have to request access from multiple</w:t>
            </w:r>
            <w:r>
              <w:rPr>
                <w:sz w:val="28"/>
                <w:szCs w:val="28"/>
              </w:rPr>
              <w:t xml:space="preserve"> </w:t>
            </w:r>
            <w:r w:rsidRPr="00AA55C4">
              <w:rPr>
                <w:sz w:val="28"/>
                <w:szCs w:val="28"/>
              </w:rPr>
              <w:t>Registries and Registrars, each in a different geographic location</w:t>
            </w:r>
            <w:r>
              <w:rPr>
                <w:sz w:val="28"/>
                <w:szCs w:val="28"/>
              </w:rPr>
              <w:t>.</w:t>
            </w:r>
          </w:p>
        </w:tc>
        <w:tc>
          <w:tcPr>
            <w:tcW w:w="2970" w:type="dxa"/>
          </w:tcPr>
          <w:p w14:paraId="44BB6EC9" w14:textId="6595F094" w:rsidR="00D76C53" w:rsidRPr="00D76C53" w:rsidRDefault="00AA55C4" w:rsidP="00D76C53">
            <w:pPr>
              <w:rPr>
                <w:sz w:val="28"/>
                <w:szCs w:val="28"/>
              </w:rPr>
            </w:pPr>
            <w:r>
              <w:rPr>
                <w:sz w:val="28"/>
                <w:szCs w:val="28"/>
              </w:rPr>
              <w:lastRenderedPageBreak/>
              <w:t>27</w:t>
            </w:r>
            <w:r w:rsidR="00D76C53">
              <w:rPr>
                <w:sz w:val="28"/>
                <w:szCs w:val="28"/>
              </w:rPr>
              <w:t xml:space="preserve"> (</w:t>
            </w:r>
            <w:proofErr w:type="spellStart"/>
            <w:r w:rsidR="00D76C53" w:rsidRPr="00D76C53">
              <w:rPr>
                <w:sz w:val="28"/>
                <w:szCs w:val="28"/>
              </w:rPr>
              <w:t>Sivasubramanian</w:t>
            </w:r>
            <w:proofErr w:type="spellEnd"/>
            <w:r w:rsidR="00D76C53" w:rsidRPr="00D76C53">
              <w:rPr>
                <w:sz w:val="28"/>
                <w:szCs w:val="28"/>
              </w:rPr>
              <w:t xml:space="preserve"> Muthusamy</w:t>
            </w:r>
            <w:r w:rsidR="00D76C53">
              <w:rPr>
                <w:sz w:val="28"/>
                <w:szCs w:val="28"/>
              </w:rPr>
              <w:t>)</w:t>
            </w:r>
          </w:p>
          <w:p w14:paraId="57BC3F60" w14:textId="0892E541" w:rsidR="00AA55C4" w:rsidRDefault="00AA55C4" w:rsidP="00D2128E">
            <w:pPr>
              <w:rPr>
                <w:sz w:val="28"/>
                <w:szCs w:val="28"/>
              </w:rPr>
            </w:pPr>
          </w:p>
        </w:tc>
        <w:tc>
          <w:tcPr>
            <w:tcW w:w="2785" w:type="dxa"/>
          </w:tcPr>
          <w:p w14:paraId="6BD81D77" w14:textId="6C718981" w:rsidR="00AA55C4" w:rsidRPr="00AA55C4" w:rsidRDefault="00AA55C4" w:rsidP="00AA55C4">
            <w:pPr>
              <w:rPr>
                <w:sz w:val="28"/>
                <w:szCs w:val="28"/>
              </w:rPr>
            </w:pPr>
            <w:r>
              <w:rPr>
                <w:sz w:val="28"/>
                <w:szCs w:val="28"/>
              </w:rPr>
              <w:t>Yes/No</w:t>
            </w:r>
          </w:p>
        </w:tc>
      </w:tr>
    </w:tbl>
    <w:p w14:paraId="732642FC" w14:textId="77777777" w:rsidR="00404709" w:rsidRDefault="00404709"/>
    <w:sectPr w:rsidR="00404709" w:rsidSect="007B7DD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2471E"/>
    <w:multiLevelType w:val="hybridMultilevel"/>
    <w:tmpl w:val="4F283392"/>
    <w:lvl w:ilvl="0" w:tplc="D2103F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633294"/>
    <w:multiLevelType w:val="hybridMultilevel"/>
    <w:tmpl w:val="3B326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8E"/>
    <w:rsid w:val="000027B2"/>
    <w:rsid w:val="00404709"/>
    <w:rsid w:val="004076B0"/>
    <w:rsid w:val="00440B65"/>
    <w:rsid w:val="004B60B8"/>
    <w:rsid w:val="005D13A8"/>
    <w:rsid w:val="00A40CD0"/>
    <w:rsid w:val="00AA55C4"/>
    <w:rsid w:val="00D2128E"/>
    <w:rsid w:val="00D76C53"/>
    <w:rsid w:val="00DC58CE"/>
    <w:rsid w:val="00E804E0"/>
    <w:rsid w:val="00FD3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0493"/>
  <w15:chartTrackingRefBased/>
  <w15:docId w15:val="{70EBC067-DE32-8643-9A67-9DBD872B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12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12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12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1880">
      <w:bodyDiv w:val="1"/>
      <w:marLeft w:val="0"/>
      <w:marRight w:val="0"/>
      <w:marTop w:val="0"/>
      <w:marBottom w:val="0"/>
      <w:divBdr>
        <w:top w:val="none" w:sz="0" w:space="0" w:color="auto"/>
        <w:left w:val="none" w:sz="0" w:space="0" w:color="auto"/>
        <w:bottom w:val="none" w:sz="0" w:space="0" w:color="auto"/>
        <w:right w:val="none" w:sz="0" w:space="0" w:color="auto"/>
      </w:divBdr>
    </w:div>
    <w:div w:id="82839828">
      <w:bodyDiv w:val="1"/>
      <w:marLeft w:val="0"/>
      <w:marRight w:val="0"/>
      <w:marTop w:val="0"/>
      <w:marBottom w:val="0"/>
      <w:divBdr>
        <w:top w:val="none" w:sz="0" w:space="0" w:color="auto"/>
        <w:left w:val="none" w:sz="0" w:space="0" w:color="auto"/>
        <w:bottom w:val="none" w:sz="0" w:space="0" w:color="auto"/>
        <w:right w:val="none" w:sz="0" w:space="0" w:color="auto"/>
      </w:divBdr>
    </w:div>
    <w:div w:id="255750086">
      <w:bodyDiv w:val="1"/>
      <w:marLeft w:val="0"/>
      <w:marRight w:val="0"/>
      <w:marTop w:val="0"/>
      <w:marBottom w:val="0"/>
      <w:divBdr>
        <w:top w:val="none" w:sz="0" w:space="0" w:color="auto"/>
        <w:left w:val="none" w:sz="0" w:space="0" w:color="auto"/>
        <w:bottom w:val="none" w:sz="0" w:space="0" w:color="auto"/>
        <w:right w:val="none" w:sz="0" w:space="0" w:color="auto"/>
      </w:divBdr>
    </w:div>
    <w:div w:id="356665670">
      <w:bodyDiv w:val="1"/>
      <w:marLeft w:val="0"/>
      <w:marRight w:val="0"/>
      <w:marTop w:val="0"/>
      <w:marBottom w:val="0"/>
      <w:divBdr>
        <w:top w:val="none" w:sz="0" w:space="0" w:color="auto"/>
        <w:left w:val="none" w:sz="0" w:space="0" w:color="auto"/>
        <w:bottom w:val="none" w:sz="0" w:space="0" w:color="auto"/>
        <w:right w:val="none" w:sz="0" w:space="0" w:color="auto"/>
      </w:divBdr>
    </w:div>
    <w:div w:id="435253602">
      <w:bodyDiv w:val="1"/>
      <w:marLeft w:val="0"/>
      <w:marRight w:val="0"/>
      <w:marTop w:val="0"/>
      <w:marBottom w:val="0"/>
      <w:divBdr>
        <w:top w:val="none" w:sz="0" w:space="0" w:color="auto"/>
        <w:left w:val="none" w:sz="0" w:space="0" w:color="auto"/>
        <w:bottom w:val="none" w:sz="0" w:space="0" w:color="auto"/>
        <w:right w:val="none" w:sz="0" w:space="0" w:color="auto"/>
      </w:divBdr>
    </w:div>
    <w:div w:id="448083745">
      <w:bodyDiv w:val="1"/>
      <w:marLeft w:val="0"/>
      <w:marRight w:val="0"/>
      <w:marTop w:val="0"/>
      <w:marBottom w:val="0"/>
      <w:divBdr>
        <w:top w:val="none" w:sz="0" w:space="0" w:color="auto"/>
        <w:left w:val="none" w:sz="0" w:space="0" w:color="auto"/>
        <w:bottom w:val="none" w:sz="0" w:space="0" w:color="auto"/>
        <w:right w:val="none" w:sz="0" w:space="0" w:color="auto"/>
      </w:divBdr>
    </w:div>
    <w:div w:id="451748925">
      <w:bodyDiv w:val="1"/>
      <w:marLeft w:val="0"/>
      <w:marRight w:val="0"/>
      <w:marTop w:val="0"/>
      <w:marBottom w:val="0"/>
      <w:divBdr>
        <w:top w:val="none" w:sz="0" w:space="0" w:color="auto"/>
        <w:left w:val="none" w:sz="0" w:space="0" w:color="auto"/>
        <w:bottom w:val="none" w:sz="0" w:space="0" w:color="auto"/>
        <w:right w:val="none" w:sz="0" w:space="0" w:color="auto"/>
      </w:divBdr>
    </w:div>
    <w:div w:id="491603837">
      <w:bodyDiv w:val="1"/>
      <w:marLeft w:val="0"/>
      <w:marRight w:val="0"/>
      <w:marTop w:val="0"/>
      <w:marBottom w:val="0"/>
      <w:divBdr>
        <w:top w:val="none" w:sz="0" w:space="0" w:color="auto"/>
        <w:left w:val="none" w:sz="0" w:space="0" w:color="auto"/>
        <w:bottom w:val="none" w:sz="0" w:space="0" w:color="auto"/>
        <w:right w:val="none" w:sz="0" w:space="0" w:color="auto"/>
      </w:divBdr>
    </w:div>
    <w:div w:id="672874479">
      <w:bodyDiv w:val="1"/>
      <w:marLeft w:val="0"/>
      <w:marRight w:val="0"/>
      <w:marTop w:val="0"/>
      <w:marBottom w:val="0"/>
      <w:divBdr>
        <w:top w:val="none" w:sz="0" w:space="0" w:color="auto"/>
        <w:left w:val="none" w:sz="0" w:space="0" w:color="auto"/>
        <w:bottom w:val="none" w:sz="0" w:space="0" w:color="auto"/>
        <w:right w:val="none" w:sz="0" w:space="0" w:color="auto"/>
      </w:divBdr>
    </w:div>
    <w:div w:id="732774741">
      <w:bodyDiv w:val="1"/>
      <w:marLeft w:val="0"/>
      <w:marRight w:val="0"/>
      <w:marTop w:val="0"/>
      <w:marBottom w:val="0"/>
      <w:divBdr>
        <w:top w:val="none" w:sz="0" w:space="0" w:color="auto"/>
        <w:left w:val="none" w:sz="0" w:space="0" w:color="auto"/>
        <w:bottom w:val="none" w:sz="0" w:space="0" w:color="auto"/>
        <w:right w:val="none" w:sz="0" w:space="0" w:color="auto"/>
      </w:divBdr>
    </w:div>
    <w:div w:id="783038587">
      <w:bodyDiv w:val="1"/>
      <w:marLeft w:val="0"/>
      <w:marRight w:val="0"/>
      <w:marTop w:val="0"/>
      <w:marBottom w:val="0"/>
      <w:divBdr>
        <w:top w:val="none" w:sz="0" w:space="0" w:color="auto"/>
        <w:left w:val="none" w:sz="0" w:space="0" w:color="auto"/>
        <w:bottom w:val="none" w:sz="0" w:space="0" w:color="auto"/>
        <w:right w:val="none" w:sz="0" w:space="0" w:color="auto"/>
      </w:divBdr>
    </w:div>
    <w:div w:id="951353269">
      <w:bodyDiv w:val="1"/>
      <w:marLeft w:val="0"/>
      <w:marRight w:val="0"/>
      <w:marTop w:val="0"/>
      <w:marBottom w:val="0"/>
      <w:divBdr>
        <w:top w:val="none" w:sz="0" w:space="0" w:color="auto"/>
        <w:left w:val="none" w:sz="0" w:space="0" w:color="auto"/>
        <w:bottom w:val="none" w:sz="0" w:space="0" w:color="auto"/>
        <w:right w:val="none" w:sz="0" w:space="0" w:color="auto"/>
      </w:divBdr>
    </w:div>
    <w:div w:id="988901007">
      <w:bodyDiv w:val="1"/>
      <w:marLeft w:val="0"/>
      <w:marRight w:val="0"/>
      <w:marTop w:val="0"/>
      <w:marBottom w:val="0"/>
      <w:divBdr>
        <w:top w:val="none" w:sz="0" w:space="0" w:color="auto"/>
        <w:left w:val="none" w:sz="0" w:space="0" w:color="auto"/>
        <w:bottom w:val="none" w:sz="0" w:space="0" w:color="auto"/>
        <w:right w:val="none" w:sz="0" w:space="0" w:color="auto"/>
      </w:divBdr>
    </w:div>
    <w:div w:id="1164277905">
      <w:bodyDiv w:val="1"/>
      <w:marLeft w:val="0"/>
      <w:marRight w:val="0"/>
      <w:marTop w:val="0"/>
      <w:marBottom w:val="0"/>
      <w:divBdr>
        <w:top w:val="none" w:sz="0" w:space="0" w:color="auto"/>
        <w:left w:val="none" w:sz="0" w:space="0" w:color="auto"/>
        <w:bottom w:val="none" w:sz="0" w:space="0" w:color="auto"/>
        <w:right w:val="none" w:sz="0" w:space="0" w:color="auto"/>
      </w:divBdr>
    </w:div>
    <w:div w:id="1216042868">
      <w:bodyDiv w:val="1"/>
      <w:marLeft w:val="0"/>
      <w:marRight w:val="0"/>
      <w:marTop w:val="0"/>
      <w:marBottom w:val="0"/>
      <w:divBdr>
        <w:top w:val="none" w:sz="0" w:space="0" w:color="auto"/>
        <w:left w:val="none" w:sz="0" w:space="0" w:color="auto"/>
        <w:bottom w:val="none" w:sz="0" w:space="0" w:color="auto"/>
        <w:right w:val="none" w:sz="0" w:space="0" w:color="auto"/>
      </w:divBdr>
    </w:div>
    <w:div w:id="1288702170">
      <w:bodyDiv w:val="1"/>
      <w:marLeft w:val="0"/>
      <w:marRight w:val="0"/>
      <w:marTop w:val="0"/>
      <w:marBottom w:val="0"/>
      <w:divBdr>
        <w:top w:val="none" w:sz="0" w:space="0" w:color="auto"/>
        <w:left w:val="none" w:sz="0" w:space="0" w:color="auto"/>
        <w:bottom w:val="none" w:sz="0" w:space="0" w:color="auto"/>
        <w:right w:val="none" w:sz="0" w:space="0" w:color="auto"/>
      </w:divBdr>
    </w:div>
    <w:div w:id="1504933872">
      <w:bodyDiv w:val="1"/>
      <w:marLeft w:val="0"/>
      <w:marRight w:val="0"/>
      <w:marTop w:val="0"/>
      <w:marBottom w:val="0"/>
      <w:divBdr>
        <w:top w:val="none" w:sz="0" w:space="0" w:color="auto"/>
        <w:left w:val="none" w:sz="0" w:space="0" w:color="auto"/>
        <w:bottom w:val="none" w:sz="0" w:space="0" w:color="auto"/>
        <w:right w:val="none" w:sz="0" w:space="0" w:color="auto"/>
      </w:divBdr>
    </w:div>
    <w:div w:id="1714033526">
      <w:bodyDiv w:val="1"/>
      <w:marLeft w:val="0"/>
      <w:marRight w:val="0"/>
      <w:marTop w:val="0"/>
      <w:marBottom w:val="0"/>
      <w:divBdr>
        <w:top w:val="none" w:sz="0" w:space="0" w:color="auto"/>
        <w:left w:val="none" w:sz="0" w:space="0" w:color="auto"/>
        <w:bottom w:val="none" w:sz="0" w:space="0" w:color="auto"/>
        <w:right w:val="none" w:sz="0" w:space="0" w:color="auto"/>
      </w:divBdr>
    </w:div>
    <w:div w:id="1830170253">
      <w:bodyDiv w:val="1"/>
      <w:marLeft w:val="0"/>
      <w:marRight w:val="0"/>
      <w:marTop w:val="0"/>
      <w:marBottom w:val="0"/>
      <w:divBdr>
        <w:top w:val="none" w:sz="0" w:space="0" w:color="auto"/>
        <w:left w:val="none" w:sz="0" w:space="0" w:color="auto"/>
        <w:bottom w:val="none" w:sz="0" w:space="0" w:color="auto"/>
        <w:right w:val="none" w:sz="0" w:space="0" w:color="auto"/>
      </w:divBdr>
    </w:div>
    <w:div w:id="1842113598">
      <w:bodyDiv w:val="1"/>
      <w:marLeft w:val="0"/>
      <w:marRight w:val="0"/>
      <w:marTop w:val="0"/>
      <w:marBottom w:val="0"/>
      <w:divBdr>
        <w:top w:val="none" w:sz="0" w:space="0" w:color="auto"/>
        <w:left w:val="none" w:sz="0" w:space="0" w:color="auto"/>
        <w:bottom w:val="none" w:sz="0" w:space="0" w:color="auto"/>
        <w:right w:val="none" w:sz="0" w:space="0" w:color="auto"/>
      </w:divBdr>
    </w:div>
    <w:div w:id="1902475692">
      <w:bodyDiv w:val="1"/>
      <w:marLeft w:val="0"/>
      <w:marRight w:val="0"/>
      <w:marTop w:val="0"/>
      <w:marBottom w:val="0"/>
      <w:divBdr>
        <w:top w:val="none" w:sz="0" w:space="0" w:color="auto"/>
        <w:left w:val="none" w:sz="0" w:space="0" w:color="auto"/>
        <w:bottom w:val="none" w:sz="0" w:space="0" w:color="auto"/>
        <w:right w:val="none" w:sz="0" w:space="0" w:color="auto"/>
      </w:divBdr>
    </w:div>
    <w:div w:id="2018997912">
      <w:bodyDiv w:val="1"/>
      <w:marLeft w:val="0"/>
      <w:marRight w:val="0"/>
      <w:marTop w:val="0"/>
      <w:marBottom w:val="0"/>
      <w:divBdr>
        <w:top w:val="none" w:sz="0" w:space="0" w:color="auto"/>
        <w:left w:val="none" w:sz="0" w:space="0" w:color="auto"/>
        <w:bottom w:val="none" w:sz="0" w:space="0" w:color="auto"/>
        <w:right w:val="none" w:sz="0" w:space="0" w:color="auto"/>
      </w:divBdr>
    </w:div>
    <w:div w:id="213231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Tubergen</dc:creator>
  <cp:keywords/>
  <dc:description/>
  <cp:lastModifiedBy>Caitlin Tubergen</cp:lastModifiedBy>
  <cp:revision>2</cp:revision>
  <dcterms:created xsi:type="dcterms:W3CDTF">2019-01-08T02:11:00Z</dcterms:created>
  <dcterms:modified xsi:type="dcterms:W3CDTF">2019-01-08T02:11:00Z</dcterms:modified>
</cp:coreProperties>
</file>