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D215E8" w14:textId="5F2A432A" w:rsidR="004C2F5E" w:rsidRDefault="004C2F5E" w:rsidP="004C2F5E">
      <w:pPr>
        <w:rPr>
          <w:b/>
          <w:sz w:val="32"/>
          <w:szCs w:val="32"/>
        </w:rPr>
      </w:pPr>
      <w:bookmarkStart w:id="0" w:name="_GoBack"/>
      <w:bookmarkEnd w:id="0"/>
      <w:r>
        <w:rPr>
          <w:b/>
          <w:sz w:val="32"/>
          <w:szCs w:val="32"/>
        </w:rPr>
        <w:t>RECOMMENDATION 11</w:t>
      </w:r>
    </w:p>
    <w:p w14:paraId="259F5F1E" w14:textId="77777777" w:rsidR="004C2F5E" w:rsidRDefault="004C2F5E" w:rsidP="004C2F5E">
      <w:pPr>
        <w:rPr>
          <w:b/>
          <w:sz w:val="32"/>
          <w:szCs w:val="32"/>
        </w:rPr>
      </w:pPr>
    </w:p>
    <w:p w14:paraId="71B9B9B9" w14:textId="1C88285F" w:rsidR="004C2F5E" w:rsidRPr="004C2F5E" w:rsidRDefault="004C2F5E" w:rsidP="004C2F5E">
      <w:pPr>
        <w:pBdr>
          <w:top w:val="single" w:sz="4" w:space="1" w:color="auto"/>
          <w:left w:val="single" w:sz="4" w:space="4" w:color="auto"/>
          <w:bottom w:val="single" w:sz="4" w:space="1" w:color="auto"/>
          <w:right w:val="single" w:sz="4" w:space="4" w:color="auto"/>
        </w:pBdr>
        <w:rPr>
          <w:sz w:val="28"/>
          <w:szCs w:val="28"/>
        </w:rPr>
      </w:pPr>
      <w:r w:rsidRPr="004C2F5E">
        <w:rPr>
          <w:sz w:val="28"/>
          <w:szCs w:val="28"/>
        </w:rPr>
        <w:t>The EPDP Team recommends that Registrars are required to retain the herein-specified</w:t>
      </w:r>
      <w:r>
        <w:rPr>
          <w:sz w:val="28"/>
          <w:szCs w:val="28"/>
        </w:rPr>
        <w:t xml:space="preserve"> </w:t>
      </w:r>
      <w:r w:rsidRPr="004C2F5E">
        <w:rPr>
          <w:sz w:val="28"/>
          <w:szCs w:val="28"/>
        </w:rPr>
        <w:t>data elements for a period of one year following the life of the registration. This</w:t>
      </w:r>
      <w:r>
        <w:rPr>
          <w:sz w:val="28"/>
          <w:szCs w:val="28"/>
        </w:rPr>
        <w:t xml:space="preserve"> </w:t>
      </w:r>
      <w:r w:rsidRPr="004C2F5E">
        <w:rPr>
          <w:sz w:val="28"/>
          <w:szCs w:val="28"/>
        </w:rPr>
        <w:t>retention period conforms to the specific statute of limitations within the Transfer</w:t>
      </w:r>
    </w:p>
    <w:p w14:paraId="140A9E88" w14:textId="7D16E544" w:rsidR="004C2F5E" w:rsidRDefault="004C2F5E" w:rsidP="004C2F5E">
      <w:pPr>
        <w:pBdr>
          <w:top w:val="single" w:sz="4" w:space="1" w:color="auto"/>
          <w:left w:val="single" w:sz="4" w:space="4" w:color="auto"/>
          <w:bottom w:val="single" w:sz="4" w:space="1" w:color="auto"/>
          <w:right w:val="single" w:sz="4" w:space="4" w:color="auto"/>
        </w:pBdr>
      </w:pPr>
      <w:r w:rsidRPr="004C2F5E">
        <w:rPr>
          <w:sz w:val="28"/>
          <w:szCs w:val="28"/>
        </w:rPr>
        <w:t>Dispute Resolution Policy (“TDRP”).</w:t>
      </w:r>
    </w:p>
    <w:p w14:paraId="767075C9" w14:textId="37B27093" w:rsidR="004C2F5E" w:rsidRDefault="004C2F5E" w:rsidP="004C2F5E">
      <w:pPr>
        <w:rPr>
          <w:b/>
          <w:sz w:val="28"/>
          <w:szCs w:val="28"/>
        </w:rPr>
      </w:pPr>
    </w:p>
    <w:p w14:paraId="53959908" w14:textId="140BACF5" w:rsidR="0052227E" w:rsidRPr="0052227E" w:rsidRDefault="0052227E" w:rsidP="004C2F5E">
      <w:pPr>
        <w:rPr>
          <w:b/>
          <w:i/>
          <w:sz w:val="28"/>
          <w:szCs w:val="28"/>
        </w:rPr>
      </w:pPr>
      <w:r>
        <w:rPr>
          <w:b/>
          <w:i/>
          <w:sz w:val="28"/>
          <w:szCs w:val="28"/>
        </w:rPr>
        <w:t xml:space="preserve">Disclaimer: </w:t>
      </w:r>
      <w:r w:rsidRPr="00A40CD0">
        <w:rPr>
          <w:i/>
          <w:sz w:val="28"/>
          <w:szCs w:val="28"/>
        </w:rPr>
        <w:t xml:space="preserve">This overview has been developed to facilitate the EPDP Team’s consideration of the concerns expressed and possible updates to the recommendations. However, this does not replace the EPDP Team’s obligation to review all input received in full </w:t>
      </w:r>
      <w:r>
        <w:rPr>
          <w:i/>
          <w:sz w:val="28"/>
          <w:szCs w:val="28"/>
        </w:rPr>
        <w:t>and</w:t>
      </w:r>
      <w:r w:rsidRPr="00A40CD0">
        <w:rPr>
          <w:i/>
          <w:sz w:val="28"/>
          <w:szCs w:val="28"/>
        </w:rPr>
        <w:t xml:space="preserve"> to </w:t>
      </w:r>
      <w:r>
        <w:rPr>
          <w:i/>
          <w:sz w:val="28"/>
          <w:szCs w:val="28"/>
        </w:rPr>
        <w:t>indicate</w:t>
      </w:r>
      <w:r w:rsidRPr="00A40CD0">
        <w:rPr>
          <w:i/>
          <w:sz w:val="28"/>
          <w:szCs w:val="28"/>
        </w:rPr>
        <w:t xml:space="preserve"> if any concerns</w:t>
      </w:r>
      <w:r>
        <w:rPr>
          <w:i/>
          <w:sz w:val="28"/>
          <w:szCs w:val="28"/>
        </w:rPr>
        <w:t xml:space="preserve"> in this overview</w:t>
      </w:r>
      <w:r w:rsidRPr="00A40CD0">
        <w:rPr>
          <w:i/>
          <w:sz w:val="28"/>
          <w:szCs w:val="28"/>
        </w:rPr>
        <w:t xml:space="preserve"> </w:t>
      </w:r>
      <w:r>
        <w:rPr>
          <w:i/>
          <w:sz w:val="28"/>
          <w:szCs w:val="28"/>
        </w:rPr>
        <w:t xml:space="preserve">have </w:t>
      </w:r>
      <w:r w:rsidRPr="00A40CD0">
        <w:rPr>
          <w:i/>
          <w:sz w:val="28"/>
          <w:szCs w:val="28"/>
        </w:rPr>
        <w:t>inadvertently been mischaracterized.</w:t>
      </w:r>
      <w:r>
        <w:rPr>
          <w:b/>
          <w:i/>
          <w:sz w:val="28"/>
          <w:szCs w:val="28"/>
        </w:rPr>
        <w:t xml:space="preserve"> </w:t>
      </w:r>
    </w:p>
    <w:p w14:paraId="425B612F" w14:textId="77777777" w:rsidR="0052227E" w:rsidRDefault="0052227E" w:rsidP="004C2F5E">
      <w:pPr>
        <w:rPr>
          <w:b/>
          <w:sz w:val="28"/>
          <w:szCs w:val="28"/>
        </w:rPr>
      </w:pPr>
    </w:p>
    <w:p w14:paraId="53638A91" w14:textId="77777777" w:rsidR="004C2F5E" w:rsidRDefault="004C2F5E" w:rsidP="004C2F5E">
      <w:pPr>
        <w:rPr>
          <w:b/>
          <w:sz w:val="28"/>
          <w:szCs w:val="28"/>
        </w:rPr>
      </w:pPr>
      <w:r>
        <w:rPr>
          <w:b/>
          <w:sz w:val="28"/>
          <w:szCs w:val="28"/>
        </w:rPr>
        <w:t>Noted Concerns</w:t>
      </w:r>
    </w:p>
    <w:p w14:paraId="2CC7C1E8" w14:textId="77777777" w:rsidR="004C2F5E" w:rsidRDefault="004C2F5E" w:rsidP="004C2F5E">
      <w:pPr>
        <w:rPr>
          <w:b/>
          <w:sz w:val="28"/>
          <w:szCs w:val="28"/>
        </w:rPr>
      </w:pPr>
    </w:p>
    <w:tbl>
      <w:tblPr>
        <w:tblStyle w:val="TableGrid"/>
        <w:tblW w:w="0" w:type="auto"/>
        <w:tblLook w:val="04A0" w:firstRow="1" w:lastRow="0" w:firstColumn="1" w:lastColumn="0" w:noHBand="0" w:noVBand="1"/>
      </w:tblPr>
      <w:tblGrid>
        <w:gridCol w:w="8635"/>
        <w:gridCol w:w="2970"/>
        <w:gridCol w:w="2785"/>
      </w:tblGrid>
      <w:tr w:rsidR="004C2F5E" w14:paraId="6BCF4C8C" w14:textId="77777777" w:rsidTr="00FF746D">
        <w:tc>
          <w:tcPr>
            <w:tcW w:w="8635" w:type="dxa"/>
            <w:shd w:val="clear" w:color="auto" w:fill="F7CAAC" w:themeFill="accent2" w:themeFillTint="66"/>
          </w:tcPr>
          <w:p w14:paraId="0666A3F9" w14:textId="77777777" w:rsidR="004C2F5E" w:rsidRDefault="004C2F5E" w:rsidP="00FF746D">
            <w:pPr>
              <w:rPr>
                <w:b/>
                <w:sz w:val="28"/>
                <w:szCs w:val="28"/>
              </w:rPr>
            </w:pPr>
            <w:r>
              <w:rPr>
                <w:b/>
                <w:sz w:val="28"/>
                <w:szCs w:val="28"/>
              </w:rPr>
              <w:t>Concern</w:t>
            </w:r>
          </w:p>
        </w:tc>
        <w:tc>
          <w:tcPr>
            <w:tcW w:w="2970" w:type="dxa"/>
            <w:shd w:val="clear" w:color="auto" w:fill="F7CAAC" w:themeFill="accent2" w:themeFillTint="66"/>
          </w:tcPr>
          <w:p w14:paraId="2AAD2DE6" w14:textId="77777777" w:rsidR="004C2F5E" w:rsidRDefault="004C2F5E" w:rsidP="00FF746D">
            <w:pPr>
              <w:rPr>
                <w:b/>
                <w:sz w:val="28"/>
                <w:szCs w:val="28"/>
              </w:rPr>
            </w:pPr>
            <w:r>
              <w:rPr>
                <w:b/>
                <w:sz w:val="28"/>
                <w:szCs w:val="28"/>
              </w:rPr>
              <w:t>Corresponding PCRT Comment #</w:t>
            </w:r>
          </w:p>
        </w:tc>
        <w:tc>
          <w:tcPr>
            <w:tcW w:w="2785" w:type="dxa"/>
            <w:shd w:val="clear" w:color="auto" w:fill="F7CAAC" w:themeFill="accent2" w:themeFillTint="66"/>
          </w:tcPr>
          <w:p w14:paraId="50C68B00" w14:textId="77777777" w:rsidR="004C2F5E" w:rsidRDefault="004C2F5E" w:rsidP="00FF746D">
            <w:pPr>
              <w:rPr>
                <w:b/>
                <w:sz w:val="28"/>
                <w:szCs w:val="28"/>
              </w:rPr>
            </w:pPr>
            <w:r>
              <w:rPr>
                <w:b/>
                <w:sz w:val="28"/>
                <w:szCs w:val="28"/>
              </w:rPr>
              <w:t>Further Discussion Required?</w:t>
            </w:r>
          </w:p>
        </w:tc>
      </w:tr>
      <w:tr w:rsidR="004C2F5E" w14:paraId="5D3D327D" w14:textId="77777777" w:rsidTr="004C2F5E">
        <w:trPr>
          <w:trHeight w:val="1160"/>
        </w:trPr>
        <w:tc>
          <w:tcPr>
            <w:tcW w:w="8635" w:type="dxa"/>
          </w:tcPr>
          <w:p w14:paraId="0AB896FE" w14:textId="610885A3" w:rsidR="004C2F5E" w:rsidRPr="007950A5" w:rsidRDefault="004C2F5E" w:rsidP="00FF746D">
            <w:pPr>
              <w:rPr>
                <w:sz w:val="28"/>
                <w:szCs w:val="28"/>
              </w:rPr>
            </w:pPr>
            <w:r>
              <w:rPr>
                <w:sz w:val="28"/>
                <w:szCs w:val="28"/>
              </w:rPr>
              <w:t>T</w:t>
            </w:r>
            <w:r w:rsidRPr="004C2F5E">
              <w:rPr>
                <w:sz w:val="28"/>
                <w:szCs w:val="28"/>
              </w:rPr>
              <w:t xml:space="preserve">he language </w:t>
            </w:r>
            <w:r>
              <w:rPr>
                <w:sz w:val="28"/>
                <w:szCs w:val="28"/>
              </w:rPr>
              <w:t xml:space="preserve">should </w:t>
            </w:r>
            <w:r w:rsidRPr="004C2F5E">
              <w:rPr>
                <w:sz w:val="28"/>
                <w:szCs w:val="28"/>
              </w:rPr>
              <w:t>be edited as to allow for registrars to choose to retain data for longer than one year if applicable law or other</w:t>
            </w:r>
            <w:r>
              <w:rPr>
                <w:sz w:val="28"/>
                <w:szCs w:val="28"/>
              </w:rPr>
              <w:t xml:space="preserve"> </w:t>
            </w:r>
            <w:r w:rsidRPr="004C2F5E">
              <w:rPr>
                <w:sz w:val="28"/>
                <w:szCs w:val="28"/>
              </w:rPr>
              <w:t>guidance suggests longer than a one year data retention period</w:t>
            </w:r>
            <w:r>
              <w:rPr>
                <w:sz w:val="28"/>
                <w:szCs w:val="28"/>
              </w:rPr>
              <w:t>. (see PCRT for suggested edit).</w:t>
            </w:r>
          </w:p>
        </w:tc>
        <w:tc>
          <w:tcPr>
            <w:tcW w:w="2970" w:type="dxa"/>
          </w:tcPr>
          <w:p w14:paraId="668532C3" w14:textId="4E7BF089" w:rsidR="004C2F5E" w:rsidRPr="00362929" w:rsidRDefault="004C2F5E" w:rsidP="00FF746D">
            <w:pPr>
              <w:rPr>
                <w:sz w:val="28"/>
                <w:szCs w:val="28"/>
              </w:rPr>
            </w:pPr>
            <w:r>
              <w:rPr>
                <w:sz w:val="28"/>
                <w:szCs w:val="28"/>
              </w:rPr>
              <w:t>7, 10, 12</w:t>
            </w:r>
            <w:r w:rsidR="00463611">
              <w:rPr>
                <w:sz w:val="28"/>
                <w:szCs w:val="28"/>
              </w:rPr>
              <w:t xml:space="preserve"> (RrSG, Volker Greimann, GoDaddy, RySG)</w:t>
            </w:r>
          </w:p>
        </w:tc>
        <w:tc>
          <w:tcPr>
            <w:tcW w:w="2785" w:type="dxa"/>
          </w:tcPr>
          <w:p w14:paraId="1EF94E4A" w14:textId="77777777" w:rsidR="004C2F5E" w:rsidRPr="00362929" w:rsidRDefault="004C2F5E" w:rsidP="00FF746D">
            <w:pPr>
              <w:rPr>
                <w:sz w:val="28"/>
                <w:szCs w:val="28"/>
              </w:rPr>
            </w:pPr>
            <w:r>
              <w:rPr>
                <w:sz w:val="28"/>
                <w:szCs w:val="28"/>
              </w:rPr>
              <w:t>Yes/No</w:t>
            </w:r>
          </w:p>
        </w:tc>
      </w:tr>
      <w:tr w:rsidR="004C2F5E" w14:paraId="2917BB05" w14:textId="77777777" w:rsidTr="004C2F5E">
        <w:trPr>
          <w:trHeight w:val="1160"/>
        </w:trPr>
        <w:tc>
          <w:tcPr>
            <w:tcW w:w="8635" w:type="dxa"/>
          </w:tcPr>
          <w:p w14:paraId="349165E2" w14:textId="70073B26" w:rsidR="004C2F5E" w:rsidRDefault="004C2F5E" w:rsidP="00FF746D">
            <w:pPr>
              <w:rPr>
                <w:sz w:val="28"/>
                <w:szCs w:val="28"/>
              </w:rPr>
            </w:pPr>
            <w:r>
              <w:rPr>
                <w:sz w:val="28"/>
                <w:szCs w:val="28"/>
              </w:rPr>
              <w:t xml:space="preserve">Period should be changed to 3 years. </w:t>
            </w:r>
            <w:r w:rsidRPr="004C2F5E">
              <w:rPr>
                <w:sz w:val="28"/>
                <w:szCs w:val="28"/>
              </w:rPr>
              <w:t>Although many investigations can proceed with data retained only one year after expiration, recent investigations reveal that some adversaries conduct subsequent attacks long after an attack has been concluded and that some attacks are only discovered after the event.  Having a longer history of registrant data has also aided in proactive detection of new attacks by these previous attackers.</w:t>
            </w:r>
          </w:p>
        </w:tc>
        <w:tc>
          <w:tcPr>
            <w:tcW w:w="2970" w:type="dxa"/>
          </w:tcPr>
          <w:p w14:paraId="48FE6A5D" w14:textId="7A054364" w:rsidR="004C2F5E" w:rsidRDefault="004C2F5E" w:rsidP="00FF746D">
            <w:pPr>
              <w:rPr>
                <w:sz w:val="28"/>
                <w:szCs w:val="28"/>
              </w:rPr>
            </w:pPr>
            <w:r>
              <w:rPr>
                <w:sz w:val="28"/>
                <w:szCs w:val="28"/>
              </w:rPr>
              <w:t>8, 9</w:t>
            </w:r>
            <w:r w:rsidR="00152978">
              <w:rPr>
                <w:sz w:val="28"/>
                <w:szCs w:val="28"/>
              </w:rPr>
              <w:t>, 13, 17</w:t>
            </w:r>
            <w:r w:rsidR="00463611">
              <w:rPr>
                <w:sz w:val="28"/>
                <w:szCs w:val="28"/>
              </w:rPr>
              <w:t xml:space="preserve"> (BC, Microsoft, IPC, Coalition for Online Accountability)</w:t>
            </w:r>
          </w:p>
        </w:tc>
        <w:tc>
          <w:tcPr>
            <w:tcW w:w="2785" w:type="dxa"/>
          </w:tcPr>
          <w:p w14:paraId="634354C3" w14:textId="46D245E4" w:rsidR="004C2F5E" w:rsidRDefault="004C2F5E" w:rsidP="00FF746D">
            <w:pPr>
              <w:rPr>
                <w:sz w:val="28"/>
                <w:szCs w:val="28"/>
              </w:rPr>
            </w:pPr>
            <w:r>
              <w:rPr>
                <w:sz w:val="28"/>
                <w:szCs w:val="28"/>
              </w:rPr>
              <w:t>Yes/No</w:t>
            </w:r>
          </w:p>
        </w:tc>
      </w:tr>
      <w:tr w:rsidR="004C2F5E" w14:paraId="6A11D788" w14:textId="77777777" w:rsidTr="004C2F5E">
        <w:trPr>
          <w:trHeight w:val="1160"/>
        </w:trPr>
        <w:tc>
          <w:tcPr>
            <w:tcW w:w="8635" w:type="dxa"/>
          </w:tcPr>
          <w:p w14:paraId="35AE5AB7" w14:textId="1DAB1E68" w:rsidR="004C2F5E" w:rsidRDefault="004C2F5E" w:rsidP="00FF746D">
            <w:pPr>
              <w:rPr>
                <w:sz w:val="28"/>
                <w:szCs w:val="28"/>
              </w:rPr>
            </w:pPr>
            <w:r w:rsidRPr="004C2F5E">
              <w:rPr>
                <w:sz w:val="28"/>
                <w:szCs w:val="28"/>
              </w:rPr>
              <w:t>This data retention duration should apply to ICANN, the Registrar, and the Registry (if applicable). There is no need for ICANN to retain the herein specified mandatory data elements for longer than one year.</w:t>
            </w:r>
            <w:r>
              <w:rPr>
                <w:sz w:val="28"/>
                <w:szCs w:val="28"/>
              </w:rPr>
              <w:t xml:space="preserve"> </w:t>
            </w:r>
            <w:r w:rsidRPr="004C2F5E">
              <w:rPr>
                <w:sz w:val="28"/>
                <w:szCs w:val="28"/>
              </w:rPr>
              <w:t>Optional data should only be kept while the legal basis for processing remains active; if this legal basis is</w:t>
            </w:r>
            <w:r>
              <w:rPr>
                <w:sz w:val="28"/>
                <w:szCs w:val="28"/>
              </w:rPr>
              <w:t xml:space="preserve"> </w:t>
            </w:r>
            <w:r w:rsidRPr="004C2F5E">
              <w:rPr>
                <w:sz w:val="28"/>
                <w:szCs w:val="28"/>
              </w:rPr>
              <w:t xml:space="preserve">the data subject’s consent to allow </w:t>
            </w:r>
            <w:r w:rsidRPr="004C2F5E">
              <w:rPr>
                <w:sz w:val="28"/>
                <w:szCs w:val="28"/>
              </w:rPr>
              <w:lastRenderedPageBreak/>
              <w:t>optional data use, then once that consent is revoked the data must no longer be retained</w:t>
            </w:r>
            <w:r>
              <w:rPr>
                <w:sz w:val="28"/>
                <w:szCs w:val="28"/>
              </w:rPr>
              <w:t>.</w:t>
            </w:r>
          </w:p>
        </w:tc>
        <w:tc>
          <w:tcPr>
            <w:tcW w:w="2970" w:type="dxa"/>
          </w:tcPr>
          <w:p w14:paraId="7CDAFDB6" w14:textId="042D0E13" w:rsidR="004C2F5E" w:rsidRDefault="004C2F5E" w:rsidP="00FF746D">
            <w:pPr>
              <w:rPr>
                <w:sz w:val="28"/>
                <w:szCs w:val="28"/>
              </w:rPr>
            </w:pPr>
            <w:r>
              <w:rPr>
                <w:sz w:val="28"/>
                <w:szCs w:val="28"/>
              </w:rPr>
              <w:lastRenderedPageBreak/>
              <w:t>11</w:t>
            </w:r>
            <w:r w:rsidR="00463611">
              <w:rPr>
                <w:sz w:val="28"/>
                <w:szCs w:val="28"/>
              </w:rPr>
              <w:t xml:space="preserve"> (Tucows)</w:t>
            </w:r>
          </w:p>
        </w:tc>
        <w:tc>
          <w:tcPr>
            <w:tcW w:w="2785" w:type="dxa"/>
          </w:tcPr>
          <w:p w14:paraId="78442A25" w14:textId="1637C0D4" w:rsidR="004C2F5E" w:rsidRDefault="004C2F5E" w:rsidP="00FF746D">
            <w:pPr>
              <w:rPr>
                <w:sz w:val="28"/>
                <w:szCs w:val="28"/>
              </w:rPr>
            </w:pPr>
            <w:r>
              <w:rPr>
                <w:sz w:val="28"/>
                <w:szCs w:val="28"/>
              </w:rPr>
              <w:t>Yes/No</w:t>
            </w:r>
          </w:p>
        </w:tc>
      </w:tr>
      <w:tr w:rsidR="004C2F5E" w14:paraId="7A85E0F1" w14:textId="77777777" w:rsidTr="004C2F5E">
        <w:trPr>
          <w:trHeight w:val="1160"/>
        </w:trPr>
        <w:tc>
          <w:tcPr>
            <w:tcW w:w="8635" w:type="dxa"/>
          </w:tcPr>
          <w:p w14:paraId="4FF5F250" w14:textId="17314EE8" w:rsidR="004C2F5E" w:rsidRDefault="004C2F5E" w:rsidP="00FF746D">
            <w:pPr>
              <w:rPr>
                <w:sz w:val="28"/>
                <w:szCs w:val="28"/>
              </w:rPr>
            </w:pPr>
            <w:r w:rsidRPr="004C2F5E">
              <w:rPr>
                <w:sz w:val="28"/>
                <w:szCs w:val="28"/>
              </w:rPr>
              <w:t>The use of the term ‘statute of limitations’ is incorrect. Additionally the retention period should merely be set/stated, and not linked to a specific applicable requirement. The rationale as to why 1 year is set should be documented in full, but should not be</w:t>
            </w:r>
            <w:r>
              <w:rPr>
                <w:sz w:val="28"/>
                <w:szCs w:val="28"/>
              </w:rPr>
              <w:t xml:space="preserve"> </w:t>
            </w:r>
            <w:r w:rsidRPr="004C2F5E">
              <w:rPr>
                <w:sz w:val="28"/>
                <w:szCs w:val="28"/>
              </w:rPr>
              <w:t>included in the recommendation itself.</w:t>
            </w:r>
          </w:p>
        </w:tc>
        <w:tc>
          <w:tcPr>
            <w:tcW w:w="2970" w:type="dxa"/>
          </w:tcPr>
          <w:p w14:paraId="295DD9C8" w14:textId="25FA91BD" w:rsidR="004C2F5E" w:rsidRDefault="004C2F5E" w:rsidP="00FF746D">
            <w:pPr>
              <w:rPr>
                <w:sz w:val="28"/>
                <w:szCs w:val="28"/>
              </w:rPr>
            </w:pPr>
            <w:r>
              <w:rPr>
                <w:sz w:val="28"/>
                <w:szCs w:val="28"/>
              </w:rPr>
              <w:t>12</w:t>
            </w:r>
            <w:r w:rsidR="00463611">
              <w:rPr>
                <w:sz w:val="28"/>
                <w:szCs w:val="28"/>
              </w:rPr>
              <w:t xml:space="preserve"> (RySG)</w:t>
            </w:r>
          </w:p>
        </w:tc>
        <w:tc>
          <w:tcPr>
            <w:tcW w:w="2785" w:type="dxa"/>
          </w:tcPr>
          <w:p w14:paraId="107884A8" w14:textId="057F4BF8" w:rsidR="004C2F5E" w:rsidRDefault="004C2F5E" w:rsidP="00FF746D">
            <w:pPr>
              <w:rPr>
                <w:sz w:val="28"/>
                <w:szCs w:val="28"/>
              </w:rPr>
            </w:pPr>
            <w:r>
              <w:rPr>
                <w:sz w:val="28"/>
                <w:szCs w:val="28"/>
              </w:rPr>
              <w:t>Yes/No</w:t>
            </w:r>
          </w:p>
        </w:tc>
      </w:tr>
      <w:tr w:rsidR="00152978" w14:paraId="6C336F84" w14:textId="77777777" w:rsidTr="004C2F5E">
        <w:trPr>
          <w:trHeight w:val="1160"/>
        </w:trPr>
        <w:tc>
          <w:tcPr>
            <w:tcW w:w="8635" w:type="dxa"/>
          </w:tcPr>
          <w:p w14:paraId="54CB5804" w14:textId="33911C5E" w:rsidR="00152978" w:rsidRPr="004C2F5E" w:rsidRDefault="00152978" w:rsidP="00FF746D">
            <w:pPr>
              <w:rPr>
                <w:sz w:val="28"/>
                <w:szCs w:val="28"/>
              </w:rPr>
            </w:pPr>
            <w:r>
              <w:rPr>
                <w:sz w:val="28"/>
                <w:szCs w:val="28"/>
              </w:rPr>
              <w:t>The</w:t>
            </w:r>
            <w:r w:rsidRPr="00152978">
              <w:rPr>
                <w:sz w:val="28"/>
                <w:szCs w:val="28"/>
              </w:rPr>
              <w:t xml:space="preserve"> EPDP team </w:t>
            </w:r>
            <w:r>
              <w:rPr>
                <w:sz w:val="28"/>
                <w:szCs w:val="28"/>
              </w:rPr>
              <w:t xml:space="preserve">should </w:t>
            </w:r>
            <w:r w:rsidRPr="00152978">
              <w:rPr>
                <w:sz w:val="28"/>
                <w:szCs w:val="28"/>
              </w:rPr>
              <w:t>consider extending the period of retention of data when in receipt of a legitimate request</w:t>
            </w:r>
            <w:r>
              <w:rPr>
                <w:sz w:val="28"/>
                <w:szCs w:val="28"/>
              </w:rPr>
              <w:t>.</w:t>
            </w:r>
          </w:p>
        </w:tc>
        <w:tc>
          <w:tcPr>
            <w:tcW w:w="2970" w:type="dxa"/>
          </w:tcPr>
          <w:p w14:paraId="17FC7D47" w14:textId="6DB4A1EA" w:rsidR="00152978" w:rsidRDefault="00152978" w:rsidP="00FF746D">
            <w:pPr>
              <w:rPr>
                <w:sz w:val="28"/>
                <w:szCs w:val="28"/>
              </w:rPr>
            </w:pPr>
            <w:r>
              <w:rPr>
                <w:sz w:val="28"/>
                <w:szCs w:val="28"/>
              </w:rPr>
              <w:t>14</w:t>
            </w:r>
            <w:r w:rsidR="00463611">
              <w:rPr>
                <w:sz w:val="28"/>
                <w:szCs w:val="28"/>
              </w:rPr>
              <w:t xml:space="preserve"> (GAC)</w:t>
            </w:r>
          </w:p>
        </w:tc>
        <w:tc>
          <w:tcPr>
            <w:tcW w:w="2785" w:type="dxa"/>
          </w:tcPr>
          <w:p w14:paraId="4C5ECEE1" w14:textId="6CAC92E0" w:rsidR="00152978" w:rsidRDefault="00152978" w:rsidP="00FF746D">
            <w:pPr>
              <w:rPr>
                <w:sz w:val="28"/>
                <w:szCs w:val="28"/>
              </w:rPr>
            </w:pPr>
            <w:r>
              <w:rPr>
                <w:sz w:val="28"/>
                <w:szCs w:val="28"/>
              </w:rPr>
              <w:t>Yes/No</w:t>
            </w:r>
          </w:p>
        </w:tc>
      </w:tr>
      <w:tr w:rsidR="00152978" w14:paraId="1CA62FF8" w14:textId="77777777" w:rsidTr="004C2F5E">
        <w:trPr>
          <w:trHeight w:val="1160"/>
        </w:trPr>
        <w:tc>
          <w:tcPr>
            <w:tcW w:w="8635" w:type="dxa"/>
          </w:tcPr>
          <w:p w14:paraId="44A728B7" w14:textId="28663D20" w:rsidR="00152978" w:rsidRDefault="00152978" w:rsidP="00FF746D">
            <w:pPr>
              <w:rPr>
                <w:sz w:val="28"/>
                <w:szCs w:val="28"/>
              </w:rPr>
            </w:pPr>
            <w:r>
              <w:rPr>
                <w:sz w:val="28"/>
                <w:szCs w:val="28"/>
              </w:rPr>
              <w:t>S</w:t>
            </w:r>
            <w:r w:rsidRPr="00152978">
              <w:rPr>
                <w:sz w:val="28"/>
                <w:szCs w:val="28"/>
              </w:rPr>
              <w:t>hould be at least the 2 years recommended by ICANN, preferably longer.</w:t>
            </w:r>
            <w:r>
              <w:rPr>
                <w:sz w:val="28"/>
                <w:szCs w:val="28"/>
              </w:rPr>
              <w:t xml:space="preserve"> </w:t>
            </w:r>
            <w:r w:rsidRPr="00152978">
              <w:rPr>
                <w:sz w:val="28"/>
                <w:szCs w:val="28"/>
              </w:rPr>
              <w:t>1 year is not nearly long enough to support the legitimate interests outlined previously.</w:t>
            </w:r>
          </w:p>
        </w:tc>
        <w:tc>
          <w:tcPr>
            <w:tcW w:w="2970" w:type="dxa"/>
          </w:tcPr>
          <w:p w14:paraId="5BD1DE47" w14:textId="42FE6B5A" w:rsidR="00152978" w:rsidRDefault="00152978" w:rsidP="00FF746D">
            <w:pPr>
              <w:rPr>
                <w:sz w:val="28"/>
                <w:szCs w:val="28"/>
              </w:rPr>
            </w:pPr>
            <w:r>
              <w:rPr>
                <w:sz w:val="28"/>
                <w:szCs w:val="28"/>
              </w:rPr>
              <w:t>15</w:t>
            </w:r>
            <w:r w:rsidR="00463611">
              <w:rPr>
                <w:sz w:val="28"/>
                <w:szCs w:val="28"/>
              </w:rPr>
              <w:t xml:space="preserve"> (Tim Chen)</w:t>
            </w:r>
          </w:p>
        </w:tc>
        <w:tc>
          <w:tcPr>
            <w:tcW w:w="2785" w:type="dxa"/>
          </w:tcPr>
          <w:p w14:paraId="1D4935EB" w14:textId="38D60AD0" w:rsidR="00152978" w:rsidRDefault="00152978" w:rsidP="00FF746D">
            <w:pPr>
              <w:rPr>
                <w:sz w:val="28"/>
                <w:szCs w:val="28"/>
              </w:rPr>
            </w:pPr>
            <w:r>
              <w:rPr>
                <w:sz w:val="28"/>
                <w:szCs w:val="28"/>
              </w:rPr>
              <w:t>Yes/No</w:t>
            </w:r>
          </w:p>
        </w:tc>
      </w:tr>
      <w:tr w:rsidR="00152978" w14:paraId="48F7E3FA" w14:textId="77777777" w:rsidTr="004C2F5E">
        <w:trPr>
          <w:trHeight w:val="1160"/>
        </w:trPr>
        <w:tc>
          <w:tcPr>
            <w:tcW w:w="8635" w:type="dxa"/>
          </w:tcPr>
          <w:p w14:paraId="0BD0AF28" w14:textId="633C31AE" w:rsidR="00152978" w:rsidRDefault="00152978" w:rsidP="00FF746D">
            <w:pPr>
              <w:rPr>
                <w:sz w:val="28"/>
                <w:szCs w:val="28"/>
              </w:rPr>
            </w:pPr>
            <w:r w:rsidRPr="00152978">
              <w:rPr>
                <w:sz w:val="28"/>
                <w:szCs w:val="28"/>
              </w:rPr>
              <w:t>Make the minimum retention at least 6 years, consistent with various statute of limitations in the real world for crimes (property theft, etc.).</w:t>
            </w:r>
            <w:r>
              <w:rPr>
                <w:sz w:val="28"/>
                <w:szCs w:val="28"/>
              </w:rPr>
              <w:t xml:space="preserve"> </w:t>
            </w:r>
            <w:r w:rsidRPr="00152978">
              <w:rPr>
                <w:sz w:val="28"/>
                <w:szCs w:val="28"/>
              </w:rPr>
              <w:t>The TDRP is not the only mechanism that exists for domain disputes. Courts can also be used (and for some crimes, there might not be any  statute of limitation, and certainly longer than 1 year for property</w:t>
            </w:r>
            <w:r>
              <w:rPr>
                <w:sz w:val="28"/>
                <w:szCs w:val="28"/>
              </w:rPr>
              <w:t xml:space="preserve"> </w:t>
            </w:r>
            <w:r w:rsidRPr="00152978">
              <w:rPr>
                <w:sz w:val="28"/>
                <w:szCs w:val="28"/>
              </w:rPr>
              <w:t>crimes).</w:t>
            </w:r>
          </w:p>
        </w:tc>
        <w:tc>
          <w:tcPr>
            <w:tcW w:w="2970" w:type="dxa"/>
          </w:tcPr>
          <w:p w14:paraId="5FDC48C0" w14:textId="58427539" w:rsidR="00152978" w:rsidRDefault="00152978" w:rsidP="00FF746D">
            <w:pPr>
              <w:rPr>
                <w:sz w:val="28"/>
                <w:szCs w:val="28"/>
              </w:rPr>
            </w:pPr>
            <w:r>
              <w:rPr>
                <w:sz w:val="28"/>
                <w:szCs w:val="28"/>
              </w:rPr>
              <w:t>16, 18</w:t>
            </w:r>
            <w:r w:rsidR="00463611">
              <w:rPr>
                <w:sz w:val="28"/>
                <w:szCs w:val="28"/>
              </w:rPr>
              <w:t xml:space="preserve"> (George Kirikos, Europol AGIS)</w:t>
            </w:r>
          </w:p>
        </w:tc>
        <w:tc>
          <w:tcPr>
            <w:tcW w:w="2785" w:type="dxa"/>
          </w:tcPr>
          <w:p w14:paraId="20DFE8EF" w14:textId="3E4C17CE" w:rsidR="00152978" w:rsidRDefault="00152978" w:rsidP="00FF746D">
            <w:pPr>
              <w:rPr>
                <w:sz w:val="28"/>
                <w:szCs w:val="28"/>
              </w:rPr>
            </w:pPr>
            <w:r>
              <w:rPr>
                <w:sz w:val="28"/>
                <w:szCs w:val="28"/>
              </w:rPr>
              <w:t>Yes/No</w:t>
            </w:r>
          </w:p>
        </w:tc>
      </w:tr>
      <w:tr w:rsidR="00152978" w14:paraId="50B08A77" w14:textId="77777777" w:rsidTr="004C2F5E">
        <w:trPr>
          <w:trHeight w:val="1160"/>
        </w:trPr>
        <w:tc>
          <w:tcPr>
            <w:tcW w:w="8635" w:type="dxa"/>
          </w:tcPr>
          <w:p w14:paraId="351E1EFB" w14:textId="0242982B" w:rsidR="00152978" w:rsidRPr="00152978" w:rsidRDefault="00152978" w:rsidP="00FF746D">
            <w:pPr>
              <w:rPr>
                <w:sz w:val="28"/>
                <w:szCs w:val="28"/>
              </w:rPr>
            </w:pPr>
            <w:r w:rsidRPr="00152978">
              <w:rPr>
                <w:sz w:val="28"/>
                <w:szCs w:val="28"/>
              </w:rPr>
              <w:t>ICANN may recall that other industries’ (e.g., accounting and legal) data retention best practices</w:t>
            </w:r>
            <w:r>
              <w:rPr>
                <w:sz w:val="28"/>
                <w:szCs w:val="28"/>
              </w:rPr>
              <w:t xml:space="preserve"> </w:t>
            </w:r>
            <w:r w:rsidRPr="00152978">
              <w:rPr>
                <w:sz w:val="28"/>
                <w:szCs w:val="28"/>
              </w:rPr>
              <w:t>generally point to seven years as a guide.</w:t>
            </w:r>
          </w:p>
        </w:tc>
        <w:tc>
          <w:tcPr>
            <w:tcW w:w="2970" w:type="dxa"/>
          </w:tcPr>
          <w:p w14:paraId="5F9749EA" w14:textId="18BAE055" w:rsidR="00152978" w:rsidRDefault="00152978" w:rsidP="00FF746D">
            <w:pPr>
              <w:rPr>
                <w:sz w:val="28"/>
                <w:szCs w:val="28"/>
              </w:rPr>
            </w:pPr>
            <w:r>
              <w:rPr>
                <w:sz w:val="28"/>
                <w:szCs w:val="28"/>
              </w:rPr>
              <w:t>19</w:t>
            </w:r>
            <w:r w:rsidR="00463611">
              <w:rPr>
                <w:sz w:val="28"/>
                <w:szCs w:val="28"/>
              </w:rPr>
              <w:t xml:space="preserve"> (WIPO)</w:t>
            </w:r>
          </w:p>
        </w:tc>
        <w:tc>
          <w:tcPr>
            <w:tcW w:w="2785" w:type="dxa"/>
          </w:tcPr>
          <w:p w14:paraId="49FB81D4" w14:textId="26B5E5A0" w:rsidR="00152978" w:rsidRDefault="00152978" w:rsidP="00FF746D">
            <w:pPr>
              <w:rPr>
                <w:sz w:val="28"/>
                <w:szCs w:val="28"/>
              </w:rPr>
            </w:pPr>
            <w:r>
              <w:rPr>
                <w:sz w:val="28"/>
                <w:szCs w:val="28"/>
              </w:rPr>
              <w:t>Yes/No</w:t>
            </w:r>
          </w:p>
        </w:tc>
      </w:tr>
      <w:tr w:rsidR="008E0C30" w14:paraId="5932096A" w14:textId="77777777" w:rsidTr="004C2F5E">
        <w:trPr>
          <w:trHeight w:val="1160"/>
        </w:trPr>
        <w:tc>
          <w:tcPr>
            <w:tcW w:w="8635" w:type="dxa"/>
          </w:tcPr>
          <w:p w14:paraId="1323FED1" w14:textId="074652D3" w:rsidR="008E0C30" w:rsidRPr="00152978" w:rsidRDefault="008E0C30" w:rsidP="00FF746D">
            <w:pPr>
              <w:rPr>
                <w:sz w:val="28"/>
                <w:szCs w:val="28"/>
              </w:rPr>
            </w:pPr>
            <w:r w:rsidRPr="008E0C30">
              <w:rPr>
                <w:sz w:val="28"/>
                <w:szCs w:val="28"/>
              </w:rPr>
              <w:t>Language needs to be added to cater for data retention waivers</w:t>
            </w:r>
            <w:r>
              <w:rPr>
                <w:sz w:val="28"/>
                <w:szCs w:val="28"/>
              </w:rPr>
              <w:t>.</w:t>
            </w:r>
          </w:p>
        </w:tc>
        <w:tc>
          <w:tcPr>
            <w:tcW w:w="2970" w:type="dxa"/>
          </w:tcPr>
          <w:p w14:paraId="66F34BA0" w14:textId="2B033AD4" w:rsidR="008E0C30" w:rsidRDefault="008E0C30" w:rsidP="00FF746D">
            <w:pPr>
              <w:rPr>
                <w:sz w:val="28"/>
                <w:szCs w:val="28"/>
              </w:rPr>
            </w:pPr>
            <w:r>
              <w:rPr>
                <w:sz w:val="28"/>
                <w:szCs w:val="28"/>
              </w:rPr>
              <w:t xml:space="preserve">20 </w:t>
            </w:r>
            <w:r w:rsidR="00463611">
              <w:rPr>
                <w:sz w:val="28"/>
                <w:szCs w:val="28"/>
              </w:rPr>
              <w:t>(Michele Neylon)</w:t>
            </w:r>
          </w:p>
        </w:tc>
        <w:tc>
          <w:tcPr>
            <w:tcW w:w="2785" w:type="dxa"/>
          </w:tcPr>
          <w:p w14:paraId="1EA91FB4" w14:textId="337BDA1E" w:rsidR="008E0C30" w:rsidRDefault="008E0C30" w:rsidP="00FF746D">
            <w:pPr>
              <w:rPr>
                <w:sz w:val="28"/>
                <w:szCs w:val="28"/>
              </w:rPr>
            </w:pPr>
            <w:r>
              <w:rPr>
                <w:sz w:val="28"/>
                <w:szCs w:val="28"/>
              </w:rPr>
              <w:t>Yes/No</w:t>
            </w:r>
          </w:p>
        </w:tc>
      </w:tr>
    </w:tbl>
    <w:p w14:paraId="0AE90CA7" w14:textId="77777777" w:rsidR="004C2F5E" w:rsidRDefault="004C2F5E" w:rsidP="004C2F5E"/>
    <w:p w14:paraId="2997080F" w14:textId="77777777" w:rsidR="004C2F5E" w:rsidRDefault="004C2F5E" w:rsidP="004C2F5E"/>
    <w:p w14:paraId="221CF36E" w14:textId="77777777" w:rsidR="004C2F5E" w:rsidRDefault="004C2F5E" w:rsidP="004C2F5E"/>
    <w:p w14:paraId="4BB37D7B" w14:textId="77777777" w:rsidR="00404709" w:rsidRDefault="00404709"/>
    <w:sectPr w:rsidR="00404709" w:rsidSect="007B7DDD">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2F5E"/>
    <w:rsid w:val="00152978"/>
    <w:rsid w:val="00404709"/>
    <w:rsid w:val="004076B0"/>
    <w:rsid w:val="00440B65"/>
    <w:rsid w:val="00463611"/>
    <w:rsid w:val="004C2F5E"/>
    <w:rsid w:val="0052227E"/>
    <w:rsid w:val="007648EB"/>
    <w:rsid w:val="008E0C30"/>
    <w:rsid w:val="00DC58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738EC3"/>
  <w15:chartTrackingRefBased/>
  <w15:docId w15:val="{D18EF0B4-7677-E046-B1F3-9682471FB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C2F5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C2F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8513452">
      <w:bodyDiv w:val="1"/>
      <w:marLeft w:val="0"/>
      <w:marRight w:val="0"/>
      <w:marTop w:val="0"/>
      <w:marBottom w:val="0"/>
      <w:divBdr>
        <w:top w:val="none" w:sz="0" w:space="0" w:color="auto"/>
        <w:left w:val="none" w:sz="0" w:space="0" w:color="auto"/>
        <w:bottom w:val="none" w:sz="0" w:space="0" w:color="auto"/>
        <w:right w:val="none" w:sz="0" w:space="0" w:color="auto"/>
      </w:divBdr>
    </w:div>
    <w:div w:id="405543072">
      <w:bodyDiv w:val="1"/>
      <w:marLeft w:val="0"/>
      <w:marRight w:val="0"/>
      <w:marTop w:val="0"/>
      <w:marBottom w:val="0"/>
      <w:divBdr>
        <w:top w:val="none" w:sz="0" w:space="0" w:color="auto"/>
        <w:left w:val="none" w:sz="0" w:space="0" w:color="auto"/>
        <w:bottom w:val="none" w:sz="0" w:space="0" w:color="auto"/>
        <w:right w:val="none" w:sz="0" w:space="0" w:color="auto"/>
      </w:divBdr>
    </w:div>
    <w:div w:id="534857103">
      <w:bodyDiv w:val="1"/>
      <w:marLeft w:val="0"/>
      <w:marRight w:val="0"/>
      <w:marTop w:val="0"/>
      <w:marBottom w:val="0"/>
      <w:divBdr>
        <w:top w:val="none" w:sz="0" w:space="0" w:color="auto"/>
        <w:left w:val="none" w:sz="0" w:space="0" w:color="auto"/>
        <w:bottom w:val="none" w:sz="0" w:space="0" w:color="auto"/>
        <w:right w:val="none" w:sz="0" w:space="0" w:color="auto"/>
      </w:divBdr>
    </w:div>
    <w:div w:id="903180520">
      <w:bodyDiv w:val="1"/>
      <w:marLeft w:val="0"/>
      <w:marRight w:val="0"/>
      <w:marTop w:val="0"/>
      <w:marBottom w:val="0"/>
      <w:divBdr>
        <w:top w:val="none" w:sz="0" w:space="0" w:color="auto"/>
        <w:left w:val="none" w:sz="0" w:space="0" w:color="auto"/>
        <w:bottom w:val="none" w:sz="0" w:space="0" w:color="auto"/>
        <w:right w:val="none" w:sz="0" w:space="0" w:color="auto"/>
      </w:divBdr>
    </w:div>
    <w:div w:id="1141000331">
      <w:bodyDiv w:val="1"/>
      <w:marLeft w:val="0"/>
      <w:marRight w:val="0"/>
      <w:marTop w:val="0"/>
      <w:marBottom w:val="0"/>
      <w:divBdr>
        <w:top w:val="none" w:sz="0" w:space="0" w:color="auto"/>
        <w:left w:val="none" w:sz="0" w:space="0" w:color="auto"/>
        <w:bottom w:val="none" w:sz="0" w:space="0" w:color="auto"/>
        <w:right w:val="none" w:sz="0" w:space="0" w:color="auto"/>
      </w:divBdr>
    </w:div>
    <w:div w:id="1219362834">
      <w:bodyDiv w:val="1"/>
      <w:marLeft w:val="0"/>
      <w:marRight w:val="0"/>
      <w:marTop w:val="0"/>
      <w:marBottom w:val="0"/>
      <w:divBdr>
        <w:top w:val="none" w:sz="0" w:space="0" w:color="auto"/>
        <w:left w:val="none" w:sz="0" w:space="0" w:color="auto"/>
        <w:bottom w:val="none" w:sz="0" w:space="0" w:color="auto"/>
        <w:right w:val="none" w:sz="0" w:space="0" w:color="auto"/>
      </w:divBdr>
    </w:div>
    <w:div w:id="1290747860">
      <w:bodyDiv w:val="1"/>
      <w:marLeft w:val="0"/>
      <w:marRight w:val="0"/>
      <w:marTop w:val="0"/>
      <w:marBottom w:val="0"/>
      <w:divBdr>
        <w:top w:val="none" w:sz="0" w:space="0" w:color="auto"/>
        <w:left w:val="none" w:sz="0" w:space="0" w:color="auto"/>
        <w:bottom w:val="none" w:sz="0" w:space="0" w:color="auto"/>
        <w:right w:val="none" w:sz="0" w:space="0" w:color="auto"/>
      </w:divBdr>
    </w:div>
    <w:div w:id="1437483547">
      <w:bodyDiv w:val="1"/>
      <w:marLeft w:val="0"/>
      <w:marRight w:val="0"/>
      <w:marTop w:val="0"/>
      <w:marBottom w:val="0"/>
      <w:divBdr>
        <w:top w:val="none" w:sz="0" w:space="0" w:color="auto"/>
        <w:left w:val="none" w:sz="0" w:space="0" w:color="auto"/>
        <w:bottom w:val="none" w:sz="0" w:space="0" w:color="auto"/>
        <w:right w:val="none" w:sz="0" w:space="0" w:color="auto"/>
      </w:divBdr>
    </w:div>
    <w:div w:id="1482307483">
      <w:bodyDiv w:val="1"/>
      <w:marLeft w:val="0"/>
      <w:marRight w:val="0"/>
      <w:marTop w:val="0"/>
      <w:marBottom w:val="0"/>
      <w:divBdr>
        <w:top w:val="none" w:sz="0" w:space="0" w:color="auto"/>
        <w:left w:val="none" w:sz="0" w:space="0" w:color="auto"/>
        <w:bottom w:val="none" w:sz="0" w:space="0" w:color="auto"/>
        <w:right w:val="none" w:sz="0" w:space="0" w:color="auto"/>
      </w:divBdr>
    </w:div>
    <w:div w:id="1816755326">
      <w:bodyDiv w:val="1"/>
      <w:marLeft w:val="0"/>
      <w:marRight w:val="0"/>
      <w:marTop w:val="0"/>
      <w:marBottom w:val="0"/>
      <w:divBdr>
        <w:top w:val="none" w:sz="0" w:space="0" w:color="auto"/>
        <w:left w:val="none" w:sz="0" w:space="0" w:color="auto"/>
        <w:bottom w:val="none" w:sz="0" w:space="0" w:color="auto"/>
        <w:right w:val="none" w:sz="0" w:space="0" w:color="auto"/>
      </w:divBdr>
    </w:div>
    <w:div w:id="2003897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492</Words>
  <Characters>2806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Caitlin Tubergen</dc:creator>
  <cp:keywords/>
  <dc:description/>
  <cp:lastModifiedBy>Caitlin Tubergen</cp:lastModifiedBy>
  <cp:revision>2</cp:revision>
  <dcterms:created xsi:type="dcterms:W3CDTF">2019-01-13T20:58:00Z</dcterms:created>
  <dcterms:modified xsi:type="dcterms:W3CDTF">2019-01-13T20:58:00Z</dcterms:modified>
</cp:coreProperties>
</file>