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CDB5D" w14:textId="77777777" w:rsidR="00D524F9" w:rsidRPr="001A4D87" w:rsidRDefault="00D524F9" w:rsidP="00D524F9">
      <w:pPr>
        <w:rPr>
          <w:b/>
          <w:sz w:val="32"/>
          <w:szCs w:val="32"/>
        </w:rPr>
      </w:pPr>
      <w:r>
        <w:rPr>
          <w:b/>
          <w:sz w:val="32"/>
          <w:szCs w:val="32"/>
        </w:rPr>
        <w:t>PURPOSE 2</w:t>
      </w:r>
    </w:p>
    <w:p w14:paraId="4DF82FF0" w14:textId="77777777" w:rsidR="00D524F9" w:rsidRDefault="00D524F9" w:rsidP="00D524F9"/>
    <w:p w14:paraId="4553EA05" w14:textId="77777777" w:rsidR="00D524F9" w:rsidRPr="008D7C7C" w:rsidRDefault="008D7C7C" w:rsidP="008D7C7C">
      <w:pPr>
        <w:pBdr>
          <w:top w:val="single" w:sz="4" w:space="1" w:color="auto"/>
          <w:left w:val="single" w:sz="4" w:space="4" w:color="auto"/>
          <w:bottom w:val="single" w:sz="4" w:space="1" w:color="auto"/>
          <w:right w:val="single" w:sz="4" w:space="4" w:color="auto"/>
        </w:pBdr>
        <w:rPr>
          <w:sz w:val="28"/>
          <w:szCs w:val="28"/>
        </w:rPr>
      </w:pPr>
      <w:r w:rsidRPr="008D7C7C">
        <w:rPr>
          <w:sz w:val="28"/>
          <w:szCs w:val="28"/>
        </w:rPr>
        <w:t>Maintaining the security, stability, and resilien</w:t>
      </w:r>
      <w:r>
        <w:rPr>
          <w:sz w:val="28"/>
          <w:szCs w:val="28"/>
        </w:rPr>
        <w:t xml:space="preserve">cy of the Domain Name System in </w:t>
      </w:r>
      <w:r w:rsidRPr="008D7C7C">
        <w:rPr>
          <w:sz w:val="28"/>
          <w:szCs w:val="28"/>
        </w:rPr>
        <w:t>accordance with ICANN’s mission through th</w:t>
      </w:r>
      <w:r>
        <w:rPr>
          <w:sz w:val="28"/>
          <w:szCs w:val="28"/>
        </w:rPr>
        <w:t xml:space="preserve">e enabling of lawful access for </w:t>
      </w:r>
      <w:r w:rsidRPr="008D7C7C">
        <w:rPr>
          <w:sz w:val="28"/>
          <w:szCs w:val="28"/>
        </w:rPr>
        <w:t>legitimate third-party interests to data elements collected for the other purposes</w:t>
      </w:r>
      <w:r>
        <w:rPr>
          <w:sz w:val="28"/>
          <w:szCs w:val="28"/>
        </w:rPr>
        <w:t xml:space="preserve"> </w:t>
      </w:r>
      <w:r w:rsidRPr="008D7C7C">
        <w:rPr>
          <w:sz w:val="28"/>
          <w:szCs w:val="28"/>
        </w:rPr>
        <w:t>identified herein</w:t>
      </w:r>
    </w:p>
    <w:p w14:paraId="3F45A7DE" w14:textId="054B5319" w:rsidR="008D7C7C" w:rsidRDefault="008D7C7C" w:rsidP="00D524F9">
      <w:pPr>
        <w:rPr>
          <w:b/>
          <w:sz w:val="28"/>
          <w:szCs w:val="28"/>
        </w:rPr>
      </w:pPr>
    </w:p>
    <w:p w14:paraId="14082264" w14:textId="77777777" w:rsidR="00D50355" w:rsidRPr="00667710" w:rsidRDefault="00D50355" w:rsidP="00D50355">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35BFA420" w14:textId="77777777" w:rsidR="00D50355" w:rsidRDefault="00D50355" w:rsidP="00D524F9">
      <w:pPr>
        <w:rPr>
          <w:b/>
          <w:sz w:val="28"/>
          <w:szCs w:val="28"/>
        </w:rPr>
      </w:pPr>
    </w:p>
    <w:p w14:paraId="6E45D89F" w14:textId="77777777" w:rsidR="00D524F9" w:rsidRDefault="00D524F9" w:rsidP="00D524F9">
      <w:pPr>
        <w:rPr>
          <w:b/>
          <w:sz w:val="28"/>
          <w:szCs w:val="28"/>
        </w:rPr>
      </w:pPr>
      <w:r>
        <w:rPr>
          <w:b/>
          <w:sz w:val="28"/>
          <w:szCs w:val="28"/>
        </w:rPr>
        <w:t>Noted Concerns</w:t>
      </w:r>
    </w:p>
    <w:p w14:paraId="089437F6" w14:textId="77777777" w:rsidR="00D524F9" w:rsidRDefault="00D524F9" w:rsidP="00D524F9">
      <w:pPr>
        <w:rPr>
          <w:b/>
          <w:sz w:val="28"/>
          <w:szCs w:val="28"/>
        </w:rPr>
      </w:pPr>
    </w:p>
    <w:tbl>
      <w:tblPr>
        <w:tblStyle w:val="TableGrid"/>
        <w:tblW w:w="0" w:type="auto"/>
        <w:tblLook w:val="04A0" w:firstRow="1" w:lastRow="0" w:firstColumn="1" w:lastColumn="0" w:noHBand="0" w:noVBand="1"/>
      </w:tblPr>
      <w:tblGrid>
        <w:gridCol w:w="8635"/>
        <w:gridCol w:w="2970"/>
        <w:gridCol w:w="2785"/>
      </w:tblGrid>
      <w:tr w:rsidR="00D524F9" w14:paraId="049614D5" w14:textId="77777777" w:rsidTr="00DA3F06">
        <w:tc>
          <w:tcPr>
            <w:tcW w:w="8635" w:type="dxa"/>
            <w:shd w:val="clear" w:color="auto" w:fill="F7CAAC" w:themeFill="accent2" w:themeFillTint="66"/>
          </w:tcPr>
          <w:p w14:paraId="393396EF" w14:textId="77777777" w:rsidR="00D524F9" w:rsidRDefault="00D524F9" w:rsidP="00DA3F06">
            <w:pPr>
              <w:rPr>
                <w:b/>
                <w:sz w:val="28"/>
                <w:szCs w:val="28"/>
              </w:rPr>
            </w:pPr>
            <w:r>
              <w:rPr>
                <w:b/>
                <w:sz w:val="28"/>
                <w:szCs w:val="28"/>
              </w:rPr>
              <w:t>Concern</w:t>
            </w:r>
          </w:p>
        </w:tc>
        <w:tc>
          <w:tcPr>
            <w:tcW w:w="2970" w:type="dxa"/>
            <w:shd w:val="clear" w:color="auto" w:fill="F7CAAC" w:themeFill="accent2" w:themeFillTint="66"/>
          </w:tcPr>
          <w:p w14:paraId="0B321C01" w14:textId="77777777" w:rsidR="00D524F9" w:rsidRDefault="00D524F9" w:rsidP="00DA3F06">
            <w:pPr>
              <w:rPr>
                <w:b/>
                <w:sz w:val="28"/>
                <w:szCs w:val="28"/>
              </w:rPr>
            </w:pPr>
            <w:r>
              <w:rPr>
                <w:b/>
                <w:sz w:val="28"/>
                <w:szCs w:val="28"/>
              </w:rPr>
              <w:t>Corresponding PCRT Comment #</w:t>
            </w:r>
          </w:p>
        </w:tc>
        <w:tc>
          <w:tcPr>
            <w:tcW w:w="2785" w:type="dxa"/>
            <w:shd w:val="clear" w:color="auto" w:fill="F7CAAC" w:themeFill="accent2" w:themeFillTint="66"/>
          </w:tcPr>
          <w:p w14:paraId="1C69094A" w14:textId="77777777" w:rsidR="00D524F9" w:rsidRDefault="00D524F9" w:rsidP="00DA3F06">
            <w:pPr>
              <w:rPr>
                <w:b/>
                <w:sz w:val="28"/>
                <w:szCs w:val="28"/>
              </w:rPr>
            </w:pPr>
            <w:r>
              <w:rPr>
                <w:b/>
                <w:sz w:val="28"/>
                <w:szCs w:val="28"/>
              </w:rPr>
              <w:t>Further Discussion Required?</w:t>
            </w:r>
          </w:p>
        </w:tc>
      </w:tr>
      <w:tr w:rsidR="00D524F9" w14:paraId="5C6246D1" w14:textId="77777777" w:rsidTr="00DA3F06">
        <w:tc>
          <w:tcPr>
            <w:tcW w:w="8635" w:type="dxa"/>
          </w:tcPr>
          <w:p w14:paraId="0CA9E4A8" w14:textId="77777777" w:rsidR="00D524F9" w:rsidRPr="007950A5" w:rsidRDefault="008D7C7C" w:rsidP="00DA3F06">
            <w:pPr>
              <w:rPr>
                <w:sz w:val="28"/>
                <w:szCs w:val="28"/>
              </w:rPr>
            </w:pPr>
            <w:r>
              <w:rPr>
                <w:sz w:val="28"/>
                <w:szCs w:val="28"/>
              </w:rPr>
              <w:t>Purpose needs minor tweaking for clarity</w:t>
            </w:r>
          </w:p>
        </w:tc>
        <w:tc>
          <w:tcPr>
            <w:tcW w:w="2970" w:type="dxa"/>
          </w:tcPr>
          <w:p w14:paraId="17EF3413" w14:textId="77777777" w:rsidR="00D524F9" w:rsidRDefault="00D524F9" w:rsidP="00DA3F06">
            <w:pPr>
              <w:rPr>
                <w:sz w:val="28"/>
                <w:szCs w:val="28"/>
              </w:rPr>
            </w:pPr>
            <w:r>
              <w:rPr>
                <w:sz w:val="28"/>
                <w:szCs w:val="28"/>
              </w:rPr>
              <w:t>5</w:t>
            </w:r>
          </w:p>
          <w:p w14:paraId="6CB5BA20" w14:textId="60C13BBE" w:rsidR="008D062D" w:rsidRPr="00362929" w:rsidRDefault="00E567AC" w:rsidP="00DA3F06">
            <w:pPr>
              <w:rPr>
                <w:sz w:val="28"/>
                <w:szCs w:val="28"/>
              </w:rPr>
            </w:pPr>
            <w:r>
              <w:rPr>
                <w:sz w:val="28"/>
                <w:szCs w:val="28"/>
              </w:rPr>
              <w:t>(</w:t>
            </w:r>
            <w:r w:rsidR="008D062D">
              <w:rPr>
                <w:sz w:val="28"/>
                <w:szCs w:val="28"/>
              </w:rPr>
              <w:t>GOVERNMENT OF INDIA</w:t>
            </w:r>
            <w:r>
              <w:rPr>
                <w:sz w:val="28"/>
                <w:szCs w:val="28"/>
              </w:rPr>
              <w:t>)</w:t>
            </w:r>
          </w:p>
        </w:tc>
        <w:tc>
          <w:tcPr>
            <w:tcW w:w="2785" w:type="dxa"/>
          </w:tcPr>
          <w:p w14:paraId="12B24734" w14:textId="77777777" w:rsidR="00D524F9" w:rsidRPr="00362929" w:rsidRDefault="00D524F9" w:rsidP="00DA3F06">
            <w:pPr>
              <w:rPr>
                <w:sz w:val="28"/>
                <w:szCs w:val="28"/>
              </w:rPr>
            </w:pPr>
            <w:r w:rsidRPr="00362929">
              <w:rPr>
                <w:sz w:val="28"/>
                <w:szCs w:val="28"/>
              </w:rPr>
              <w:t>Yes/No</w:t>
            </w:r>
          </w:p>
        </w:tc>
      </w:tr>
      <w:tr w:rsidR="008D7C7C" w14:paraId="617A6BE4" w14:textId="77777777" w:rsidTr="00DA3F06">
        <w:tc>
          <w:tcPr>
            <w:tcW w:w="8635" w:type="dxa"/>
          </w:tcPr>
          <w:p w14:paraId="4143B138" w14:textId="77777777" w:rsidR="008D7C7C" w:rsidRDefault="008D7C7C" w:rsidP="008D7C7C">
            <w:pPr>
              <w:rPr>
                <w:sz w:val="28"/>
                <w:szCs w:val="28"/>
              </w:rPr>
            </w:pPr>
            <w:r>
              <w:rPr>
                <w:sz w:val="28"/>
                <w:szCs w:val="28"/>
              </w:rPr>
              <w:t xml:space="preserve">Language should be tweaked to ensure ICANN’s mandate is not inadvertently expanded by the language of this purpose. </w:t>
            </w:r>
          </w:p>
        </w:tc>
        <w:tc>
          <w:tcPr>
            <w:tcW w:w="2970" w:type="dxa"/>
          </w:tcPr>
          <w:p w14:paraId="3742EB83" w14:textId="77777777" w:rsidR="008D7C7C" w:rsidRDefault="008D7C7C" w:rsidP="008D7C7C">
            <w:pPr>
              <w:rPr>
                <w:sz w:val="28"/>
                <w:szCs w:val="28"/>
              </w:rPr>
            </w:pPr>
            <w:r>
              <w:rPr>
                <w:sz w:val="28"/>
                <w:szCs w:val="28"/>
              </w:rPr>
              <w:t>6</w:t>
            </w:r>
          </w:p>
          <w:p w14:paraId="5CF27D65" w14:textId="42215BC2" w:rsidR="008D062D" w:rsidRDefault="00E567AC" w:rsidP="008D7C7C">
            <w:pPr>
              <w:rPr>
                <w:sz w:val="28"/>
                <w:szCs w:val="28"/>
              </w:rPr>
            </w:pPr>
            <w:r>
              <w:rPr>
                <w:sz w:val="28"/>
                <w:szCs w:val="28"/>
              </w:rPr>
              <w:t>(</w:t>
            </w:r>
            <w:r w:rsidR="008D062D">
              <w:rPr>
                <w:sz w:val="28"/>
                <w:szCs w:val="28"/>
              </w:rPr>
              <w:t>Tucows Domains Inc.</w:t>
            </w:r>
            <w:r>
              <w:rPr>
                <w:sz w:val="28"/>
                <w:szCs w:val="28"/>
              </w:rPr>
              <w:t>)</w:t>
            </w:r>
          </w:p>
        </w:tc>
        <w:tc>
          <w:tcPr>
            <w:tcW w:w="2785" w:type="dxa"/>
          </w:tcPr>
          <w:p w14:paraId="5DC1738A" w14:textId="77777777" w:rsidR="008D7C7C" w:rsidRDefault="008D7C7C" w:rsidP="008D7C7C">
            <w:r w:rsidRPr="00DD416F">
              <w:rPr>
                <w:sz w:val="28"/>
                <w:szCs w:val="28"/>
              </w:rPr>
              <w:t>Yes/No</w:t>
            </w:r>
          </w:p>
        </w:tc>
      </w:tr>
      <w:tr w:rsidR="008D7C7C" w14:paraId="1D19B36B" w14:textId="77777777" w:rsidTr="00DA3F06">
        <w:tc>
          <w:tcPr>
            <w:tcW w:w="8635" w:type="dxa"/>
          </w:tcPr>
          <w:p w14:paraId="308A0636" w14:textId="77777777" w:rsidR="008D7C7C" w:rsidRDefault="008D7C7C" w:rsidP="008D7C7C">
            <w:pPr>
              <w:rPr>
                <w:sz w:val="28"/>
                <w:szCs w:val="28"/>
              </w:rPr>
            </w:pPr>
            <w:r>
              <w:rPr>
                <w:sz w:val="28"/>
                <w:szCs w:val="28"/>
              </w:rPr>
              <w:t>Third party legitimate interests should be spelled out more specifically, i.e., law enforcement, intellectual property, consumer protection, et. al. (Proposed edits vary by comment.)</w:t>
            </w:r>
          </w:p>
        </w:tc>
        <w:tc>
          <w:tcPr>
            <w:tcW w:w="2970" w:type="dxa"/>
          </w:tcPr>
          <w:p w14:paraId="7340A6F2" w14:textId="3D110972" w:rsidR="008D7C7C" w:rsidRDefault="008D7C7C" w:rsidP="008D7C7C">
            <w:pPr>
              <w:rPr>
                <w:sz w:val="28"/>
                <w:szCs w:val="28"/>
              </w:rPr>
            </w:pPr>
            <w:r>
              <w:rPr>
                <w:sz w:val="28"/>
                <w:szCs w:val="28"/>
              </w:rPr>
              <w:t xml:space="preserve">4, </w:t>
            </w:r>
            <w:r w:rsidR="008D062D">
              <w:rPr>
                <w:sz w:val="28"/>
                <w:szCs w:val="28"/>
              </w:rPr>
              <w:t xml:space="preserve">7, </w:t>
            </w:r>
            <w:r>
              <w:rPr>
                <w:sz w:val="28"/>
                <w:szCs w:val="28"/>
              </w:rPr>
              <w:t>8, 9, 10, 11, 12</w:t>
            </w:r>
            <w:r w:rsidR="004D1553">
              <w:rPr>
                <w:sz w:val="28"/>
                <w:szCs w:val="28"/>
              </w:rPr>
              <w:t>, 15</w:t>
            </w:r>
          </w:p>
          <w:p w14:paraId="3A1D0D2D" w14:textId="220637C2" w:rsidR="008D062D" w:rsidRDefault="00E567AC" w:rsidP="008D7C7C">
            <w:pPr>
              <w:rPr>
                <w:sz w:val="28"/>
                <w:szCs w:val="28"/>
              </w:rPr>
            </w:pPr>
            <w:r>
              <w:rPr>
                <w:sz w:val="28"/>
                <w:szCs w:val="28"/>
              </w:rPr>
              <w:t>(</w:t>
            </w:r>
            <w:r w:rsidR="008D062D">
              <w:rPr>
                <w:sz w:val="28"/>
                <w:szCs w:val="28"/>
              </w:rPr>
              <w:t xml:space="preserve">Coalition for Online Accountability, </w:t>
            </w:r>
            <w:r w:rsidR="008D062D" w:rsidRPr="008D062D">
              <w:rPr>
                <w:sz w:val="28"/>
                <w:szCs w:val="28"/>
              </w:rPr>
              <w:t>The Walt Disney Company</w:t>
            </w:r>
            <w:r w:rsidR="008D062D">
              <w:rPr>
                <w:sz w:val="28"/>
                <w:szCs w:val="28"/>
              </w:rPr>
              <w:t>, BC, INTA, MarkMonitor, MPAA, Microsoft, IPC</w:t>
            </w:r>
            <w:r>
              <w:rPr>
                <w:sz w:val="28"/>
                <w:szCs w:val="28"/>
              </w:rPr>
              <w:t>)</w:t>
            </w:r>
          </w:p>
        </w:tc>
        <w:tc>
          <w:tcPr>
            <w:tcW w:w="2785" w:type="dxa"/>
          </w:tcPr>
          <w:p w14:paraId="078F3CBC" w14:textId="77777777" w:rsidR="008D7C7C" w:rsidRDefault="008D7C7C" w:rsidP="008D7C7C">
            <w:r w:rsidRPr="00DD416F">
              <w:rPr>
                <w:sz w:val="28"/>
                <w:szCs w:val="28"/>
              </w:rPr>
              <w:t>Yes/No</w:t>
            </w:r>
          </w:p>
        </w:tc>
      </w:tr>
      <w:tr w:rsidR="008D7C7C" w14:paraId="463EE4DB" w14:textId="77777777" w:rsidTr="00DA3F06">
        <w:tc>
          <w:tcPr>
            <w:tcW w:w="8635" w:type="dxa"/>
          </w:tcPr>
          <w:p w14:paraId="7E04CF68" w14:textId="77777777" w:rsidR="008D7C7C" w:rsidRDefault="008D7C7C" w:rsidP="008D7C7C">
            <w:pPr>
              <w:rPr>
                <w:sz w:val="28"/>
                <w:szCs w:val="28"/>
              </w:rPr>
            </w:pPr>
            <w:r>
              <w:rPr>
                <w:sz w:val="28"/>
                <w:szCs w:val="28"/>
              </w:rPr>
              <w:t>Maintain should be changed to ensure, as ensure is used within ICANN’s stated mission.</w:t>
            </w:r>
          </w:p>
        </w:tc>
        <w:tc>
          <w:tcPr>
            <w:tcW w:w="2970" w:type="dxa"/>
          </w:tcPr>
          <w:p w14:paraId="4D268A40" w14:textId="77777777" w:rsidR="008D7C7C" w:rsidRDefault="008D7C7C" w:rsidP="008D7C7C">
            <w:pPr>
              <w:rPr>
                <w:sz w:val="28"/>
                <w:szCs w:val="28"/>
              </w:rPr>
            </w:pPr>
            <w:r>
              <w:rPr>
                <w:sz w:val="28"/>
                <w:szCs w:val="28"/>
              </w:rPr>
              <w:t>4, 9, 10, 11, 12</w:t>
            </w:r>
            <w:r w:rsidR="004D1553">
              <w:rPr>
                <w:sz w:val="28"/>
                <w:szCs w:val="28"/>
              </w:rPr>
              <w:t>, 15</w:t>
            </w:r>
          </w:p>
          <w:p w14:paraId="1995CA2F" w14:textId="04E9CD5E" w:rsidR="008D062D" w:rsidRDefault="00E567AC" w:rsidP="008D7C7C">
            <w:pPr>
              <w:rPr>
                <w:sz w:val="28"/>
                <w:szCs w:val="28"/>
              </w:rPr>
            </w:pPr>
            <w:r>
              <w:rPr>
                <w:sz w:val="28"/>
                <w:szCs w:val="28"/>
              </w:rPr>
              <w:t>(</w:t>
            </w:r>
            <w:r w:rsidR="008D062D">
              <w:rPr>
                <w:sz w:val="28"/>
                <w:szCs w:val="28"/>
              </w:rPr>
              <w:t>Coalition for Online Accountability, INTA, MarkMonitor, MPAA, Microsoft, IPC</w:t>
            </w:r>
            <w:r>
              <w:rPr>
                <w:sz w:val="28"/>
                <w:szCs w:val="28"/>
              </w:rPr>
              <w:t>)</w:t>
            </w:r>
          </w:p>
        </w:tc>
        <w:tc>
          <w:tcPr>
            <w:tcW w:w="2785" w:type="dxa"/>
          </w:tcPr>
          <w:p w14:paraId="227A3B3A" w14:textId="77777777" w:rsidR="008D7C7C" w:rsidRDefault="008D7C7C" w:rsidP="008D7C7C">
            <w:r w:rsidRPr="00DD416F">
              <w:rPr>
                <w:sz w:val="28"/>
                <w:szCs w:val="28"/>
              </w:rPr>
              <w:t>Yes/No</w:t>
            </w:r>
          </w:p>
        </w:tc>
      </w:tr>
      <w:tr w:rsidR="008D7C7C" w14:paraId="135EAE50" w14:textId="77777777" w:rsidTr="00DA3F06">
        <w:tc>
          <w:tcPr>
            <w:tcW w:w="8635" w:type="dxa"/>
          </w:tcPr>
          <w:p w14:paraId="75DE75A7" w14:textId="77777777" w:rsidR="008D7C7C" w:rsidRDefault="008D7C7C" w:rsidP="008D7C7C">
            <w:pPr>
              <w:rPr>
                <w:sz w:val="28"/>
                <w:szCs w:val="28"/>
              </w:rPr>
            </w:pPr>
            <w:r>
              <w:rPr>
                <w:sz w:val="28"/>
                <w:szCs w:val="28"/>
              </w:rPr>
              <w:lastRenderedPageBreak/>
              <w:t>ICANN’s mission and core values should be referenced within this purpose.</w:t>
            </w:r>
          </w:p>
        </w:tc>
        <w:tc>
          <w:tcPr>
            <w:tcW w:w="2970" w:type="dxa"/>
          </w:tcPr>
          <w:p w14:paraId="61CECBA6" w14:textId="77777777" w:rsidR="008D7C7C" w:rsidRDefault="008D7C7C" w:rsidP="008D7C7C">
            <w:pPr>
              <w:rPr>
                <w:sz w:val="28"/>
                <w:szCs w:val="28"/>
              </w:rPr>
            </w:pPr>
            <w:r>
              <w:rPr>
                <w:sz w:val="28"/>
                <w:szCs w:val="28"/>
              </w:rPr>
              <w:t>13</w:t>
            </w:r>
            <w:r w:rsidR="004D1553">
              <w:rPr>
                <w:sz w:val="28"/>
                <w:szCs w:val="28"/>
              </w:rPr>
              <w:t>, 14</w:t>
            </w:r>
          </w:p>
          <w:p w14:paraId="72548E89" w14:textId="563F6137" w:rsidR="008D062D" w:rsidRDefault="00E567AC" w:rsidP="008D7C7C">
            <w:pPr>
              <w:rPr>
                <w:sz w:val="28"/>
                <w:szCs w:val="28"/>
              </w:rPr>
            </w:pPr>
            <w:r>
              <w:rPr>
                <w:sz w:val="28"/>
                <w:szCs w:val="28"/>
              </w:rPr>
              <w:t>(</w:t>
            </w:r>
            <w:r w:rsidR="008D062D">
              <w:rPr>
                <w:sz w:val="28"/>
                <w:szCs w:val="28"/>
              </w:rPr>
              <w:t>NTIA, GAC</w:t>
            </w:r>
            <w:r>
              <w:rPr>
                <w:sz w:val="28"/>
                <w:szCs w:val="28"/>
              </w:rPr>
              <w:t>)</w:t>
            </w:r>
          </w:p>
        </w:tc>
        <w:tc>
          <w:tcPr>
            <w:tcW w:w="2785" w:type="dxa"/>
          </w:tcPr>
          <w:p w14:paraId="30ED1C2D" w14:textId="77777777" w:rsidR="008D7C7C" w:rsidRDefault="008D7C7C" w:rsidP="008D7C7C">
            <w:r w:rsidRPr="00DD416F">
              <w:rPr>
                <w:sz w:val="28"/>
                <w:szCs w:val="28"/>
              </w:rPr>
              <w:t>Yes/No</w:t>
            </w:r>
          </w:p>
        </w:tc>
      </w:tr>
      <w:tr w:rsidR="008D7C7C" w14:paraId="202C2224" w14:textId="77777777" w:rsidTr="00DA3F06">
        <w:tc>
          <w:tcPr>
            <w:tcW w:w="8635" w:type="dxa"/>
          </w:tcPr>
          <w:p w14:paraId="3251DCE0" w14:textId="77777777" w:rsidR="008D7C7C" w:rsidRDefault="004D1553" w:rsidP="008D7C7C">
            <w:pPr>
              <w:rPr>
                <w:sz w:val="28"/>
                <w:szCs w:val="28"/>
              </w:rPr>
            </w:pPr>
            <w:r>
              <w:rPr>
                <w:sz w:val="28"/>
                <w:szCs w:val="28"/>
              </w:rPr>
              <w:t xml:space="preserve">This purpose is unnecessary b/c legitimate third-party access is not prohibited by GDPR. </w:t>
            </w:r>
          </w:p>
        </w:tc>
        <w:tc>
          <w:tcPr>
            <w:tcW w:w="2970" w:type="dxa"/>
          </w:tcPr>
          <w:p w14:paraId="0CB8B54F" w14:textId="77777777" w:rsidR="008D7C7C" w:rsidRDefault="004D1553" w:rsidP="008D7C7C">
            <w:pPr>
              <w:rPr>
                <w:sz w:val="28"/>
                <w:szCs w:val="28"/>
              </w:rPr>
            </w:pPr>
            <w:r>
              <w:rPr>
                <w:sz w:val="28"/>
                <w:szCs w:val="28"/>
              </w:rPr>
              <w:t>16, 20</w:t>
            </w:r>
            <w:r w:rsidR="00CF2823">
              <w:rPr>
                <w:sz w:val="28"/>
                <w:szCs w:val="28"/>
              </w:rPr>
              <w:t>, 25</w:t>
            </w:r>
          </w:p>
          <w:p w14:paraId="09933E7E" w14:textId="73411DBC" w:rsidR="008D062D" w:rsidRDefault="00E567AC" w:rsidP="008D7C7C">
            <w:pPr>
              <w:rPr>
                <w:sz w:val="28"/>
                <w:szCs w:val="28"/>
              </w:rPr>
            </w:pPr>
            <w:r>
              <w:rPr>
                <w:sz w:val="28"/>
                <w:szCs w:val="28"/>
              </w:rPr>
              <w:t>(</w:t>
            </w:r>
            <w:r w:rsidR="008D062D">
              <w:rPr>
                <w:sz w:val="28"/>
                <w:szCs w:val="28"/>
              </w:rPr>
              <w:t>John Poole, A</w:t>
            </w:r>
            <w:r w:rsidR="008D062D" w:rsidRPr="008D062D">
              <w:rPr>
                <w:sz w:val="28"/>
                <w:szCs w:val="28"/>
              </w:rPr>
              <w:t>ssociation of the Internet Industry</w:t>
            </w:r>
            <w:r w:rsidR="008D062D">
              <w:rPr>
                <w:sz w:val="28"/>
                <w:szCs w:val="28"/>
              </w:rPr>
              <w:t>, ISPCP</w:t>
            </w:r>
            <w:r>
              <w:rPr>
                <w:sz w:val="28"/>
                <w:szCs w:val="28"/>
              </w:rPr>
              <w:t>)</w:t>
            </w:r>
          </w:p>
        </w:tc>
        <w:tc>
          <w:tcPr>
            <w:tcW w:w="2785" w:type="dxa"/>
          </w:tcPr>
          <w:p w14:paraId="70D11554" w14:textId="77777777" w:rsidR="008D7C7C" w:rsidRDefault="008D7C7C" w:rsidP="008D7C7C">
            <w:r w:rsidRPr="00DD416F">
              <w:rPr>
                <w:sz w:val="28"/>
                <w:szCs w:val="28"/>
              </w:rPr>
              <w:t>Yes/No</w:t>
            </w:r>
          </w:p>
        </w:tc>
      </w:tr>
      <w:tr w:rsidR="008D7C7C" w14:paraId="5032D9D9" w14:textId="77777777" w:rsidTr="00DA3F06">
        <w:tc>
          <w:tcPr>
            <w:tcW w:w="8635" w:type="dxa"/>
          </w:tcPr>
          <w:p w14:paraId="402D59DA" w14:textId="77777777" w:rsidR="008D7C7C" w:rsidRDefault="00CF2823" w:rsidP="008D7C7C">
            <w:pPr>
              <w:rPr>
                <w:sz w:val="28"/>
                <w:szCs w:val="28"/>
              </w:rPr>
            </w:pPr>
            <w:r>
              <w:rPr>
                <w:sz w:val="28"/>
                <w:szCs w:val="28"/>
              </w:rPr>
              <w:t>Third</w:t>
            </w:r>
            <w:r w:rsidR="004D1553">
              <w:rPr>
                <w:sz w:val="28"/>
                <w:szCs w:val="28"/>
              </w:rPr>
              <w:t>-party access</w:t>
            </w:r>
            <w:r>
              <w:rPr>
                <w:sz w:val="28"/>
                <w:szCs w:val="28"/>
              </w:rPr>
              <w:t xml:space="preserve"> to data</w:t>
            </w:r>
            <w:r w:rsidR="004D1553">
              <w:rPr>
                <w:sz w:val="28"/>
                <w:szCs w:val="28"/>
              </w:rPr>
              <w:t xml:space="preserve"> is not part of ICANN’s mission</w:t>
            </w:r>
            <w:r>
              <w:rPr>
                <w:sz w:val="28"/>
                <w:szCs w:val="28"/>
              </w:rPr>
              <w:t>, so this purpose should be deleted.</w:t>
            </w:r>
          </w:p>
          <w:p w14:paraId="02CD6FA0" w14:textId="77777777" w:rsidR="00371E19" w:rsidRDefault="00371E19" w:rsidP="008D7C7C">
            <w:pPr>
              <w:rPr>
                <w:sz w:val="28"/>
                <w:szCs w:val="28"/>
              </w:rPr>
            </w:pPr>
          </w:p>
          <w:p w14:paraId="582684D6" w14:textId="209EB9DD" w:rsidR="00371E19" w:rsidRDefault="00371E19" w:rsidP="008D7C7C">
            <w:pPr>
              <w:rPr>
                <w:sz w:val="28"/>
                <w:szCs w:val="28"/>
              </w:rPr>
            </w:pPr>
            <w:r>
              <w:rPr>
                <w:sz w:val="28"/>
                <w:szCs w:val="28"/>
              </w:rPr>
              <w:t>[</w:t>
            </w:r>
            <w:r w:rsidRPr="00371E19">
              <w:rPr>
                <w:sz w:val="28"/>
                <w:szCs w:val="28"/>
              </w:rPr>
              <w:t xml:space="preserve">ICANN's mission does not explicitly include enabling third-party access to registration data. </w:t>
            </w:r>
            <w:bookmarkStart w:id="0" w:name="_GoBack"/>
            <w:bookmarkEnd w:id="0"/>
            <w:r w:rsidRPr="00371E19">
              <w:rPr>
                <w:sz w:val="28"/>
                <w:szCs w:val="28"/>
              </w:rPr>
              <w:t>Third-party access may be found to be a   legitimate secondary purpose. Additionally, the EDPB has already</w:t>
            </w:r>
            <w:r>
              <w:rPr>
                <w:sz w:val="28"/>
                <w:szCs w:val="28"/>
              </w:rPr>
              <w:t xml:space="preserve"> </w:t>
            </w:r>
            <w:r w:rsidRPr="00371E19">
              <w:rPr>
                <w:sz w:val="28"/>
                <w:szCs w:val="28"/>
              </w:rPr>
              <w:t>cautioned ICANN against conflating its purposes with that of third-party interests.</w:t>
            </w:r>
            <w:r>
              <w:rPr>
                <w:sz w:val="28"/>
                <w:szCs w:val="28"/>
              </w:rPr>
              <w:t>]</w:t>
            </w:r>
          </w:p>
        </w:tc>
        <w:tc>
          <w:tcPr>
            <w:tcW w:w="2970" w:type="dxa"/>
          </w:tcPr>
          <w:p w14:paraId="29AE916C" w14:textId="77777777" w:rsidR="008D7C7C" w:rsidRDefault="004D1553" w:rsidP="008D7C7C">
            <w:pPr>
              <w:rPr>
                <w:sz w:val="28"/>
                <w:szCs w:val="28"/>
              </w:rPr>
            </w:pPr>
            <w:r>
              <w:rPr>
                <w:sz w:val="28"/>
                <w:szCs w:val="28"/>
              </w:rPr>
              <w:t>17, 18, 19, 21</w:t>
            </w:r>
            <w:r w:rsidR="00CF2823">
              <w:rPr>
                <w:sz w:val="28"/>
                <w:szCs w:val="28"/>
              </w:rPr>
              <w:t>, 22, 23, 28</w:t>
            </w:r>
          </w:p>
          <w:p w14:paraId="58C2E3B3" w14:textId="49AFBB0A" w:rsidR="008D062D" w:rsidRDefault="00E567AC" w:rsidP="008D7C7C">
            <w:pPr>
              <w:rPr>
                <w:sz w:val="28"/>
                <w:szCs w:val="28"/>
              </w:rPr>
            </w:pPr>
            <w:r>
              <w:rPr>
                <w:sz w:val="28"/>
                <w:szCs w:val="28"/>
              </w:rPr>
              <w:t>(</w:t>
            </w:r>
            <w:r w:rsidR="008D062D">
              <w:rPr>
                <w:sz w:val="28"/>
                <w:szCs w:val="28"/>
              </w:rPr>
              <w:t xml:space="preserve">Blacknight, GoDaddy, Key-Systems, </w:t>
            </w:r>
            <w:proofErr w:type="spellStart"/>
            <w:r w:rsidR="008D062D">
              <w:rPr>
                <w:sz w:val="28"/>
                <w:szCs w:val="28"/>
              </w:rPr>
              <w:t>RrSG</w:t>
            </w:r>
            <w:proofErr w:type="spellEnd"/>
            <w:r w:rsidR="008D062D">
              <w:rPr>
                <w:sz w:val="28"/>
                <w:szCs w:val="28"/>
              </w:rPr>
              <w:t>, D</w:t>
            </w:r>
            <w:r w:rsidR="008D062D" w:rsidRPr="008D062D">
              <w:rPr>
                <w:sz w:val="28"/>
                <w:szCs w:val="28"/>
              </w:rPr>
              <w:t>omain.com</w:t>
            </w:r>
            <w:r w:rsidR="008D062D">
              <w:rPr>
                <w:sz w:val="28"/>
                <w:szCs w:val="28"/>
              </w:rPr>
              <w:t xml:space="preserve"> </w:t>
            </w:r>
            <w:r w:rsidR="008D062D" w:rsidRPr="008D062D">
              <w:rPr>
                <w:sz w:val="28"/>
                <w:szCs w:val="28"/>
              </w:rPr>
              <w:t>LLC &amp; affiliates</w:t>
            </w:r>
            <w:r w:rsidR="008D062D">
              <w:rPr>
                <w:sz w:val="28"/>
                <w:szCs w:val="28"/>
              </w:rPr>
              <w:t xml:space="preserve">, </w:t>
            </w:r>
            <w:r w:rsidR="008D062D" w:rsidRPr="008D062D">
              <w:rPr>
                <w:sz w:val="28"/>
                <w:szCs w:val="28"/>
              </w:rPr>
              <w:t>i2Coalition</w:t>
            </w:r>
            <w:r w:rsidR="008D062D">
              <w:rPr>
                <w:sz w:val="28"/>
                <w:szCs w:val="28"/>
              </w:rPr>
              <w:t>, Internet Governance Project</w:t>
            </w:r>
            <w:r>
              <w:rPr>
                <w:sz w:val="28"/>
                <w:szCs w:val="28"/>
              </w:rPr>
              <w:t>)</w:t>
            </w:r>
          </w:p>
        </w:tc>
        <w:tc>
          <w:tcPr>
            <w:tcW w:w="2785" w:type="dxa"/>
          </w:tcPr>
          <w:p w14:paraId="47A641B0" w14:textId="77777777" w:rsidR="008D7C7C" w:rsidRDefault="008D7C7C" w:rsidP="008D7C7C">
            <w:r w:rsidRPr="00DD416F">
              <w:rPr>
                <w:sz w:val="28"/>
                <w:szCs w:val="28"/>
              </w:rPr>
              <w:t>Yes/No</w:t>
            </w:r>
          </w:p>
        </w:tc>
      </w:tr>
      <w:tr w:rsidR="00CF2823" w14:paraId="0262364C" w14:textId="77777777" w:rsidTr="00DA3F06">
        <w:tc>
          <w:tcPr>
            <w:tcW w:w="8635" w:type="dxa"/>
          </w:tcPr>
          <w:p w14:paraId="49DC3CAA" w14:textId="77777777" w:rsidR="00CF2823" w:rsidRDefault="00CF2823" w:rsidP="00CF2823">
            <w:pPr>
              <w:rPr>
                <w:sz w:val="28"/>
                <w:szCs w:val="28"/>
              </w:rPr>
            </w:pPr>
            <w:r>
              <w:rPr>
                <w:sz w:val="28"/>
                <w:szCs w:val="28"/>
              </w:rPr>
              <w:t>Contracted parties do not collect data for the purpose of disclosure – as such, this purpose should be deleted.</w:t>
            </w:r>
          </w:p>
        </w:tc>
        <w:tc>
          <w:tcPr>
            <w:tcW w:w="2970" w:type="dxa"/>
          </w:tcPr>
          <w:p w14:paraId="4823612E" w14:textId="77777777" w:rsidR="00CF2823" w:rsidRDefault="00CF2823" w:rsidP="00CF2823">
            <w:pPr>
              <w:rPr>
                <w:sz w:val="28"/>
                <w:szCs w:val="28"/>
              </w:rPr>
            </w:pPr>
            <w:r>
              <w:rPr>
                <w:sz w:val="28"/>
                <w:szCs w:val="28"/>
              </w:rPr>
              <w:t>24</w:t>
            </w:r>
          </w:p>
          <w:p w14:paraId="21100FA4" w14:textId="2DA83ABA" w:rsidR="008D062D" w:rsidRDefault="00E567AC" w:rsidP="00CF2823">
            <w:pPr>
              <w:rPr>
                <w:sz w:val="28"/>
                <w:szCs w:val="28"/>
              </w:rPr>
            </w:pPr>
            <w:r>
              <w:rPr>
                <w:sz w:val="28"/>
                <w:szCs w:val="28"/>
              </w:rPr>
              <w:t>(</w:t>
            </w:r>
            <w:r w:rsidR="008D062D">
              <w:rPr>
                <w:sz w:val="28"/>
                <w:szCs w:val="28"/>
              </w:rPr>
              <w:t>RySG</w:t>
            </w:r>
            <w:r>
              <w:rPr>
                <w:sz w:val="28"/>
                <w:szCs w:val="28"/>
              </w:rPr>
              <w:t>)</w:t>
            </w:r>
          </w:p>
        </w:tc>
        <w:tc>
          <w:tcPr>
            <w:tcW w:w="2785" w:type="dxa"/>
          </w:tcPr>
          <w:p w14:paraId="0034BDCE" w14:textId="77777777" w:rsidR="00CF2823" w:rsidRDefault="00CF2823" w:rsidP="00CF2823">
            <w:r w:rsidRPr="00396DB7">
              <w:rPr>
                <w:sz w:val="28"/>
                <w:szCs w:val="28"/>
              </w:rPr>
              <w:t>Yes/No</w:t>
            </w:r>
          </w:p>
        </w:tc>
      </w:tr>
      <w:tr w:rsidR="00CF2823" w14:paraId="11E00EC0" w14:textId="77777777" w:rsidTr="00DA3F06">
        <w:tc>
          <w:tcPr>
            <w:tcW w:w="8635" w:type="dxa"/>
          </w:tcPr>
          <w:p w14:paraId="0CC9A667" w14:textId="77777777" w:rsidR="00CF2823" w:rsidRDefault="00CF2823" w:rsidP="00CF2823">
            <w:pPr>
              <w:rPr>
                <w:sz w:val="28"/>
                <w:szCs w:val="28"/>
              </w:rPr>
            </w:pPr>
            <w:r>
              <w:rPr>
                <w:sz w:val="28"/>
                <w:szCs w:val="28"/>
              </w:rPr>
              <w:t xml:space="preserve">Purpose should be further </w:t>
            </w:r>
            <w:r w:rsidRPr="00CF2823">
              <w:rPr>
                <w:sz w:val="28"/>
                <w:szCs w:val="28"/>
              </w:rPr>
              <w:t xml:space="preserve">clarified </w:t>
            </w:r>
            <w:r>
              <w:rPr>
                <w:sz w:val="28"/>
                <w:szCs w:val="28"/>
              </w:rPr>
              <w:t>to emphasize</w:t>
            </w:r>
            <w:r w:rsidRPr="00CF2823">
              <w:rPr>
                <w:sz w:val="28"/>
                <w:szCs w:val="28"/>
              </w:rPr>
              <w:t xml:space="preserve"> the preservation of Registrant Data by the earlier </w:t>
            </w:r>
            <w:r>
              <w:rPr>
                <w:sz w:val="28"/>
                <w:szCs w:val="28"/>
              </w:rPr>
              <w:t>WHOIS</w:t>
            </w:r>
            <w:r w:rsidRPr="00CF2823">
              <w:rPr>
                <w:sz w:val="28"/>
                <w:szCs w:val="28"/>
              </w:rPr>
              <w:t xml:space="preserve"> process</w:t>
            </w:r>
            <w:r>
              <w:rPr>
                <w:sz w:val="28"/>
                <w:szCs w:val="28"/>
              </w:rPr>
              <w:t>,</w:t>
            </w:r>
            <w:r w:rsidRPr="00CF2823">
              <w:rPr>
                <w:sz w:val="28"/>
                <w:szCs w:val="28"/>
              </w:rPr>
              <w:t xml:space="preserve"> which made d</w:t>
            </w:r>
            <w:r>
              <w:rPr>
                <w:sz w:val="28"/>
                <w:szCs w:val="28"/>
              </w:rPr>
              <w:t>ata elements largely available to</w:t>
            </w:r>
            <w:r w:rsidRPr="00CF2823">
              <w:rPr>
                <w:sz w:val="28"/>
                <w:szCs w:val="28"/>
              </w:rPr>
              <w:t xml:space="preserve"> all users</w:t>
            </w:r>
            <w:r>
              <w:rPr>
                <w:sz w:val="28"/>
                <w:szCs w:val="28"/>
              </w:rPr>
              <w:t>.</w:t>
            </w:r>
          </w:p>
        </w:tc>
        <w:tc>
          <w:tcPr>
            <w:tcW w:w="2970" w:type="dxa"/>
          </w:tcPr>
          <w:p w14:paraId="6B9E817C" w14:textId="77777777" w:rsidR="00CF2823" w:rsidRDefault="00CF2823" w:rsidP="00CF2823">
            <w:pPr>
              <w:rPr>
                <w:sz w:val="28"/>
                <w:szCs w:val="28"/>
              </w:rPr>
            </w:pPr>
            <w:r>
              <w:rPr>
                <w:sz w:val="28"/>
                <w:szCs w:val="28"/>
              </w:rPr>
              <w:t>26</w:t>
            </w:r>
          </w:p>
          <w:p w14:paraId="2F018663" w14:textId="3C5B75F5" w:rsidR="008D062D" w:rsidRDefault="00E567AC" w:rsidP="00CF2823">
            <w:pPr>
              <w:rPr>
                <w:sz w:val="28"/>
                <w:szCs w:val="28"/>
              </w:rPr>
            </w:pPr>
            <w:r>
              <w:rPr>
                <w:sz w:val="28"/>
                <w:szCs w:val="28"/>
              </w:rPr>
              <w:t>(</w:t>
            </w:r>
            <w:r w:rsidR="008D062D">
              <w:rPr>
                <w:sz w:val="28"/>
                <w:szCs w:val="28"/>
              </w:rPr>
              <w:t>I</w:t>
            </w:r>
            <w:r w:rsidR="008D062D" w:rsidRPr="008D062D">
              <w:rPr>
                <w:sz w:val="28"/>
                <w:szCs w:val="28"/>
              </w:rPr>
              <w:t>nternet Society India Chenna</w:t>
            </w:r>
            <w:r>
              <w:rPr>
                <w:sz w:val="28"/>
                <w:szCs w:val="28"/>
              </w:rPr>
              <w:t>i)</w:t>
            </w:r>
          </w:p>
        </w:tc>
        <w:tc>
          <w:tcPr>
            <w:tcW w:w="2785" w:type="dxa"/>
          </w:tcPr>
          <w:p w14:paraId="688D5AC4" w14:textId="77777777" w:rsidR="00CF2823" w:rsidRDefault="00CF2823" w:rsidP="00CF2823">
            <w:r w:rsidRPr="00396DB7">
              <w:rPr>
                <w:sz w:val="28"/>
                <w:szCs w:val="28"/>
              </w:rPr>
              <w:t>Yes/No</w:t>
            </w:r>
          </w:p>
        </w:tc>
      </w:tr>
      <w:tr w:rsidR="00CF2823" w14:paraId="534F56E7" w14:textId="77777777" w:rsidTr="00DA3F06">
        <w:tc>
          <w:tcPr>
            <w:tcW w:w="8635" w:type="dxa"/>
          </w:tcPr>
          <w:p w14:paraId="5BA28901" w14:textId="77777777" w:rsidR="00CF2823" w:rsidRDefault="00CF2823" w:rsidP="00CF2823">
            <w:pPr>
              <w:rPr>
                <w:sz w:val="28"/>
                <w:szCs w:val="28"/>
              </w:rPr>
            </w:pPr>
            <w:r>
              <w:rPr>
                <w:sz w:val="28"/>
                <w:szCs w:val="28"/>
              </w:rPr>
              <w:t>Language of purpose is too vague and does not specify what is involved in “[m]</w:t>
            </w:r>
            <w:proofErr w:type="spellStart"/>
            <w:r w:rsidRPr="00CF2823">
              <w:rPr>
                <w:sz w:val="28"/>
                <w:szCs w:val="28"/>
              </w:rPr>
              <w:t>aintaining</w:t>
            </w:r>
            <w:proofErr w:type="spellEnd"/>
            <w:r w:rsidRPr="00CF2823">
              <w:rPr>
                <w:sz w:val="28"/>
                <w:szCs w:val="28"/>
              </w:rPr>
              <w:t xml:space="preserve"> the security, stability, and resiliency of the Domain Name System in accordance with ICANN’s mission</w:t>
            </w:r>
            <w:r>
              <w:rPr>
                <w:sz w:val="28"/>
                <w:szCs w:val="28"/>
              </w:rPr>
              <w:t xml:space="preserve">”. </w:t>
            </w:r>
          </w:p>
        </w:tc>
        <w:tc>
          <w:tcPr>
            <w:tcW w:w="2970" w:type="dxa"/>
          </w:tcPr>
          <w:p w14:paraId="24A53707" w14:textId="77777777" w:rsidR="00CF2823" w:rsidRDefault="00CF2823" w:rsidP="00CF2823">
            <w:pPr>
              <w:rPr>
                <w:sz w:val="28"/>
                <w:szCs w:val="28"/>
              </w:rPr>
            </w:pPr>
            <w:r>
              <w:rPr>
                <w:sz w:val="28"/>
                <w:szCs w:val="28"/>
              </w:rPr>
              <w:t>27</w:t>
            </w:r>
          </w:p>
          <w:p w14:paraId="056EE07B" w14:textId="0B1A8484" w:rsidR="008D062D" w:rsidRDefault="00E567AC" w:rsidP="00CF2823">
            <w:pPr>
              <w:rPr>
                <w:sz w:val="28"/>
                <w:szCs w:val="28"/>
              </w:rPr>
            </w:pPr>
            <w:r>
              <w:rPr>
                <w:sz w:val="28"/>
                <w:szCs w:val="28"/>
              </w:rPr>
              <w:t>(</w:t>
            </w:r>
            <w:r w:rsidR="008D062D">
              <w:rPr>
                <w:sz w:val="28"/>
                <w:szCs w:val="28"/>
              </w:rPr>
              <w:t>NCSG</w:t>
            </w:r>
            <w:r>
              <w:rPr>
                <w:sz w:val="28"/>
                <w:szCs w:val="28"/>
              </w:rPr>
              <w:t>)</w:t>
            </w:r>
          </w:p>
        </w:tc>
        <w:tc>
          <w:tcPr>
            <w:tcW w:w="2785" w:type="dxa"/>
          </w:tcPr>
          <w:p w14:paraId="09A67E7E" w14:textId="77777777" w:rsidR="00CF2823" w:rsidRPr="00396DB7" w:rsidRDefault="00CF2823" w:rsidP="00CF2823">
            <w:pPr>
              <w:rPr>
                <w:sz w:val="28"/>
                <w:szCs w:val="28"/>
              </w:rPr>
            </w:pPr>
            <w:r w:rsidRPr="00396DB7">
              <w:rPr>
                <w:sz w:val="28"/>
                <w:szCs w:val="28"/>
              </w:rPr>
              <w:t>Yes/No</w:t>
            </w:r>
          </w:p>
        </w:tc>
      </w:tr>
    </w:tbl>
    <w:p w14:paraId="25C5BF6D" w14:textId="77777777" w:rsidR="00D524F9" w:rsidRDefault="00D524F9" w:rsidP="00D524F9">
      <w:pPr>
        <w:rPr>
          <w:b/>
          <w:sz w:val="28"/>
          <w:szCs w:val="28"/>
        </w:rPr>
      </w:pPr>
    </w:p>
    <w:p w14:paraId="2E4D7477" w14:textId="77777777" w:rsidR="00D524F9" w:rsidRDefault="00D524F9" w:rsidP="00D524F9">
      <w:pPr>
        <w:rPr>
          <w:b/>
          <w:sz w:val="28"/>
          <w:szCs w:val="28"/>
        </w:rPr>
      </w:pPr>
    </w:p>
    <w:p w14:paraId="6C79D816" w14:textId="77777777" w:rsidR="00D524F9" w:rsidRPr="001A4D87" w:rsidRDefault="00D524F9" w:rsidP="00D524F9">
      <w:pPr>
        <w:rPr>
          <w:b/>
          <w:sz w:val="28"/>
          <w:szCs w:val="28"/>
        </w:rPr>
      </w:pPr>
    </w:p>
    <w:p w14:paraId="1963C28C" w14:textId="77777777" w:rsidR="00D524F9" w:rsidRDefault="00D524F9" w:rsidP="00D524F9"/>
    <w:p w14:paraId="232B46C2" w14:textId="77777777" w:rsidR="00D524F9" w:rsidRDefault="00D524F9" w:rsidP="00D524F9"/>
    <w:p w14:paraId="4E464868" w14:textId="77777777" w:rsidR="00D524F9" w:rsidRDefault="00D524F9" w:rsidP="00D524F9"/>
    <w:p w14:paraId="7954A601"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4F9"/>
    <w:rsid w:val="00371E19"/>
    <w:rsid w:val="00404709"/>
    <w:rsid w:val="004076B0"/>
    <w:rsid w:val="00440B65"/>
    <w:rsid w:val="004D1553"/>
    <w:rsid w:val="008D062D"/>
    <w:rsid w:val="008D7C7C"/>
    <w:rsid w:val="00CF2823"/>
    <w:rsid w:val="00D50355"/>
    <w:rsid w:val="00D524F9"/>
    <w:rsid w:val="00DC58CE"/>
    <w:rsid w:val="00E56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A066DE"/>
  <w15:chartTrackingRefBased/>
  <w15:docId w15:val="{C5AC1616-53DD-B64D-95B0-C7108426B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524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2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7946">
      <w:bodyDiv w:val="1"/>
      <w:marLeft w:val="0"/>
      <w:marRight w:val="0"/>
      <w:marTop w:val="0"/>
      <w:marBottom w:val="0"/>
      <w:divBdr>
        <w:top w:val="none" w:sz="0" w:space="0" w:color="auto"/>
        <w:left w:val="none" w:sz="0" w:space="0" w:color="auto"/>
        <w:bottom w:val="none" w:sz="0" w:space="0" w:color="auto"/>
        <w:right w:val="none" w:sz="0" w:space="0" w:color="auto"/>
      </w:divBdr>
    </w:div>
    <w:div w:id="280690836">
      <w:bodyDiv w:val="1"/>
      <w:marLeft w:val="0"/>
      <w:marRight w:val="0"/>
      <w:marTop w:val="0"/>
      <w:marBottom w:val="0"/>
      <w:divBdr>
        <w:top w:val="none" w:sz="0" w:space="0" w:color="auto"/>
        <w:left w:val="none" w:sz="0" w:space="0" w:color="auto"/>
        <w:bottom w:val="none" w:sz="0" w:space="0" w:color="auto"/>
        <w:right w:val="none" w:sz="0" w:space="0" w:color="auto"/>
      </w:divBdr>
    </w:div>
    <w:div w:id="376466229">
      <w:bodyDiv w:val="1"/>
      <w:marLeft w:val="0"/>
      <w:marRight w:val="0"/>
      <w:marTop w:val="0"/>
      <w:marBottom w:val="0"/>
      <w:divBdr>
        <w:top w:val="none" w:sz="0" w:space="0" w:color="auto"/>
        <w:left w:val="none" w:sz="0" w:space="0" w:color="auto"/>
        <w:bottom w:val="none" w:sz="0" w:space="0" w:color="auto"/>
        <w:right w:val="none" w:sz="0" w:space="0" w:color="auto"/>
      </w:divBdr>
    </w:div>
    <w:div w:id="513113300">
      <w:bodyDiv w:val="1"/>
      <w:marLeft w:val="0"/>
      <w:marRight w:val="0"/>
      <w:marTop w:val="0"/>
      <w:marBottom w:val="0"/>
      <w:divBdr>
        <w:top w:val="none" w:sz="0" w:space="0" w:color="auto"/>
        <w:left w:val="none" w:sz="0" w:space="0" w:color="auto"/>
        <w:bottom w:val="none" w:sz="0" w:space="0" w:color="auto"/>
        <w:right w:val="none" w:sz="0" w:space="0" w:color="auto"/>
      </w:divBdr>
    </w:div>
    <w:div w:id="542400836">
      <w:bodyDiv w:val="1"/>
      <w:marLeft w:val="0"/>
      <w:marRight w:val="0"/>
      <w:marTop w:val="0"/>
      <w:marBottom w:val="0"/>
      <w:divBdr>
        <w:top w:val="none" w:sz="0" w:space="0" w:color="auto"/>
        <w:left w:val="none" w:sz="0" w:space="0" w:color="auto"/>
        <w:bottom w:val="none" w:sz="0" w:space="0" w:color="auto"/>
        <w:right w:val="none" w:sz="0" w:space="0" w:color="auto"/>
      </w:divBdr>
    </w:div>
    <w:div w:id="1187670590">
      <w:bodyDiv w:val="1"/>
      <w:marLeft w:val="0"/>
      <w:marRight w:val="0"/>
      <w:marTop w:val="0"/>
      <w:marBottom w:val="0"/>
      <w:divBdr>
        <w:top w:val="none" w:sz="0" w:space="0" w:color="auto"/>
        <w:left w:val="none" w:sz="0" w:space="0" w:color="auto"/>
        <w:bottom w:val="none" w:sz="0" w:space="0" w:color="auto"/>
        <w:right w:val="none" w:sz="0" w:space="0" w:color="auto"/>
      </w:divBdr>
    </w:div>
    <w:div w:id="1308318012">
      <w:bodyDiv w:val="1"/>
      <w:marLeft w:val="0"/>
      <w:marRight w:val="0"/>
      <w:marTop w:val="0"/>
      <w:marBottom w:val="0"/>
      <w:divBdr>
        <w:top w:val="none" w:sz="0" w:space="0" w:color="auto"/>
        <w:left w:val="none" w:sz="0" w:space="0" w:color="auto"/>
        <w:bottom w:val="none" w:sz="0" w:space="0" w:color="auto"/>
        <w:right w:val="none" w:sz="0" w:space="0" w:color="auto"/>
      </w:divBdr>
    </w:div>
    <w:div w:id="1319656267">
      <w:bodyDiv w:val="1"/>
      <w:marLeft w:val="0"/>
      <w:marRight w:val="0"/>
      <w:marTop w:val="0"/>
      <w:marBottom w:val="0"/>
      <w:divBdr>
        <w:top w:val="none" w:sz="0" w:space="0" w:color="auto"/>
        <w:left w:val="none" w:sz="0" w:space="0" w:color="auto"/>
        <w:bottom w:val="none" w:sz="0" w:space="0" w:color="auto"/>
        <w:right w:val="none" w:sz="0" w:space="0" w:color="auto"/>
      </w:divBdr>
    </w:div>
    <w:div w:id="1638682674">
      <w:bodyDiv w:val="1"/>
      <w:marLeft w:val="0"/>
      <w:marRight w:val="0"/>
      <w:marTop w:val="0"/>
      <w:marBottom w:val="0"/>
      <w:divBdr>
        <w:top w:val="none" w:sz="0" w:space="0" w:color="auto"/>
        <w:left w:val="none" w:sz="0" w:space="0" w:color="auto"/>
        <w:bottom w:val="none" w:sz="0" w:space="0" w:color="auto"/>
        <w:right w:val="none" w:sz="0" w:space="0" w:color="auto"/>
      </w:divBdr>
    </w:div>
    <w:div w:id="204389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6</cp:revision>
  <dcterms:created xsi:type="dcterms:W3CDTF">2019-01-04T15:16:00Z</dcterms:created>
  <dcterms:modified xsi:type="dcterms:W3CDTF">2019-01-15T15:22:00Z</dcterms:modified>
</cp:coreProperties>
</file>