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8BFF93" w14:textId="77777777" w:rsidR="00151618" w:rsidRPr="001A4D87" w:rsidRDefault="00151618" w:rsidP="00151618">
      <w:pPr>
        <w:rPr>
          <w:b/>
          <w:sz w:val="32"/>
          <w:szCs w:val="32"/>
        </w:rPr>
      </w:pPr>
      <w:r>
        <w:rPr>
          <w:b/>
          <w:sz w:val="32"/>
          <w:szCs w:val="32"/>
        </w:rPr>
        <w:t>PURPOSE 1</w:t>
      </w:r>
    </w:p>
    <w:p w14:paraId="76D88B0F" w14:textId="77777777" w:rsidR="00151618" w:rsidRDefault="00151618" w:rsidP="00151618"/>
    <w:p w14:paraId="6C5BA46D" w14:textId="77777777" w:rsidR="00151618" w:rsidRPr="00151618" w:rsidRDefault="00151618" w:rsidP="00151618">
      <w:pPr>
        <w:pBdr>
          <w:top w:val="single" w:sz="4" w:space="1" w:color="auto"/>
          <w:left w:val="single" w:sz="4" w:space="4" w:color="auto"/>
          <w:bottom w:val="single" w:sz="4" w:space="1" w:color="auto"/>
          <w:right w:val="single" w:sz="4" w:space="4" w:color="auto"/>
        </w:pBdr>
        <w:rPr>
          <w:sz w:val="28"/>
          <w:szCs w:val="28"/>
        </w:rPr>
      </w:pPr>
      <w:r w:rsidRPr="00151618">
        <w:rPr>
          <w:sz w:val="28"/>
          <w:szCs w:val="28"/>
        </w:rPr>
        <w:t>As subject to Registry and Registrar terms, con</w:t>
      </w:r>
      <w:r>
        <w:rPr>
          <w:sz w:val="28"/>
          <w:szCs w:val="28"/>
        </w:rPr>
        <w:t xml:space="preserve">ditions and policies, and ICANN </w:t>
      </w:r>
      <w:r w:rsidRPr="00151618">
        <w:rPr>
          <w:sz w:val="28"/>
          <w:szCs w:val="28"/>
        </w:rPr>
        <w:t>Consensus Policies:</w:t>
      </w:r>
    </w:p>
    <w:p w14:paraId="12BFCBAF" w14:textId="77777777" w:rsidR="00151618" w:rsidRPr="00151618" w:rsidRDefault="00151618" w:rsidP="00151618">
      <w:pPr>
        <w:pBdr>
          <w:top w:val="single" w:sz="4" w:space="1" w:color="auto"/>
          <w:left w:val="single" w:sz="4" w:space="4" w:color="auto"/>
          <w:bottom w:val="single" w:sz="4" w:space="1" w:color="auto"/>
          <w:right w:val="single" w:sz="4" w:space="4" w:color="auto"/>
        </w:pBdr>
        <w:rPr>
          <w:sz w:val="28"/>
          <w:szCs w:val="28"/>
        </w:rPr>
      </w:pPr>
      <w:r w:rsidRPr="00151618">
        <w:rPr>
          <w:sz w:val="28"/>
          <w:szCs w:val="28"/>
        </w:rPr>
        <w:t>• To establish the rights of a Registered Name Holder in a Registered Name;</w:t>
      </w:r>
    </w:p>
    <w:p w14:paraId="62F5A335" w14:textId="77777777" w:rsidR="00151618" w:rsidRPr="00151618" w:rsidRDefault="00151618" w:rsidP="00151618">
      <w:pPr>
        <w:pBdr>
          <w:top w:val="single" w:sz="4" w:space="1" w:color="auto"/>
          <w:left w:val="single" w:sz="4" w:space="4" w:color="auto"/>
          <w:bottom w:val="single" w:sz="4" w:space="1" w:color="auto"/>
          <w:right w:val="single" w:sz="4" w:space="4" w:color="auto"/>
        </w:pBdr>
        <w:rPr>
          <w:sz w:val="28"/>
          <w:szCs w:val="28"/>
        </w:rPr>
      </w:pPr>
      <w:r w:rsidRPr="00151618">
        <w:rPr>
          <w:sz w:val="28"/>
          <w:szCs w:val="28"/>
        </w:rPr>
        <w:t>• To ensure that a Registered Name Holder may exercise its rights in the use</w:t>
      </w:r>
    </w:p>
    <w:p w14:paraId="04830FA9" w14:textId="77777777" w:rsidR="00151618" w:rsidRPr="00151618" w:rsidRDefault="00151618" w:rsidP="00151618">
      <w:pPr>
        <w:pBdr>
          <w:top w:val="single" w:sz="4" w:space="1" w:color="auto"/>
          <w:left w:val="single" w:sz="4" w:space="4" w:color="auto"/>
          <w:bottom w:val="single" w:sz="4" w:space="1" w:color="auto"/>
          <w:right w:val="single" w:sz="4" w:space="4" w:color="auto"/>
        </w:pBdr>
        <w:rPr>
          <w:sz w:val="28"/>
          <w:szCs w:val="28"/>
        </w:rPr>
      </w:pPr>
      <w:r w:rsidRPr="00151618">
        <w:rPr>
          <w:sz w:val="28"/>
          <w:szCs w:val="28"/>
        </w:rPr>
        <w:t>and disposition of the Registered Name; and</w:t>
      </w:r>
    </w:p>
    <w:p w14:paraId="32FC6CFC" w14:textId="77777777" w:rsidR="00151618" w:rsidRDefault="00151618" w:rsidP="00151618">
      <w:pPr>
        <w:pBdr>
          <w:top w:val="single" w:sz="4" w:space="1" w:color="auto"/>
          <w:left w:val="single" w:sz="4" w:space="4" w:color="auto"/>
          <w:bottom w:val="single" w:sz="4" w:space="1" w:color="auto"/>
          <w:right w:val="single" w:sz="4" w:space="4" w:color="auto"/>
        </w:pBdr>
        <w:rPr>
          <w:b/>
          <w:sz w:val="28"/>
          <w:szCs w:val="28"/>
        </w:rPr>
      </w:pPr>
      <w:r w:rsidRPr="00151618">
        <w:rPr>
          <w:sz w:val="28"/>
          <w:szCs w:val="28"/>
        </w:rPr>
        <w:t>• To activate a registered name and allocate it to a Registered Name Holder;</w:t>
      </w:r>
    </w:p>
    <w:p w14:paraId="18EDC7EE" w14:textId="7EF81343" w:rsidR="00151618" w:rsidRDefault="00151618" w:rsidP="00151618">
      <w:pPr>
        <w:rPr>
          <w:b/>
          <w:sz w:val="28"/>
          <w:szCs w:val="28"/>
        </w:rPr>
      </w:pPr>
    </w:p>
    <w:p w14:paraId="632BC369" w14:textId="77777777" w:rsidR="00236F48" w:rsidRPr="00667710" w:rsidRDefault="00236F48" w:rsidP="00236F48">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0E07FAC3" w14:textId="77777777" w:rsidR="00236F48" w:rsidRDefault="00236F48" w:rsidP="00151618">
      <w:pPr>
        <w:rPr>
          <w:b/>
          <w:sz w:val="28"/>
          <w:szCs w:val="28"/>
        </w:rPr>
      </w:pPr>
      <w:bookmarkStart w:id="0" w:name="_GoBack"/>
      <w:bookmarkEnd w:id="0"/>
    </w:p>
    <w:p w14:paraId="751BBAC4" w14:textId="77777777" w:rsidR="00151618" w:rsidRDefault="00151618" w:rsidP="00151618">
      <w:pPr>
        <w:rPr>
          <w:b/>
          <w:sz w:val="28"/>
          <w:szCs w:val="28"/>
        </w:rPr>
      </w:pPr>
      <w:r>
        <w:rPr>
          <w:b/>
          <w:sz w:val="28"/>
          <w:szCs w:val="28"/>
        </w:rPr>
        <w:t>Noted Concerns</w:t>
      </w:r>
    </w:p>
    <w:p w14:paraId="43D8F214" w14:textId="77777777" w:rsidR="00151618" w:rsidRDefault="00151618" w:rsidP="00151618">
      <w:pPr>
        <w:rPr>
          <w:b/>
          <w:sz w:val="28"/>
          <w:szCs w:val="28"/>
        </w:rPr>
      </w:pPr>
    </w:p>
    <w:tbl>
      <w:tblPr>
        <w:tblStyle w:val="TableGrid"/>
        <w:tblW w:w="0" w:type="auto"/>
        <w:tblLook w:val="04A0" w:firstRow="1" w:lastRow="0" w:firstColumn="1" w:lastColumn="0" w:noHBand="0" w:noVBand="1"/>
      </w:tblPr>
      <w:tblGrid>
        <w:gridCol w:w="8635"/>
        <w:gridCol w:w="2970"/>
        <w:gridCol w:w="2785"/>
      </w:tblGrid>
      <w:tr w:rsidR="00151618" w14:paraId="2A3F8EAB" w14:textId="77777777" w:rsidTr="00DA3F06">
        <w:tc>
          <w:tcPr>
            <w:tcW w:w="8635" w:type="dxa"/>
            <w:shd w:val="clear" w:color="auto" w:fill="F7CAAC" w:themeFill="accent2" w:themeFillTint="66"/>
          </w:tcPr>
          <w:p w14:paraId="74CBD349" w14:textId="77777777" w:rsidR="00151618" w:rsidRDefault="00151618" w:rsidP="00DA3F06">
            <w:pPr>
              <w:rPr>
                <w:b/>
                <w:sz w:val="28"/>
                <w:szCs w:val="28"/>
              </w:rPr>
            </w:pPr>
            <w:r>
              <w:rPr>
                <w:b/>
                <w:sz w:val="28"/>
                <w:szCs w:val="28"/>
              </w:rPr>
              <w:t>Concern</w:t>
            </w:r>
          </w:p>
        </w:tc>
        <w:tc>
          <w:tcPr>
            <w:tcW w:w="2970" w:type="dxa"/>
            <w:shd w:val="clear" w:color="auto" w:fill="F7CAAC" w:themeFill="accent2" w:themeFillTint="66"/>
          </w:tcPr>
          <w:p w14:paraId="4A75988C" w14:textId="77777777" w:rsidR="00151618" w:rsidRDefault="00151618" w:rsidP="00DA3F06">
            <w:pPr>
              <w:rPr>
                <w:b/>
                <w:sz w:val="28"/>
                <w:szCs w:val="28"/>
              </w:rPr>
            </w:pPr>
            <w:r>
              <w:rPr>
                <w:b/>
                <w:sz w:val="28"/>
                <w:szCs w:val="28"/>
              </w:rPr>
              <w:t>Corresponding PCRT Comment #</w:t>
            </w:r>
          </w:p>
        </w:tc>
        <w:tc>
          <w:tcPr>
            <w:tcW w:w="2785" w:type="dxa"/>
            <w:shd w:val="clear" w:color="auto" w:fill="F7CAAC" w:themeFill="accent2" w:themeFillTint="66"/>
          </w:tcPr>
          <w:p w14:paraId="1C6A049C" w14:textId="77777777" w:rsidR="00151618" w:rsidRDefault="00151618" w:rsidP="00DA3F06">
            <w:pPr>
              <w:rPr>
                <w:b/>
                <w:sz w:val="28"/>
                <w:szCs w:val="28"/>
              </w:rPr>
            </w:pPr>
            <w:r>
              <w:rPr>
                <w:b/>
                <w:sz w:val="28"/>
                <w:szCs w:val="28"/>
              </w:rPr>
              <w:t>Further Discussion Required?</w:t>
            </w:r>
          </w:p>
        </w:tc>
      </w:tr>
      <w:tr w:rsidR="00151618" w14:paraId="1662F0D4" w14:textId="77777777" w:rsidTr="00DA3F06">
        <w:tc>
          <w:tcPr>
            <w:tcW w:w="8635" w:type="dxa"/>
          </w:tcPr>
          <w:p w14:paraId="63510039" w14:textId="77777777" w:rsidR="00151618" w:rsidRPr="007950A5" w:rsidRDefault="00151618" w:rsidP="00DA3F06">
            <w:pPr>
              <w:rPr>
                <w:sz w:val="28"/>
                <w:szCs w:val="28"/>
              </w:rPr>
            </w:pPr>
            <w:r>
              <w:rPr>
                <w:sz w:val="28"/>
                <w:szCs w:val="28"/>
              </w:rPr>
              <w:t>T</w:t>
            </w:r>
            <w:r w:rsidRPr="00151618">
              <w:rPr>
                <w:sz w:val="28"/>
                <w:szCs w:val="28"/>
              </w:rPr>
              <w:t>he w</w:t>
            </w:r>
            <w:r w:rsidR="0066352B">
              <w:rPr>
                <w:sz w:val="28"/>
                <w:szCs w:val="28"/>
              </w:rPr>
              <w:t xml:space="preserve">orkbook for purpose 1 does not </w:t>
            </w:r>
            <w:r w:rsidRPr="00151618">
              <w:rPr>
                <w:sz w:val="28"/>
                <w:szCs w:val="28"/>
              </w:rPr>
              <w:t>note the transfer of data from the Registrar to the Registry</w:t>
            </w:r>
            <w:r>
              <w:rPr>
                <w:sz w:val="28"/>
                <w:szCs w:val="28"/>
              </w:rPr>
              <w:t xml:space="preserve"> – this should be reviewed to ensure it was not an oversight.</w:t>
            </w:r>
          </w:p>
        </w:tc>
        <w:tc>
          <w:tcPr>
            <w:tcW w:w="2970" w:type="dxa"/>
          </w:tcPr>
          <w:p w14:paraId="665CF4F7" w14:textId="77777777" w:rsidR="00151618" w:rsidRDefault="00151618" w:rsidP="00DA3F06">
            <w:pPr>
              <w:rPr>
                <w:sz w:val="28"/>
                <w:szCs w:val="28"/>
              </w:rPr>
            </w:pPr>
            <w:r>
              <w:rPr>
                <w:sz w:val="28"/>
                <w:szCs w:val="28"/>
              </w:rPr>
              <w:t>5</w:t>
            </w:r>
            <w:r w:rsidR="00495641">
              <w:rPr>
                <w:sz w:val="28"/>
                <w:szCs w:val="28"/>
              </w:rPr>
              <w:t xml:space="preserve"> </w:t>
            </w:r>
          </w:p>
          <w:p w14:paraId="35827D33" w14:textId="1874643A" w:rsidR="00495641" w:rsidRPr="00362929" w:rsidRDefault="007175D1" w:rsidP="00DA3F06">
            <w:pPr>
              <w:rPr>
                <w:sz w:val="28"/>
                <w:szCs w:val="28"/>
              </w:rPr>
            </w:pPr>
            <w:r>
              <w:rPr>
                <w:sz w:val="28"/>
                <w:szCs w:val="28"/>
              </w:rPr>
              <w:t>(</w:t>
            </w:r>
            <w:r w:rsidR="00495641">
              <w:rPr>
                <w:sz w:val="28"/>
                <w:szCs w:val="28"/>
              </w:rPr>
              <w:t>i2Coalition</w:t>
            </w:r>
            <w:r>
              <w:rPr>
                <w:sz w:val="28"/>
                <w:szCs w:val="28"/>
              </w:rPr>
              <w:t>)</w:t>
            </w:r>
          </w:p>
        </w:tc>
        <w:tc>
          <w:tcPr>
            <w:tcW w:w="2785" w:type="dxa"/>
          </w:tcPr>
          <w:p w14:paraId="6A09D5FB" w14:textId="77777777" w:rsidR="00151618" w:rsidRPr="00362929" w:rsidRDefault="00151618" w:rsidP="00DA3F06">
            <w:pPr>
              <w:rPr>
                <w:sz w:val="28"/>
                <w:szCs w:val="28"/>
              </w:rPr>
            </w:pPr>
            <w:r w:rsidRPr="00362929">
              <w:rPr>
                <w:sz w:val="28"/>
                <w:szCs w:val="28"/>
              </w:rPr>
              <w:t>Yes/No</w:t>
            </w:r>
          </w:p>
        </w:tc>
      </w:tr>
      <w:tr w:rsidR="0066352B" w14:paraId="51A78CBC" w14:textId="77777777" w:rsidTr="00DA3F06">
        <w:tc>
          <w:tcPr>
            <w:tcW w:w="8635" w:type="dxa"/>
          </w:tcPr>
          <w:p w14:paraId="6CBDA50B" w14:textId="77777777" w:rsidR="0066352B" w:rsidRDefault="00412441" w:rsidP="00DA3F06">
            <w:pPr>
              <w:rPr>
                <w:sz w:val="28"/>
                <w:szCs w:val="28"/>
              </w:rPr>
            </w:pPr>
            <w:r>
              <w:rPr>
                <w:sz w:val="28"/>
                <w:szCs w:val="28"/>
              </w:rPr>
              <w:t>The purpose should also include the right of the RNH to transfer and recover its domain name(s).</w:t>
            </w:r>
          </w:p>
        </w:tc>
        <w:tc>
          <w:tcPr>
            <w:tcW w:w="2970" w:type="dxa"/>
          </w:tcPr>
          <w:p w14:paraId="5AB2CF1A" w14:textId="77777777" w:rsidR="0066352B" w:rsidRDefault="00412441" w:rsidP="00DA3F06">
            <w:pPr>
              <w:rPr>
                <w:sz w:val="28"/>
                <w:szCs w:val="28"/>
              </w:rPr>
            </w:pPr>
            <w:r>
              <w:rPr>
                <w:sz w:val="28"/>
                <w:szCs w:val="28"/>
              </w:rPr>
              <w:t>6</w:t>
            </w:r>
          </w:p>
          <w:p w14:paraId="42718165" w14:textId="5C8289B2" w:rsidR="00495641" w:rsidRDefault="007175D1" w:rsidP="00DA3F06">
            <w:pPr>
              <w:rPr>
                <w:sz w:val="28"/>
                <w:szCs w:val="28"/>
              </w:rPr>
            </w:pPr>
            <w:r>
              <w:rPr>
                <w:sz w:val="28"/>
                <w:szCs w:val="28"/>
              </w:rPr>
              <w:t>(</w:t>
            </w:r>
            <w:r w:rsidR="00495641">
              <w:rPr>
                <w:sz w:val="28"/>
                <w:szCs w:val="28"/>
              </w:rPr>
              <w:t>Leap of Faith Services</w:t>
            </w:r>
            <w:r>
              <w:rPr>
                <w:sz w:val="28"/>
                <w:szCs w:val="28"/>
              </w:rPr>
              <w:t>)</w:t>
            </w:r>
          </w:p>
        </w:tc>
        <w:tc>
          <w:tcPr>
            <w:tcW w:w="2785" w:type="dxa"/>
          </w:tcPr>
          <w:p w14:paraId="177DD6D6" w14:textId="77777777" w:rsidR="0066352B" w:rsidRPr="00362929" w:rsidRDefault="00412441" w:rsidP="00DA3F06">
            <w:pPr>
              <w:rPr>
                <w:sz w:val="28"/>
                <w:szCs w:val="28"/>
              </w:rPr>
            </w:pPr>
            <w:r>
              <w:rPr>
                <w:sz w:val="28"/>
                <w:szCs w:val="28"/>
              </w:rPr>
              <w:t>Yes/No</w:t>
            </w:r>
          </w:p>
        </w:tc>
      </w:tr>
      <w:tr w:rsidR="0066352B" w14:paraId="3CACCF48" w14:textId="77777777" w:rsidTr="00DA3F06">
        <w:tc>
          <w:tcPr>
            <w:tcW w:w="8635" w:type="dxa"/>
          </w:tcPr>
          <w:p w14:paraId="23CEDC98" w14:textId="77777777" w:rsidR="0066352B" w:rsidRDefault="00412441" w:rsidP="00DA3F06">
            <w:pPr>
              <w:rPr>
                <w:sz w:val="28"/>
                <w:szCs w:val="28"/>
              </w:rPr>
            </w:pPr>
            <w:r>
              <w:rPr>
                <w:sz w:val="28"/>
                <w:szCs w:val="28"/>
              </w:rPr>
              <w:t>The term activate is ambiguous – what does this mean?</w:t>
            </w:r>
          </w:p>
        </w:tc>
        <w:tc>
          <w:tcPr>
            <w:tcW w:w="2970" w:type="dxa"/>
          </w:tcPr>
          <w:p w14:paraId="47141554" w14:textId="77777777" w:rsidR="0066352B" w:rsidRDefault="00412441" w:rsidP="00DA3F06">
            <w:pPr>
              <w:rPr>
                <w:sz w:val="28"/>
                <w:szCs w:val="28"/>
              </w:rPr>
            </w:pPr>
            <w:r>
              <w:rPr>
                <w:sz w:val="28"/>
                <w:szCs w:val="28"/>
              </w:rPr>
              <w:t>7</w:t>
            </w:r>
          </w:p>
          <w:p w14:paraId="51F173F5" w14:textId="7C2664AC" w:rsidR="00495641" w:rsidRDefault="00495641" w:rsidP="00DA3F06">
            <w:pPr>
              <w:rPr>
                <w:sz w:val="28"/>
                <w:szCs w:val="28"/>
              </w:rPr>
            </w:pPr>
            <w:proofErr w:type="spellStart"/>
            <w:r>
              <w:rPr>
                <w:sz w:val="28"/>
                <w:szCs w:val="28"/>
              </w:rPr>
              <w:t>iThreat</w:t>
            </w:r>
            <w:proofErr w:type="spellEnd"/>
            <w:r>
              <w:rPr>
                <w:sz w:val="28"/>
                <w:szCs w:val="28"/>
              </w:rPr>
              <w:t xml:space="preserve"> Cyber Group</w:t>
            </w:r>
          </w:p>
        </w:tc>
        <w:tc>
          <w:tcPr>
            <w:tcW w:w="2785" w:type="dxa"/>
          </w:tcPr>
          <w:p w14:paraId="36FA5572" w14:textId="77777777" w:rsidR="0066352B" w:rsidRPr="00362929" w:rsidRDefault="00412441" w:rsidP="00DA3F06">
            <w:pPr>
              <w:rPr>
                <w:sz w:val="28"/>
                <w:szCs w:val="28"/>
              </w:rPr>
            </w:pPr>
            <w:r>
              <w:rPr>
                <w:sz w:val="28"/>
                <w:szCs w:val="28"/>
              </w:rPr>
              <w:t>Yes/No</w:t>
            </w:r>
          </w:p>
        </w:tc>
      </w:tr>
      <w:tr w:rsidR="00412441" w14:paraId="1BA98AF8" w14:textId="77777777" w:rsidTr="00DA3F06">
        <w:tc>
          <w:tcPr>
            <w:tcW w:w="8635" w:type="dxa"/>
          </w:tcPr>
          <w:p w14:paraId="4C98C0F7" w14:textId="77777777" w:rsidR="00412441" w:rsidRDefault="00412441" w:rsidP="00412441">
            <w:pPr>
              <w:rPr>
                <w:sz w:val="28"/>
                <w:szCs w:val="28"/>
              </w:rPr>
            </w:pPr>
            <w:r>
              <w:rPr>
                <w:sz w:val="28"/>
                <w:szCs w:val="28"/>
              </w:rPr>
              <w:t>The purpose should also reference the obligations of the RNH, not just the rights.</w:t>
            </w:r>
          </w:p>
        </w:tc>
        <w:tc>
          <w:tcPr>
            <w:tcW w:w="2970" w:type="dxa"/>
          </w:tcPr>
          <w:p w14:paraId="285E8ACA" w14:textId="77777777" w:rsidR="00412441" w:rsidRDefault="00412441" w:rsidP="00412441">
            <w:pPr>
              <w:rPr>
                <w:sz w:val="28"/>
                <w:szCs w:val="28"/>
              </w:rPr>
            </w:pPr>
            <w:r>
              <w:rPr>
                <w:sz w:val="28"/>
                <w:szCs w:val="28"/>
              </w:rPr>
              <w:t>8, 9, 10, 11, 13, 14</w:t>
            </w:r>
          </w:p>
          <w:p w14:paraId="1B2FAC55" w14:textId="0870B847" w:rsidR="00495641" w:rsidRDefault="007175D1" w:rsidP="00412441">
            <w:pPr>
              <w:rPr>
                <w:sz w:val="28"/>
                <w:szCs w:val="28"/>
              </w:rPr>
            </w:pPr>
            <w:r>
              <w:rPr>
                <w:sz w:val="28"/>
                <w:szCs w:val="28"/>
              </w:rPr>
              <w:t>(</w:t>
            </w:r>
            <w:r w:rsidR="00495641">
              <w:rPr>
                <w:sz w:val="28"/>
                <w:szCs w:val="28"/>
              </w:rPr>
              <w:t>INTA, IPC, MarkMonitor, Coalition for Online Accountability, Microsoft</w:t>
            </w:r>
            <w:r>
              <w:rPr>
                <w:sz w:val="28"/>
                <w:szCs w:val="28"/>
              </w:rPr>
              <w:t>)</w:t>
            </w:r>
          </w:p>
        </w:tc>
        <w:tc>
          <w:tcPr>
            <w:tcW w:w="2785" w:type="dxa"/>
          </w:tcPr>
          <w:p w14:paraId="0EF3023D" w14:textId="77777777" w:rsidR="00412441" w:rsidRPr="00362929" w:rsidRDefault="00412441" w:rsidP="00412441">
            <w:pPr>
              <w:rPr>
                <w:sz w:val="28"/>
                <w:szCs w:val="28"/>
              </w:rPr>
            </w:pPr>
            <w:r>
              <w:rPr>
                <w:sz w:val="28"/>
                <w:szCs w:val="28"/>
              </w:rPr>
              <w:t>Yes/No</w:t>
            </w:r>
          </w:p>
        </w:tc>
      </w:tr>
      <w:tr w:rsidR="00412441" w14:paraId="6F51E9EE" w14:textId="77777777" w:rsidTr="00DA3F06">
        <w:tc>
          <w:tcPr>
            <w:tcW w:w="8635" w:type="dxa"/>
          </w:tcPr>
          <w:p w14:paraId="52451765" w14:textId="77777777" w:rsidR="00412441" w:rsidRDefault="00412441" w:rsidP="00412441">
            <w:pPr>
              <w:rPr>
                <w:sz w:val="28"/>
                <w:szCs w:val="28"/>
              </w:rPr>
            </w:pPr>
            <w:r>
              <w:rPr>
                <w:sz w:val="28"/>
                <w:szCs w:val="28"/>
              </w:rPr>
              <w:t>The purpose should be simplified to denote the recording and maintaining records of the name and contact information of the RNH</w:t>
            </w:r>
          </w:p>
        </w:tc>
        <w:tc>
          <w:tcPr>
            <w:tcW w:w="2970" w:type="dxa"/>
          </w:tcPr>
          <w:p w14:paraId="1190AE6D" w14:textId="77777777" w:rsidR="00412441" w:rsidRDefault="00412441" w:rsidP="00412441">
            <w:pPr>
              <w:rPr>
                <w:sz w:val="28"/>
                <w:szCs w:val="28"/>
              </w:rPr>
            </w:pPr>
            <w:r>
              <w:rPr>
                <w:sz w:val="28"/>
                <w:szCs w:val="28"/>
              </w:rPr>
              <w:t>15</w:t>
            </w:r>
          </w:p>
          <w:p w14:paraId="3F9F6C96" w14:textId="076FF74A" w:rsidR="00495641" w:rsidRDefault="007175D1" w:rsidP="00412441">
            <w:pPr>
              <w:rPr>
                <w:sz w:val="28"/>
                <w:szCs w:val="28"/>
              </w:rPr>
            </w:pPr>
            <w:r>
              <w:rPr>
                <w:sz w:val="28"/>
                <w:szCs w:val="28"/>
              </w:rPr>
              <w:t>(</w:t>
            </w:r>
            <w:r w:rsidR="00495641">
              <w:rPr>
                <w:sz w:val="28"/>
                <w:szCs w:val="28"/>
              </w:rPr>
              <w:t>John Poole</w:t>
            </w:r>
            <w:r>
              <w:rPr>
                <w:sz w:val="28"/>
                <w:szCs w:val="28"/>
              </w:rPr>
              <w:t>)</w:t>
            </w:r>
          </w:p>
        </w:tc>
        <w:tc>
          <w:tcPr>
            <w:tcW w:w="2785" w:type="dxa"/>
          </w:tcPr>
          <w:p w14:paraId="621589BC" w14:textId="77777777" w:rsidR="00412441" w:rsidRPr="00362929" w:rsidRDefault="00412441" w:rsidP="00412441">
            <w:pPr>
              <w:rPr>
                <w:sz w:val="28"/>
                <w:szCs w:val="28"/>
              </w:rPr>
            </w:pPr>
            <w:r>
              <w:rPr>
                <w:sz w:val="28"/>
                <w:szCs w:val="28"/>
              </w:rPr>
              <w:t>Yes/No</w:t>
            </w:r>
          </w:p>
        </w:tc>
      </w:tr>
    </w:tbl>
    <w:p w14:paraId="34883A3C" w14:textId="77777777" w:rsidR="00151618" w:rsidRDefault="00151618" w:rsidP="00151618">
      <w:pPr>
        <w:rPr>
          <w:b/>
          <w:sz w:val="28"/>
          <w:szCs w:val="28"/>
        </w:rPr>
      </w:pPr>
    </w:p>
    <w:p w14:paraId="692EE37D" w14:textId="77777777" w:rsidR="00151618" w:rsidRDefault="00151618" w:rsidP="00151618">
      <w:pPr>
        <w:rPr>
          <w:b/>
          <w:sz w:val="28"/>
          <w:szCs w:val="28"/>
        </w:rPr>
      </w:pPr>
    </w:p>
    <w:p w14:paraId="46DA2E7E" w14:textId="77777777" w:rsidR="00151618" w:rsidRPr="001A4D87" w:rsidRDefault="00151618" w:rsidP="00151618">
      <w:pPr>
        <w:rPr>
          <w:b/>
          <w:sz w:val="28"/>
          <w:szCs w:val="28"/>
        </w:rPr>
      </w:pPr>
    </w:p>
    <w:p w14:paraId="0DFCA585"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18"/>
    <w:rsid w:val="00151618"/>
    <w:rsid w:val="00236F48"/>
    <w:rsid w:val="00404709"/>
    <w:rsid w:val="004076B0"/>
    <w:rsid w:val="00412441"/>
    <w:rsid w:val="00440B65"/>
    <w:rsid w:val="00495641"/>
    <w:rsid w:val="0066352B"/>
    <w:rsid w:val="007175D1"/>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45BC7F"/>
  <w15:chartTrackingRefBased/>
  <w15:docId w15:val="{33E640E1-CCDC-DC4A-B9F7-B63C17CA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516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1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50465">
      <w:bodyDiv w:val="1"/>
      <w:marLeft w:val="0"/>
      <w:marRight w:val="0"/>
      <w:marTop w:val="0"/>
      <w:marBottom w:val="0"/>
      <w:divBdr>
        <w:top w:val="none" w:sz="0" w:space="0" w:color="auto"/>
        <w:left w:val="none" w:sz="0" w:space="0" w:color="auto"/>
        <w:bottom w:val="none" w:sz="0" w:space="0" w:color="auto"/>
        <w:right w:val="none" w:sz="0" w:space="0" w:color="auto"/>
      </w:divBdr>
    </w:div>
    <w:div w:id="415828082">
      <w:bodyDiv w:val="1"/>
      <w:marLeft w:val="0"/>
      <w:marRight w:val="0"/>
      <w:marTop w:val="0"/>
      <w:marBottom w:val="0"/>
      <w:divBdr>
        <w:top w:val="none" w:sz="0" w:space="0" w:color="auto"/>
        <w:left w:val="none" w:sz="0" w:space="0" w:color="auto"/>
        <w:bottom w:val="none" w:sz="0" w:space="0" w:color="auto"/>
        <w:right w:val="none" w:sz="0" w:space="0" w:color="auto"/>
      </w:divBdr>
    </w:div>
    <w:div w:id="205711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5</cp:revision>
  <dcterms:created xsi:type="dcterms:W3CDTF">2019-01-04T14:59:00Z</dcterms:created>
  <dcterms:modified xsi:type="dcterms:W3CDTF">2019-01-13T23:40:00Z</dcterms:modified>
</cp:coreProperties>
</file>